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6BD3" w14:textId="5DEAF976" w:rsidR="00307895" w:rsidRPr="00900880" w:rsidRDefault="00B0511E">
      <w:pPr>
        <w:rPr>
          <w:rFonts w:ascii="Garamond" w:hAnsi="Garamond"/>
          <w:b/>
          <w:bCs/>
          <w:sz w:val="28"/>
          <w:szCs w:val="28"/>
        </w:rPr>
      </w:pPr>
      <w:r>
        <w:rPr>
          <w:rFonts w:ascii="Garamond" w:hAnsi="Garamond"/>
          <w:b/>
          <w:bCs/>
          <w:sz w:val="28"/>
          <w:szCs w:val="28"/>
        </w:rPr>
        <w:t>P</w:t>
      </w:r>
      <w:r w:rsidR="00944104">
        <w:rPr>
          <w:rFonts w:ascii="Garamond" w:hAnsi="Garamond"/>
          <w:b/>
          <w:bCs/>
          <w:sz w:val="28"/>
          <w:szCs w:val="28"/>
        </w:rPr>
        <w:t>roduc</w:t>
      </w:r>
      <w:r>
        <w:rPr>
          <w:rFonts w:ascii="Garamond" w:hAnsi="Garamond"/>
          <w:b/>
          <w:bCs/>
          <w:sz w:val="28"/>
          <w:szCs w:val="28"/>
        </w:rPr>
        <w:t>ing</w:t>
      </w:r>
      <w:r w:rsidR="00944104">
        <w:rPr>
          <w:rFonts w:ascii="Garamond" w:hAnsi="Garamond"/>
          <w:b/>
          <w:bCs/>
          <w:sz w:val="28"/>
          <w:szCs w:val="28"/>
        </w:rPr>
        <w:t xml:space="preserve"> </w:t>
      </w:r>
      <w:r w:rsidR="00717B55">
        <w:rPr>
          <w:rFonts w:ascii="Garamond" w:hAnsi="Garamond"/>
          <w:b/>
          <w:bCs/>
          <w:sz w:val="28"/>
          <w:szCs w:val="28"/>
        </w:rPr>
        <w:t>and us</w:t>
      </w:r>
      <w:r>
        <w:rPr>
          <w:rFonts w:ascii="Garamond" w:hAnsi="Garamond"/>
          <w:b/>
          <w:bCs/>
          <w:sz w:val="28"/>
          <w:szCs w:val="28"/>
        </w:rPr>
        <w:t>ing</w:t>
      </w:r>
      <w:r w:rsidR="00944104">
        <w:rPr>
          <w:rFonts w:ascii="Garamond" w:hAnsi="Garamond"/>
          <w:b/>
          <w:bCs/>
          <w:sz w:val="28"/>
          <w:szCs w:val="28"/>
        </w:rPr>
        <w:t xml:space="preserve"> </w:t>
      </w:r>
      <w:r w:rsidR="00F1166E">
        <w:rPr>
          <w:rFonts w:ascii="Garamond" w:hAnsi="Garamond"/>
          <w:b/>
          <w:bCs/>
          <w:sz w:val="28"/>
          <w:szCs w:val="28"/>
        </w:rPr>
        <w:t xml:space="preserve">timely </w:t>
      </w:r>
      <w:r w:rsidR="00944104">
        <w:rPr>
          <w:rFonts w:ascii="Garamond" w:hAnsi="Garamond"/>
          <w:b/>
          <w:bCs/>
          <w:sz w:val="28"/>
          <w:szCs w:val="28"/>
        </w:rPr>
        <w:t xml:space="preserve">comparative </w:t>
      </w:r>
      <w:r w:rsidR="00717B55">
        <w:rPr>
          <w:rFonts w:ascii="Garamond" w:hAnsi="Garamond"/>
          <w:b/>
          <w:bCs/>
          <w:sz w:val="28"/>
          <w:szCs w:val="28"/>
        </w:rPr>
        <w:t>evidence</w:t>
      </w:r>
      <w:r w:rsidR="00944104">
        <w:rPr>
          <w:rFonts w:ascii="Garamond" w:hAnsi="Garamond"/>
          <w:b/>
          <w:bCs/>
          <w:sz w:val="28"/>
          <w:szCs w:val="28"/>
        </w:rPr>
        <w:t xml:space="preserve"> </w:t>
      </w:r>
      <w:r w:rsidR="00717B55">
        <w:rPr>
          <w:rFonts w:ascii="Garamond" w:hAnsi="Garamond"/>
          <w:b/>
          <w:bCs/>
          <w:sz w:val="28"/>
          <w:szCs w:val="28"/>
        </w:rPr>
        <w:t>on</w:t>
      </w:r>
      <w:r w:rsidR="00944104">
        <w:rPr>
          <w:rFonts w:ascii="Garamond" w:hAnsi="Garamond"/>
          <w:b/>
          <w:bCs/>
          <w:sz w:val="28"/>
          <w:szCs w:val="28"/>
        </w:rPr>
        <w:t xml:space="preserve"> </w:t>
      </w:r>
      <w:r>
        <w:rPr>
          <w:rFonts w:ascii="Garamond" w:hAnsi="Garamond"/>
          <w:b/>
          <w:bCs/>
          <w:sz w:val="28"/>
          <w:szCs w:val="28"/>
        </w:rPr>
        <w:t xml:space="preserve">drugs: </w:t>
      </w:r>
      <w:r w:rsidR="00114C87">
        <w:rPr>
          <w:rFonts w:ascii="Garamond" w:hAnsi="Garamond"/>
          <w:b/>
          <w:bCs/>
          <w:sz w:val="28"/>
          <w:szCs w:val="28"/>
        </w:rPr>
        <w:t>key</w:t>
      </w:r>
      <w:r w:rsidR="003C0BAB">
        <w:rPr>
          <w:rFonts w:ascii="Garamond" w:hAnsi="Garamond"/>
          <w:b/>
          <w:bCs/>
          <w:sz w:val="28"/>
          <w:szCs w:val="28"/>
        </w:rPr>
        <w:t xml:space="preserve"> lessons </w:t>
      </w:r>
      <w:r>
        <w:rPr>
          <w:rFonts w:ascii="Garamond" w:hAnsi="Garamond"/>
          <w:b/>
          <w:bCs/>
          <w:sz w:val="28"/>
          <w:szCs w:val="28"/>
        </w:rPr>
        <w:t xml:space="preserve">from </w:t>
      </w:r>
      <w:r w:rsidR="00230B26">
        <w:rPr>
          <w:rFonts w:ascii="Garamond" w:hAnsi="Garamond"/>
          <w:b/>
          <w:bCs/>
          <w:sz w:val="28"/>
          <w:szCs w:val="28"/>
        </w:rPr>
        <w:t>more than</w:t>
      </w:r>
      <w:r w:rsidR="001675E1">
        <w:rPr>
          <w:rFonts w:ascii="Garamond" w:hAnsi="Garamond"/>
          <w:b/>
          <w:bCs/>
          <w:sz w:val="28"/>
          <w:szCs w:val="28"/>
        </w:rPr>
        <w:t xml:space="preserve"> a thousand</w:t>
      </w:r>
      <w:r w:rsidR="007815E8">
        <w:rPr>
          <w:rFonts w:ascii="Garamond" w:hAnsi="Garamond"/>
          <w:b/>
          <w:bCs/>
          <w:sz w:val="28"/>
          <w:szCs w:val="28"/>
        </w:rPr>
        <w:t xml:space="preserve"> clinical trials</w:t>
      </w:r>
      <w:r>
        <w:rPr>
          <w:rFonts w:ascii="Garamond" w:hAnsi="Garamond"/>
          <w:b/>
          <w:bCs/>
          <w:sz w:val="28"/>
          <w:szCs w:val="28"/>
        </w:rPr>
        <w:t xml:space="preserve"> on COVID-19 therapeutics</w:t>
      </w:r>
    </w:p>
    <w:p w14:paraId="186D387E" w14:textId="311D060D" w:rsidR="00900880" w:rsidRDefault="00900880">
      <w:pPr>
        <w:rPr>
          <w:rFonts w:ascii="Garamond" w:hAnsi="Garamond"/>
        </w:rPr>
      </w:pPr>
    </w:p>
    <w:p w14:paraId="417DF71D" w14:textId="1A275B3C" w:rsidR="00900880" w:rsidRDefault="00900880">
      <w:pPr>
        <w:rPr>
          <w:rFonts w:ascii="Garamond" w:hAnsi="Garamond"/>
        </w:rPr>
      </w:pPr>
      <w:r>
        <w:rPr>
          <w:rFonts w:ascii="Garamond" w:hAnsi="Garamond"/>
        </w:rPr>
        <w:t>Huseyin Naci,</w:t>
      </w:r>
      <w:r w:rsidR="00FD6511" w:rsidRPr="00FD6511">
        <w:rPr>
          <w:rFonts w:ascii="Garamond" w:hAnsi="Garamond"/>
          <w:vertAlign w:val="superscript"/>
        </w:rPr>
        <w:t>1</w:t>
      </w:r>
      <w:r>
        <w:rPr>
          <w:rFonts w:ascii="Garamond" w:hAnsi="Garamond"/>
        </w:rPr>
        <w:t xml:space="preserve"> </w:t>
      </w:r>
      <w:r w:rsidR="0094143B">
        <w:rPr>
          <w:rFonts w:ascii="Garamond" w:hAnsi="Garamond"/>
        </w:rPr>
        <w:t>Aaron S. Kesselheim</w:t>
      </w:r>
      <w:r>
        <w:rPr>
          <w:rFonts w:ascii="Garamond" w:hAnsi="Garamond"/>
        </w:rPr>
        <w:t>,</w:t>
      </w:r>
      <w:r w:rsidR="00FD6511" w:rsidRPr="00FD6511">
        <w:rPr>
          <w:rFonts w:ascii="Garamond" w:hAnsi="Garamond"/>
          <w:vertAlign w:val="superscript"/>
        </w:rPr>
        <w:t>2</w:t>
      </w:r>
      <w:r>
        <w:rPr>
          <w:rFonts w:ascii="Garamond" w:hAnsi="Garamond"/>
        </w:rPr>
        <w:t xml:space="preserve"> John-Arne </w:t>
      </w:r>
      <w:r w:rsidRPr="00900880">
        <w:rPr>
          <w:rFonts w:ascii="Garamond" w:hAnsi="Garamond"/>
        </w:rPr>
        <w:t>Røttingen</w:t>
      </w:r>
      <w:r>
        <w:rPr>
          <w:rFonts w:ascii="Garamond" w:hAnsi="Garamond"/>
        </w:rPr>
        <w:t>,</w:t>
      </w:r>
      <w:r w:rsidR="00FD6511" w:rsidRPr="00FD6511">
        <w:rPr>
          <w:rFonts w:ascii="Garamond" w:hAnsi="Garamond"/>
          <w:vertAlign w:val="superscript"/>
        </w:rPr>
        <w:t>3</w:t>
      </w:r>
      <w:r w:rsidR="00C77224">
        <w:rPr>
          <w:rFonts w:ascii="Garamond" w:hAnsi="Garamond"/>
          <w:vertAlign w:val="superscript"/>
        </w:rPr>
        <w:t>,4</w:t>
      </w:r>
      <w:r>
        <w:rPr>
          <w:rFonts w:ascii="Garamond" w:hAnsi="Garamond"/>
        </w:rPr>
        <w:t xml:space="preserve"> </w:t>
      </w:r>
      <w:r w:rsidR="0094143B">
        <w:rPr>
          <w:rFonts w:ascii="Garamond" w:hAnsi="Garamond"/>
        </w:rPr>
        <w:t>Georgia Salanti</w:t>
      </w:r>
      <w:r w:rsidR="00FD6511">
        <w:rPr>
          <w:rFonts w:ascii="Garamond" w:hAnsi="Garamond"/>
        </w:rPr>
        <w:t>,</w:t>
      </w:r>
      <w:r w:rsidR="00C77224">
        <w:rPr>
          <w:rFonts w:ascii="Garamond" w:hAnsi="Garamond"/>
          <w:vertAlign w:val="superscript"/>
        </w:rPr>
        <w:t>5</w:t>
      </w:r>
      <w:r w:rsidR="00FD6511">
        <w:rPr>
          <w:rFonts w:ascii="Garamond" w:hAnsi="Garamond"/>
        </w:rPr>
        <w:t xml:space="preserve"> </w:t>
      </w:r>
      <w:r>
        <w:rPr>
          <w:rFonts w:ascii="Garamond" w:hAnsi="Garamond"/>
        </w:rPr>
        <w:t>Per O. Vandvik,</w:t>
      </w:r>
      <w:r w:rsidR="00C77224">
        <w:rPr>
          <w:rFonts w:ascii="Garamond" w:hAnsi="Garamond"/>
          <w:vertAlign w:val="superscript"/>
        </w:rPr>
        <w:t>6</w:t>
      </w:r>
      <w:r>
        <w:rPr>
          <w:rFonts w:ascii="Garamond" w:hAnsi="Garamond"/>
        </w:rPr>
        <w:t xml:space="preserve"> Andrea Cipriani</w:t>
      </w:r>
      <w:r w:rsidR="00427745">
        <w:rPr>
          <w:rFonts w:ascii="Garamond" w:hAnsi="Garamond"/>
        </w:rPr>
        <w:t xml:space="preserve"> </w:t>
      </w:r>
      <w:r w:rsidR="00C77224">
        <w:rPr>
          <w:rFonts w:ascii="Garamond" w:hAnsi="Garamond"/>
          <w:vertAlign w:val="superscript"/>
        </w:rPr>
        <w:t>7</w:t>
      </w:r>
      <w:r w:rsidR="00427745">
        <w:rPr>
          <w:rFonts w:ascii="Garamond" w:hAnsi="Garamond"/>
          <w:vertAlign w:val="superscript"/>
        </w:rPr>
        <w:t>,</w:t>
      </w:r>
      <w:r w:rsidR="00C77224">
        <w:rPr>
          <w:rFonts w:ascii="Garamond" w:hAnsi="Garamond"/>
          <w:vertAlign w:val="superscript"/>
        </w:rPr>
        <w:t>8</w:t>
      </w:r>
    </w:p>
    <w:p w14:paraId="36305A50" w14:textId="780588E6" w:rsidR="00FD6511" w:rsidRDefault="00FD6511">
      <w:pPr>
        <w:rPr>
          <w:rFonts w:ascii="Garamond" w:hAnsi="Garamond"/>
        </w:rPr>
      </w:pPr>
    </w:p>
    <w:p w14:paraId="0761D798" w14:textId="606FA652" w:rsidR="00FD6511" w:rsidRPr="00144717" w:rsidRDefault="00427745" w:rsidP="00144717">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 xml:space="preserve">Department of Health Policy, </w:t>
      </w:r>
      <w:r w:rsidR="00FD6511" w:rsidRPr="00144717">
        <w:rPr>
          <w:rFonts w:ascii="Garamond" w:hAnsi="Garamond"/>
          <w:sz w:val="22"/>
          <w:szCs w:val="22"/>
        </w:rPr>
        <w:t>London School of Economics and Political Science, London, UK</w:t>
      </w:r>
    </w:p>
    <w:p w14:paraId="150E7C3D" w14:textId="7C8F4A36" w:rsidR="0094143B" w:rsidRPr="00144717" w:rsidRDefault="0094143B" w:rsidP="0094143B">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 xml:space="preserve">Program </w:t>
      </w:r>
      <w:r w:rsidR="001D326C">
        <w:rPr>
          <w:rFonts w:ascii="Garamond" w:hAnsi="Garamond"/>
          <w:sz w:val="22"/>
          <w:szCs w:val="22"/>
        </w:rPr>
        <w:t>O</w:t>
      </w:r>
      <w:r w:rsidRPr="00144717">
        <w:rPr>
          <w:rFonts w:ascii="Garamond" w:hAnsi="Garamond"/>
          <w:sz w:val="22"/>
          <w:szCs w:val="22"/>
        </w:rPr>
        <w:t xml:space="preserve">n Regulation, Therapeutics, </w:t>
      </w:r>
      <w:r w:rsidR="001D326C">
        <w:rPr>
          <w:rFonts w:ascii="Garamond" w:hAnsi="Garamond"/>
          <w:sz w:val="22"/>
          <w:szCs w:val="22"/>
        </w:rPr>
        <w:t>A</w:t>
      </w:r>
      <w:r w:rsidRPr="00144717">
        <w:rPr>
          <w:rFonts w:ascii="Garamond" w:hAnsi="Garamond"/>
          <w:sz w:val="22"/>
          <w:szCs w:val="22"/>
        </w:rPr>
        <w:t>nd Law (PORTAL), Division of Pharmaco</w:t>
      </w:r>
      <w:r>
        <w:rPr>
          <w:rFonts w:ascii="Garamond" w:hAnsi="Garamond"/>
          <w:sz w:val="22"/>
          <w:szCs w:val="22"/>
        </w:rPr>
        <w:t>epidemiology</w:t>
      </w:r>
      <w:r w:rsidRPr="00144717">
        <w:rPr>
          <w:rFonts w:ascii="Garamond" w:hAnsi="Garamond"/>
          <w:sz w:val="22"/>
          <w:szCs w:val="22"/>
        </w:rPr>
        <w:t xml:space="preserve"> and Pharmacoeconomics, </w:t>
      </w:r>
      <w:r w:rsidR="001D326C">
        <w:rPr>
          <w:rFonts w:ascii="Garamond" w:hAnsi="Garamond"/>
          <w:sz w:val="22"/>
          <w:szCs w:val="22"/>
        </w:rPr>
        <w:t xml:space="preserve">Department of Medicine, </w:t>
      </w:r>
      <w:r w:rsidR="001D326C" w:rsidRPr="00144717">
        <w:rPr>
          <w:rFonts w:ascii="Garamond" w:hAnsi="Garamond"/>
          <w:sz w:val="22"/>
          <w:szCs w:val="22"/>
        </w:rPr>
        <w:t xml:space="preserve">Brigham and Women’s Hospital </w:t>
      </w:r>
      <w:r w:rsidR="001D326C">
        <w:rPr>
          <w:rFonts w:ascii="Garamond" w:hAnsi="Garamond"/>
          <w:sz w:val="22"/>
          <w:szCs w:val="22"/>
        </w:rPr>
        <w:t xml:space="preserve">and </w:t>
      </w:r>
      <w:r w:rsidRPr="00144717">
        <w:rPr>
          <w:rFonts w:ascii="Garamond" w:hAnsi="Garamond"/>
          <w:sz w:val="22"/>
          <w:szCs w:val="22"/>
        </w:rPr>
        <w:t xml:space="preserve">Harvard Medical School, Boston, </w:t>
      </w:r>
      <w:r w:rsidR="001D326C">
        <w:rPr>
          <w:rFonts w:ascii="Garamond" w:hAnsi="Garamond"/>
          <w:sz w:val="22"/>
          <w:szCs w:val="22"/>
        </w:rPr>
        <w:t xml:space="preserve">MA, </w:t>
      </w:r>
      <w:r w:rsidRPr="00144717">
        <w:rPr>
          <w:rFonts w:ascii="Garamond" w:hAnsi="Garamond"/>
          <w:sz w:val="22"/>
          <w:szCs w:val="22"/>
        </w:rPr>
        <w:t>USA</w:t>
      </w:r>
    </w:p>
    <w:p w14:paraId="034A152C" w14:textId="77777777" w:rsidR="00C77224" w:rsidRDefault="00FD6511" w:rsidP="00144717">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Research Council of Norway, Oslo, Norway</w:t>
      </w:r>
    </w:p>
    <w:p w14:paraId="36F93575" w14:textId="1885B2DC" w:rsidR="00FD6511" w:rsidRPr="00144717" w:rsidRDefault="00E666D6" w:rsidP="00144717">
      <w:pPr>
        <w:pStyle w:val="ListParagraph"/>
        <w:numPr>
          <w:ilvl w:val="0"/>
          <w:numId w:val="1"/>
        </w:numPr>
        <w:spacing w:line="276" w:lineRule="auto"/>
        <w:ind w:left="357" w:hanging="357"/>
        <w:rPr>
          <w:rFonts w:ascii="Garamond" w:hAnsi="Garamond"/>
          <w:sz w:val="22"/>
          <w:szCs w:val="22"/>
        </w:rPr>
      </w:pPr>
      <w:proofErr w:type="spellStart"/>
      <w:r>
        <w:rPr>
          <w:rFonts w:ascii="Garamond" w:hAnsi="Garamond"/>
          <w:sz w:val="22"/>
          <w:szCs w:val="22"/>
        </w:rPr>
        <w:t>Blavatnik</w:t>
      </w:r>
      <w:proofErr w:type="spellEnd"/>
      <w:r>
        <w:rPr>
          <w:rFonts w:ascii="Garamond" w:hAnsi="Garamond"/>
          <w:sz w:val="22"/>
          <w:szCs w:val="22"/>
        </w:rPr>
        <w:t xml:space="preserve"> School of Government,</w:t>
      </w:r>
      <w:r w:rsidRPr="00E666D6">
        <w:rPr>
          <w:rFonts w:ascii="Garamond" w:hAnsi="Garamond"/>
          <w:sz w:val="22"/>
          <w:szCs w:val="22"/>
        </w:rPr>
        <w:t xml:space="preserve"> </w:t>
      </w:r>
      <w:r w:rsidRPr="00144717">
        <w:rPr>
          <w:rFonts w:ascii="Garamond" w:hAnsi="Garamond"/>
          <w:sz w:val="22"/>
          <w:szCs w:val="22"/>
        </w:rPr>
        <w:t>University of Oxford, Oxford, UK</w:t>
      </w:r>
      <w:r>
        <w:rPr>
          <w:rFonts w:ascii="Garamond" w:hAnsi="Garamond"/>
          <w:sz w:val="22"/>
          <w:szCs w:val="22"/>
        </w:rPr>
        <w:t xml:space="preserve">. </w:t>
      </w:r>
    </w:p>
    <w:p w14:paraId="6DE3F625" w14:textId="77777777" w:rsidR="0094143B" w:rsidRPr="00144717" w:rsidRDefault="0094143B" w:rsidP="0094143B">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Institute of Social and Preventive Medicine, University of Bern, Bern, Switzerland</w:t>
      </w:r>
    </w:p>
    <w:p w14:paraId="090A7510" w14:textId="36C9408D" w:rsidR="00FD6511" w:rsidRPr="00144717" w:rsidRDefault="00427745" w:rsidP="00144717">
      <w:pPr>
        <w:pStyle w:val="ListParagraph"/>
        <w:numPr>
          <w:ilvl w:val="0"/>
          <w:numId w:val="1"/>
        </w:numPr>
        <w:spacing w:line="276" w:lineRule="auto"/>
        <w:ind w:left="357" w:hanging="357"/>
        <w:rPr>
          <w:rFonts w:ascii="Times New Roman" w:eastAsia="Times New Roman" w:hAnsi="Times New Roman" w:cs="Times New Roman"/>
          <w:sz w:val="22"/>
          <w:szCs w:val="22"/>
          <w:lang w:eastAsia="en-GB"/>
        </w:rPr>
      </w:pPr>
      <w:r w:rsidRPr="00144717">
        <w:rPr>
          <w:rFonts w:ascii="Garamond" w:hAnsi="Garamond"/>
          <w:sz w:val="22"/>
          <w:szCs w:val="22"/>
        </w:rPr>
        <w:t xml:space="preserve">Department of Health Management and Health Economics, </w:t>
      </w:r>
      <w:r w:rsidR="00FD6511" w:rsidRPr="00144717">
        <w:rPr>
          <w:rFonts w:ascii="Garamond" w:hAnsi="Garamond"/>
          <w:sz w:val="22"/>
          <w:szCs w:val="22"/>
        </w:rPr>
        <w:t>University of Oslo, Oslo, Norway</w:t>
      </w:r>
    </w:p>
    <w:p w14:paraId="6323067F" w14:textId="13BF2034" w:rsidR="00FD6511" w:rsidRPr="00144717" w:rsidRDefault="00427745" w:rsidP="00144717">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 xml:space="preserve">Department of Psychiatry, </w:t>
      </w:r>
      <w:r w:rsidR="00FD6511" w:rsidRPr="00144717">
        <w:rPr>
          <w:rFonts w:ascii="Garamond" w:hAnsi="Garamond"/>
          <w:sz w:val="22"/>
          <w:szCs w:val="22"/>
        </w:rPr>
        <w:t>University of Oxford, Oxford, UK</w:t>
      </w:r>
    </w:p>
    <w:p w14:paraId="2643358F" w14:textId="2C126E9B" w:rsidR="00427745" w:rsidRPr="00144717" w:rsidRDefault="00427745" w:rsidP="00144717">
      <w:pPr>
        <w:pStyle w:val="ListParagraph"/>
        <w:numPr>
          <w:ilvl w:val="0"/>
          <w:numId w:val="1"/>
        </w:numPr>
        <w:spacing w:line="276" w:lineRule="auto"/>
        <w:ind w:left="357" w:hanging="357"/>
        <w:rPr>
          <w:rFonts w:ascii="Garamond" w:hAnsi="Garamond"/>
          <w:sz w:val="22"/>
          <w:szCs w:val="22"/>
        </w:rPr>
      </w:pPr>
      <w:r w:rsidRPr="00144717">
        <w:rPr>
          <w:rFonts w:ascii="Garamond" w:hAnsi="Garamond"/>
          <w:sz w:val="22"/>
          <w:szCs w:val="22"/>
        </w:rPr>
        <w:t xml:space="preserve">Oxford Health NHS Foundation Trust, </w:t>
      </w:r>
      <w:proofErr w:type="spellStart"/>
      <w:r w:rsidRPr="00144717">
        <w:rPr>
          <w:rFonts w:ascii="Garamond" w:hAnsi="Garamond"/>
          <w:sz w:val="22"/>
          <w:szCs w:val="22"/>
        </w:rPr>
        <w:t>Warneford</w:t>
      </w:r>
      <w:proofErr w:type="spellEnd"/>
      <w:r w:rsidRPr="00144717">
        <w:rPr>
          <w:rFonts w:ascii="Garamond" w:hAnsi="Garamond"/>
          <w:sz w:val="22"/>
          <w:szCs w:val="22"/>
        </w:rPr>
        <w:t xml:space="preserve"> Hospital, Oxford, UK</w:t>
      </w:r>
    </w:p>
    <w:p w14:paraId="519BA8FD" w14:textId="630587C2" w:rsidR="00900880" w:rsidRDefault="00900880">
      <w:pPr>
        <w:rPr>
          <w:rFonts w:ascii="Garamond" w:hAnsi="Garamond"/>
        </w:rPr>
      </w:pPr>
    </w:p>
    <w:p w14:paraId="675CAC33" w14:textId="77777777" w:rsidR="00AA3099" w:rsidRDefault="00AA3099">
      <w:pPr>
        <w:rPr>
          <w:rFonts w:ascii="Garamond" w:hAnsi="Garamond"/>
        </w:rPr>
      </w:pPr>
    </w:p>
    <w:p w14:paraId="23D2EA39" w14:textId="0315701F" w:rsidR="00AA3099" w:rsidRPr="00435491" w:rsidRDefault="0087122C" w:rsidP="0087122C">
      <w:pPr>
        <w:rPr>
          <w:rFonts w:ascii="Garamond" w:hAnsi="Garamond"/>
          <w:i/>
          <w:iCs/>
        </w:rPr>
      </w:pPr>
      <w:r w:rsidRPr="004C5C6C">
        <w:rPr>
          <w:rFonts w:ascii="Garamond" w:hAnsi="Garamond"/>
          <w:b/>
          <w:bCs/>
        </w:rPr>
        <w:t>Standfirst</w:t>
      </w:r>
      <w:r w:rsidRPr="004C5C6C">
        <w:rPr>
          <w:rFonts w:ascii="Garamond" w:hAnsi="Garamond"/>
          <w:i/>
          <w:iCs/>
        </w:rPr>
        <w:t xml:space="preserve">: </w:t>
      </w:r>
      <w:r w:rsidR="007815E8">
        <w:rPr>
          <w:rFonts w:ascii="Garamond" w:hAnsi="Garamond"/>
          <w:i/>
          <w:iCs/>
        </w:rPr>
        <w:t xml:space="preserve">Research on COVID-19 therapeutics has </w:t>
      </w:r>
      <w:r w:rsidR="003C0BAB">
        <w:rPr>
          <w:rFonts w:ascii="Garamond" w:hAnsi="Garamond"/>
          <w:i/>
          <w:iCs/>
        </w:rPr>
        <w:t>exposed</w:t>
      </w:r>
      <w:r w:rsidR="007815E8">
        <w:rPr>
          <w:rFonts w:ascii="Garamond" w:hAnsi="Garamond"/>
          <w:i/>
          <w:iCs/>
        </w:rPr>
        <w:t xml:space="preserve"> </w:t>
      </w:r>
      <w:r w:rsidR="00112783">
        <w:rPr>
          <w:rFonts w:ascii="Garamond" w:hAnsi="Garamond"/>
          <w:i/>
          <w:iCs/>
        </w:rPr>
        <w:t xml:space="preserve">the </w:t>
      </w:r>
      <w:r w:rsidR="003C0BAB">
        <w:rPr>
          <w:rFonts w:ascii="Garamond" w:hAnsi="Garamond"/>
          <w:i/>
          <w:iCs/>
        </w:rPr>
        <w:t xml:space="preserve">persistent </w:t>
      </w:r>
      <w:r w:rsidR="00112783">
        <w:rPr>
          <w:rFonts w:ascii="Garamond" w:hAnsi="Garamond"/>
          <w:i/>
          <w:iCs/>
        </w:rPr>
        <w:t>flaws and failures of the evidence ecosystem. P</w:t>
      </w:r>
      <w:r w:rsidR="007815E8" w:rsidRPr="0076365B">
        <w:rPr>
          <w:rFonts w:ascii="Garamond" w:hAnsi="Garamond"/>
          <w:i/>
          <w:iCs/>
        </w:rPr>
        <w:t>roducing</w:t>
      </w:r>
      <w:r w:rsidR="00E92CA9">
        <w:rPr>
          <w:rFonts w:ascii="Garamond" w:hAnsi="Garamond"/>
          <w:i/>
          <w:iCs/>
        </w:rPr>
        <w:t xml:space="preserve"> robust</w:t>
      </w:r>
      <w:r w:rsidR="0049617E">
        <w:rPr>
          <w:rFonts w:ascii="Garamond" w:hAnsi="Garamond"/>
          <w:i/>
          <w:iCs/>
        </w:rPr>
        <w:t xml:space="preserve"> </w:t>
      </w:r>
      <w:r w:rsidRPr="0076365B">
        <w:rPr>
          <w:rFonts w:ascii="Garamond" w:hAnsi="Garamond"/>
          <w:i/>
          <w:iCs/>
        </w:rPr>
        <w:t xml:space="preserve">comparative evidence on </w:t>
      </w:r>
      <w:r w:rsidR="00B0511E">
        <w:rPr>
          <w:rFonts w:ascii="Garamond" w:hAnsi="Garamond"/>
          <w:i/>
          <w:iCs/>
        </w:rPr>
        <w:t>drugs</w:t>
      </w:r>
      <w:r w:rsidRPr="0076365B">
        <w:rPr>
          <w:rFonts w:ascii="Garamond" w:hAnsi="Garamond"/>
          <w:i/>
          <w:iCs/>
        </w:rPr>
        <w:t xml:space="preserve"> </w:t>
      </w:r>
      <w:r w:rsidR="00230B26">
        <w:rPr>
          <w:rFonts w:ascii="Garamond" w:hAnsi="Garamond"/>
          <w:i/>
          <w:iCs/>
        </w:rPr>
        <w:t xml:space="preserve">and translating it to </w:t>
      </w:r>
      <w:r w:rsidR="00E92CA9">
        <w:rPr>
          <w:rFonts w:ascii="Garamond" w:hAnsi="Garamond"/>
          <w:i/>
          <w:iCs/>
        </w:rPr>
        <w:t xml:space="preserve">trustworthy and </w:t>
      </w:r>
      <w:r w:rsidR="00230B26">
        <w:rPr>
          <w:rFonts w:ascii="Garamond" w:hAnsi="Garamond"/>
          <w:i/>
          <w:iCs/>
        </w:rPr>
        <w:t xml:space="preserve">timely guidance </w:t>
      </w:r>
      <w:r w:rsidR="00112783">
        <w:rPr>
          <w:rFonts w:ascii="Garamond" w:hAnsi="Garamond"/>
          <w:i/>
          <w:iCs/>
        </w:rPr>
        <w:t>require</w:t>
      </w:r>
      <w:r w:rsidR="000E618D">
        <w:rPr>
          <w:rFonts w:ascii="Garamond" w:hAnsi="Garamond"/>
          <w:i/>
          <w:iCs/>
        </w:rPr>
        <w:t>s</w:t>
      </w:r>
      <w:r w:rsidRPr="0076365B">
        <w:rPr>
          <w:rFonts w:ascii="Garamond" w:hAnsi="Garamond"/>
          <w:i/>
          <w:iCs/>
        </w:rPr>
        <w:t xml:space="preserve"> </w:t>
      </w:r>
      <w:r w:rsidR="000E618D">
        <w:rPr>
          <w:rFonts w:ascii="Garamond" w:hAnsi="Garamond"/>
          <w:i/>
          <w:iCs/>
        </w:rPr>
        <w:t>greater</w:t>
      </w:r>
      <w:r w:rsidR="003C0BAB">
        <w:rPr>
          <w:rFonts w:ascii="Garamond" w:hAnsi="Garamond"/>
          <w:i/>
          <w:iCs/>
        </w:rPr>
        <w:t xml:space="preserve"> </w:t>
      </w:r>
      <w:r w:rsidRPr="0076365B">
        <w:rPr>
          <w:rFonts w:ascii="Garamond" w:hAnsi="Garamond"/>
          <w:i/>
          <w:iCs/>
        </w:rPr>
        <w:t>coordination and collaboration</w:t>
      </w:r>
      <w:r w:rsidR="00437E74">
        <w:rPr>
          <w:rFonts w:ascii="Garamond" w:hAnsi="Garamond"/>
          <w:i/>
          <w:iCs/>
        </w:rPr>
        <w:t xml:space="preserve"> </w:t>
      </w:r>
      <w:r w:rsidR="00870CAC">
        <w:rPr>
          <w:rFonts w:ascii="Garamond" w:hAnsi="Garamond"/>
          <w:i/>
          <w:iCs/>
        </w:rPr>
        <w:t>among</w:t>
      </w:r>
      <w:r w:rsidRPr="0076365B">
        <w:rPr>
          <w:rFonts w:ascii="Garamond" w:hAnsi="Garamond"/>
          <w:i/>
          <w:iCs/>
        </w:rPr>
        <w:t xml:space="preserve"> </w:t>
      </w:r>
      <w:r w:rsidR="00870CAC">
        <w:rPr>
          <w:rFonts w:ascii="Garamond" w:hAnsi="Garamond"/>
          <w:i/>
          <w:iCs/>
        </w:rPr>
        <w:t xml:space="preserve">trialists, meta-analysts, </w:t>
      </w:r>
      <w:r w:rsidR="006B5917">
        <w:rPr>
          <w:rFonts w:ascii="Garamond" w:hAnsi="Garamond"/>
          <w:i/>
          <w:iCs/>
        </w:rPr>
        <w:t xml:space="preserve">guidance-developers </w:t>
      </w:r>
      <w:r w:rsidR="00870CAC">
        <w:rPr>
          <w:rFonts w:ascii="Garamond" w:hAnsi="Garamond"/>
          <w:i/>
          <w:iCs/>
        </w:rPr>
        <w:t xml:space="preserve">and other </w:t>
      </w:r>
      <w:r w:rsidR="00D50F3B">
        <w:rPr>
          <w:rFonts w:ascii="Garamond" w:hAnsi="Garamond"/>
          <w:i/>
          <w:iCs/>
        </w:rPr>
        <w:t xml:space="preserve">key </w:t>
      </w:r>
      <w:r w:rsidR="00870CAC">
        <w:rPr>
          <w:rFonts w:ascii="Garamond" w:hAnsi="Garamond"/>
          <w:i/>
          <w:iCs/>
        </w:rPr>
        <w:t>stakeholders</w:t>
      </w:r>
      <w:r w:rsidR="00F1166E">
        <w:rPr>
          <w:rFonts w:ascii="Garamond" w:hAnsi="Garamond"/>
          <w:i/>
          <w:iCs/>
        </w:rPr>
        <w:t>.</w:t>
      </w:r>
      <w:r w:rsidRPr="00435491">
        <w:rPr>
          <w:rFonts w:ascii="Garamond" w:hAnsi="Garamond"/>
        </w:rPr>
        <w:t xml:space="preserve"> </w:t>
      </w:r>
    </w:p>
    <w:p w14:paraId="097758ED" w14:textId="77777777" w:rsidR="00AA3099" w:rsidRPr="005308CA" w:rsidRDefault="00AA3099">
      <w:pPr>
        <w:rPr>
          <w:rFonts w:ascii="Garamond" w:hAnsi="Garamond"/>
        </w:rPr>
      </w:pPr>
    </w:p>
    <w:p w14:paraId="398E609A" w14:textId="77777777" w:rsidR="00534310" w:rsidRPr="005308CA" w:rsidRDefault="00534310" w:rsidP="004F5E95">
      <w:pPr>
        <w:rPr>
          <w:rFonts w:ascii="Garamond" w:hAnsi="Garamond"/>
        </w:rPr>
      </w:pPr>
    </w:p>
    <w:p w14:paraId="6F1424F4" w14:textId="3572D249" w:rsidR="006548A0" w:rsidRPr="00435491" w:rsidRDefault="00BA43DF" w:rsidP="004F5E95">
      <w:pPr>
        <w:ind w:firstLine="720"/>
        <w:rPr>
          <w:rFonts w:ascii="Garamond" w:hAnsi="Garamond"/>
        </w:rPr>
      </w:pPr>
      <w:r>
        <w:rPr>
          <w:rFonts w:ascii="Garamond" w:hAnsi="Garamond"/>
        </w:rPr>
        <w:t xml:space="preserve">Since the early days of the </w:t>
      </w:r>
      <w:r w:rsidR="004603C5">
        <w:rPr>
          <w:rFonts w:ascii="Garamond" w:hAnsi="Garamond"/>
        </w:rPr>
        <w:t>novel coronavirus</w:t>
      </w:r>
      <w:r w:rsidR="007815E8" w:rsidRPr="004F5E95">
        <w:rPr>
          <w:rFonts w:ascii="Garamond" w:hAnsi="Garamond"/>
        </w:rPr>
        <w:t xml:space="preserve"> </w:t>
      </w:r>
      <w:r w:rsidR="007815E8">
        <w:rPr>
          <w:rFonts w:ascii="Garamond" w:hAnsi="Garamond"/>
        </w:rPr>
        <w:t>outbreak</w:t>
      </w:r>
      <w:r>
        <w:rPr>
          <w:rFonts w:ascii="Garamond" w:hAnsi="Garamond"/>
        </w:rPr>
        <w:t>, a</w:t>
      </w:r>
      <w:r w:rsidRPr="005308CA">
        <w:rPr>
          <w:rFonts w:ascii="Garamond" w:hAnsi="Garamond"/>
        </w:rPr>
        <w:t xml:space="preserve"> </w:t>
      </w:r>
      <w:r w:rsidR="00900880" w:rsidRPr="005308CA">
        <w:rPr>
          <w:rFonts w:ascii="Garamond" w:hAnsi="Garamond"/>
        </w:rPr>
        <w:t xml:space="preserve">record number of studies </w:t>
      </w:r>
      <w:r>
        <w:rPr>
          <w:rFonts w:ascii="Garamond" w:hAnsi="Garamond"/>
        </w:rPr>
        <w:t>have been launched</w:t>
      </w:r>
      <w:r w:rsidR="00900880" w:rsidRPr="004C5C6C">
        <w:rPr>
          <w:rFonts w:ascii="Garamond" w:hAnsi="Garamond"/>
        </w:rPr>
        <w:t xml:space="preserve"> </w:t>
      </w:r>
      <w:r>
        <w:rPr>
          <w:rFonts w:ascii="Garamond" w:hAnsi="Garamond"/>
        </w:rPr>
        <w:t xml:space="preserve">to test </w:t>
      </w:r>
      <w:r w:rsidR="00900880" w:rsidRPr="004C5C6C">
        <w:rPr>
          <w:rFonts w:ascii="Garamond" w:hAnsi="Garamond"/>
        </w:rPr>
        <w:t xml:space="preserve">several repurposed and </w:t>
      </w:r>
      <w:r w:rsidR="0094143B" w:rsidRPr="004C5C6C">
        <w:rPr>
          <w:rFonts w:ascii="Garamond" w:hAnsi="Garamond"/>
        </w:rPr>
        <w:t>new</w:t>
      </w:r>
      <w:r w:rsidR="00900880" w:rsidRPr="0076365B">
        <w:rPr>
          <w:rFonts w:ascii="Garamond" w:hAnsi="Garamond"/>
        </w:rPr>
        <w:t xml:space="preserve"> </w:t>
      </w:r>
      <w:r w:rsidR="0030104C" w:rsidRPr="0076365B">
        <w:rPr>
          <w:rFonts w:ascii="Garamond" w:hAnsi="Garamond"/>
        </w:rPr>
        <w:t xml:space="preserve">medicines </w:t>
      </w:r>
      <w:r w:rsidR="00900880" w:rsidRPr="0076365B">
        <w:rPr>
          <w:rFonts w:ascii="Garamond" w:hAnsi="Garamond"/>
        </w:rPr>
        <w:t>as potential therapeutic options</w:t>
      </w:r>
      <w:r w:rsidR="00F1354B" w:rsidRPr="00435491">
        <w:rPr>
          <w:rFonts w:ascii="Garamond" w:hAnsi="Garamond"/>
        </w:rPr>
        <w:t xml:space="preserve"> for COVID-19</w:t>
      </w:r>
      <w:r w:rsidR="00900880" w:rsidRPr="005308CA">
        <w:rPr>
          <w:rFonts w:ascii="Garamond" w:hAnsi="Garamond"/>
        </w:rPr>
        <w:t>.</w:t>
      </w:r>
      <w:r w:rsidR="00EF1564" w:rsidRPr="004C5C6C">
        <w:rPr>
          <w:rFonts w:ascii="Garamond" w:hAnsi="Garamond"/>
        </w:rPr>
        <w:fldChar w:fldCharType="begin"/>
      </w:r>
      <w:r w:rsidR="00EF1564" w:rsidRPr="005308CA">
        <w:rPr>
          <w:rFonts w:ascii="Garamond" w:hAnsi="Garamond"/>
        </w:rPr>
        <w:instrText xml:space="preserve"> ADDIN ZOTERO_ITEM CSL_CITATION {"citationID":"8RGWDtEy","properties":{"formattedCitation":"\\super 1\\nosupersub{}","plainCitation":"1","noteIndex":0},"citationItems":[{"id":904,"uris":["http://zotero.org/users/local/LpXke84i/items/ERR96K3D"],"uri":["http://zotero.org/users/local/LpXke84i/items/ERR96K3D"],"itemData":{"id":904,"type":"article-journal","container-title":"The Lancet","DOI":"10.1016/S0140-6736(20)30894-1","ISSN":"0140-6736","issue":"10232","note":"publisher: Elsevier","page":"1245-1246","title":"Flooded by the torrent: the COVID-19 drug pipeline","volume":"395","author":[{"family":"Mullard","given":"Asher"}],"issued":{"date-parts":[["2020",4,18]]}}}],"schema":"https://github.com/citation-style-language/schema/raw/master/csl-citation.json"} </w:instrText>
      </w:r>
      <w:r w:rsidR="00EF1564" w:rsidRPr="004C5C6C">
        <w:rPr>
          <w:rFonts w:ascii="Garamond" w:hAnsi="Garamond"/>
        </w:rPr>
        <w:fldChar w:fldCharType="separate"/>
      </w:r>
      <w:r w:rsidR="00EF1564" w:rsidRPr="004C5C6C">
        <w:rPr>
          <w:rFonts w:ascii="Garamond" w:hAnsi="Garamond"/>
          <w:vertAlign w:val="superscript"/>
        </w:rPr>
        <w:t>1</w:t>
      </w:r>
      <w:r w:rsidR="00EF1564" w:rsidRPr="004C5C6C">
        <w:rPr>
          <w:rFonts w:ascii="Garamond" w:hAnsi="Garamond"/>
        </w:rPr>
        <w:fldChar w:fldCharType="end"/>
      </w:r>
      <w:r w:rsidR="00900880" w:rsidRPr="004C5C6C">
        <w:rPr>
          <w:rFonts w:ascii="Garamond" w:hAnsi="Garamond"/>
        </w:rPr>
        <w:t xml:space="preserve"> </w:t>
      </w:r>
      <w:r>
        <w:rPr>
          <w:rFonts w:ascii="Garamond" w:hAnsi="Garamond"/>
        </w:rPr>
        <w:t xml:space="preserve">According to an analysis by the news organisation STAT, over </w:t>
      </w:r>
      <w:r w:rsidR="00673F46">
        <w:rPr>
          <w:rFonts w:ascii="Garamond" w:hAnsi="Garamond"/>
        </w:rPr>
        <w:t>a thousand</w:t>
      </w:r>
      <w:r>
        <w:rPr>
          <w:rFonts w:ascii="Garamond" w:hAnsi="Garamond"/>
        </w:rPr>
        <w:t xml:space="preserve"> clinical trials </w:t>
      </w:r>
      <w:r w:rsidR="00253F33">
        <w:rPr>
          <w:rFonts w:ascii="Garamond" w:hAnsi="Garamond"/>
        </w:rPr>
        <w:t>were</w:t>
      </w:r>
      <w:r w:rsidR="009C461D">
        <w:rPr>
          <w:rFonts w:ascii="Garamond" w:hAnsi="Garamond"/>
        </w:rPr>
        <w:t xml:space="preserve"> </w:t>
      </w:r>
      <w:r w:rsidR="004C5464" w:rsidRPr="004C5C6C">
        <w:rPr>
          <w:rFonts w:ascii="Garamond" w:hAnsi="Garamond"/>
        </w:rPr>
        <w:t xml:space="preserve">registered on </w:t>
      </w:r>
      <w:r w:rsidR="00C77224" w:rsidRPr="004C5C6C">
        <w:rPr>
          <w:rFonts w:ascii="Garamond" w:hAnsi="Garamond"/>
        </w:rPr>
        <w:t>C</w:t>
      </w:r>
      <w:r w:rsidR="004C5464" w:rsidRPr="0076365B">
        <w:rPr>
          <w:rFonts w:ascii="Garamond" w:hAnsi="Garamond"/>
        </w:rPr>
        <w:t>linical</w:t>
      </w:r>
      <w:r w:rsidR="00C77224" w:rsidRPr="0076365B">
        <w:rPr>
          <w:rFonts w:ascii="Garamond" w:hAnsi="Garamond"/>
        </w:rPr>
        <w:t>T</w:t>
      </w:r>
      <w:r w:rsidR="004C5464" w:rsidRPr="0076365B">
        <w:rPr>
          <w:rFonts w:ascii="Garamond" w:hAnsi="Garamond"/>
        </w:rPr>
        <w:t>rials.gov</w:t>
      </w:r>
      <w:r>
        <w:rPr>
          <w:rFonts w:ascii="Garamond" w:hAnsi="Garamond"/>
        </w:rPr>
        <w:t xml:space="preserve"> between January and June 2020.</w:t>
      </w:r>
      <w:r>
        <w:rPr>
          <w:rFonts w:ascii="Garamond" w:hAnsi="Garamond"/>
        </w:rPr>
        <w:fldChar w:fldCharType="begin"/>
      </w:r>
      <w:r>
        <w:rPr>
          <w:rFonts w:ascii="Garamond" w:hAnsi="Garamond"/>
        </w:rPr>
        <w:instrText xml:space="preserve"> ADDIN ZOTERO_ITEM CSL_CITATION {"citationID":"pcuhoO4w","properties":{"formattedCitation":"\\super 2\\nosupersub{}","plainCitation":"2","noteIndex":0},"citationItems":[{"id":961,"uris":["http://zotero.org/users/local/LpXke84i/items/7XI63U2C"],"uri":["http://zotero.org/users/local/LpXke84i/items/7XI63U2C"],"itemData":{"id":961,"type":"article-newspaper","container-title":"STAT","title":"Data show panic and disorganization dominate the study of Covid-19 drugs","URL":"https://www.statnews.com/2020/07/06/data-show-panic-and-disorganization-dominate-the-study-of-covid-19-drugs/","author":[{"family":"Herper","given":"Matthew"},{"family":"Riglin","given":"Erin"}],"issued":{"date-parts":[["2020",7,6]]}}}],"schema":"https://github.com/citation-style-language/schema/raw/master/csl-citation.json"} </w:instrText>
      </w:r>
      <w:r>
        <w:rPr>
          <w:rFonts w:ascii="Garamond" w:hAnsi="Garamond"/>
        </w:rPr>
        <w:fldChar w:fldCharType="separate"/>
      </w:r>
      <w:r w:rsidRPr="00BA43DF">
        <w:rPr>
          <w:rFonts w:ascii="Garamond" w:hAnsi="Garamond"/>
          <w:vertAlign w:val="superscript"/>
        </w:rPr>
        <w:t>2</w:t>
      </w:r>
      <w:r>
        <w:rPr>
          <w:rFonts w:ascii="Garamond" w:hAnsi="Garamond"/>
        </w:rPr>
        <w:fldChar w:fldCharType="end"/>
      </w:r>
      <w:r>
        <w:rPr>
          <w:rFonts w:ascii="Garamond" w:hAnsi="Garamond"/>
        </w:rPr>
        <w:t xml:space="preserve"> </w:t>
      </w:r>
    </w:p>
    <w:p w14:paraId="57EA997D" w14:textId="10FA1D21" w:rsidR="00DE429A" w:rsidRDefault="00F1354B" w:rsidP="00F641D7">
      <w:pPr>
        <w:ind w:firstLine="720"/>
        <w:rPr>
          <w:rFonts w:ascii="Garamond" w:hAnsi="Garamond"/>
        </w:rPr>
      </w:pPr>
      <w:r w:rsidRPr="005308CA">
        <w:rPr>
          <w:rFonts w:ascii="Garamond" w:hAnsi="Garamond"/>
        </w:rPr>
        <w:t xml:space="preserve">This is a testament to the research </w:t>
      </w:r>
      <w:r w:rsidR="0030104C" w:rsidRPr="005308CA">
        <w:rPr>
          <w:rFonts w:ascii="Garamond" w:hAnsi="Garamond"/>
        </w:rPr>
        <w:t xml:space="preserve">and clinical </w:t>
      </w:r>
      <w:r w:rsidRPr="005308CA">
        <w:rPr>
          <w:rFonts w:ascii="Garamond" w:hAnsi="Garamond"/>
        </w:rPr>
        <w:t xml:space="preserve">community’s commitment to identify effective </w:t>
      </w:r>
      <w:r w:rsidR="00D22DC3" w:rsidRPr="005308CA">
        <w:rPr>
          <w:rFonts w:ascii="Garamond" w:hAnsi="Garamond"/>
        </w:rPr>
        <w:t xml:space="preserve">treatments </w:t>
      </w:r>
      <w:r w:rsidRPr="005308CA">
        <w:rPr>
          <w:rFonts w:ascii="Garamond" w:hAnsi="Garamond"/>
        </w:rPr>
        <w:t>for COVID-19. However, t</w:t>
      </w:r>
      <w:r w:rsidR="00900880" w:rsidRPr="005308CA">
        <w:rPr>
          <w:rFonts w:ascii="Garamond" w:hAnsi="Garamond"/>
        </w:rPr>
        <w:t xml:space="preserve">he </w:t>
      </w:r>
      <w:r w:rsidR="00C20FFC" w:rsidRPr="005308CA">
        <w:rPr>
          <w:rFonts w:ascii="Garamond" w:hAnsi="Garamond"/>
        </w:rPr>
        <w:t>large volume</w:t>
      </w:r>
      <w:r w:rsidR="00900880" w:rsidRPr="005308CA">
        <w:rPr>
          <w:rFonts w:ascii="Garamond" w:hAnsi="Garamond"/>
        </w:rPr>
        <w:t xml:space="preserve"> of </w:t>
      </w:r>
      <w:r w:rsidRPr="005308CA">
        <w:rPr>
          <w:rFonts w:ascii="Garamond" w:hAnsi="Garamond"/>
        </w:rPr>
        <w:t>studies</w:t>
      </w:r>
      <w:r w:rsidR="00900880" w:rsidRPr="005308CA">
        <w:rPr>
          <w:rFonts w:ascii="Garamond" w:hAnsi="Garamond"/>
        </w:rPr>
        <w:t xml:space="preserve"> may </w:t>
      </w:r>
      <w:r w:rsidRPr="005308CA">
        <w:rPr>
          <w:rFonts w:ascii="Garamond" w:hAnsi="Garamond"/>
        </w:rPr>
        <w:t xml:space="preserve">paradoxically </w:t>
      </w:r>
      <w:r w:rsidR="00A9439B">
        <w:rPr>
          <w:rFonts w:ascii="Garamond" w:hAnsi="Garamond"/>
        </w:rPr>
        <w:t xml:space="preserve">limit the generation of robust evidence and </w:t>
      </w:r>
      <w:r w:rsidR="00920A20" w:rsidRPr="005308CA">
        <w:rPr>
          <w:rFonts w:ascii="Garamond" w:hAnsi="Garamond"/>
        </w:rPr>
        <w:t>complicate</w:t>
      </w:r>
      <w:r w:rsidR="00900880" w:rsidRPr="005308CA">
        <w:rPr>
          <w:rFonts w:ascii="Garamond" w:hAnsi="Garamond"/>
        </w:rPr>
        <w:t xml:space="preserve"> </w:t>
      </w:r>
      <w:r w:rsidR="00255605" w:rsidRPr="005308CA">
        <w:rPr>
          <w:rFonts w:ascii="Garamond" w:hAnsi="Garamond"/>
        </w:rPr>
        <w:t xml:space="preserve">the formulation of </w:t>
      </w:r>
      <w:r w:rsidR="002A4223" w:rsidRPr="005308CA">
        <w:rPr>
          <w:rFonts w:ascii="Garamond" w:hAnsi="Garamond"/>
        </w:rPr>
        <w:t>trustworthy</w:t>
      </w:r>
      <w:r w:rsidR="00FF4077" w:rsidRPr="005308CA">
        <w:rPr>
          <w:rFonts w:ascii="Garamond" w:hAnsi="Garamond"/>
        </w:rPr>
        <w:t xml:space="preserve"> guidance and</w:t>
      </w:r>
      <w:r w:rsidR="00900880" w:rsidRPr="005308CA">
        <w:rPr>
          <w:rFonts w:ascii="Garamond" w:hAnsi="Garamond"/>
        </w:rPr>
        <w:t xml:space="preserve"> decision</w:t>
      </w:r>
      <w:r w:rsidR="00255605" w:rsidRPr="005308CA">
        <w:rPr>
          <w:rFonts w:ascii="Garamond" w:hAnsi="Garamond"/>
        </w:rPr>
        <w:t xml:space="preserve">s </w:t>
      </w:r>
      <w:r w:rsidR="001D326C" w:rsidRPr="005308CA">
        <w:rPr>
          <w:rFonts w:ascii="Garamond" w:hAnsi="Garamond"/>
        </w:rPr>
        <w:t>related to drug use i</w:t>
      </w:r>
      <w:r w:rsidR="00900880" w:rsidRPr="005308CA">
        <w:rPr>
          <w:rFonts w:ascii="Garamond" w:hAnsi="Garamond"/>
        </w:rPr>
        <w:t xml:space="preserve">f </w:t>
      </w:r>
      <w:r w:rsidR="009B40FA" w:rsidRPr="005308CA">
        <w:rPr>
          <w:rFonts w:ascii="Garamond" w:hAnsi="Garamond"/>
        </w:rPr>
        <w:t xml:space="preserve">the current </w:t>
      </w:r>
      <w:r w:rsidR="00900880" w:rsidRPr="005308CA">
        <w:rPr>
          <w:rFonts w:ascii="Garamond" w:hAnsi="Garamond"/>
        </w:rPr>
        <w:t xml:space="preserve">research </w:t>
      </w:r>
      <w:r w:rsidR="001D326C" w:rsidRPr="005308CA">
        <w:rPr>
          <w:rFonts w:ascii="Garamond" w:hAnsi="Garamond"/>
        </w:rPr>
        <w:t>is</w:t>
      </w:r>
      <w:r w:rsidR="00900880" w:rsidRPr="005308CA">
        <w:rPr>
          <w:rFonts w:ascii="Garamond" w:hAnsi="Garamond"/>
        </w:rPr>
        <w:t xml:space="preserve"> duplicative and redundant</w:t>
      </w:r>
      <w:r w:rsidR="001D326C" w:rsidRPr="005308CA">
        <w:rPr>
          <w:rFonts w:ascii="Garamond" w:hAnsi="Garamond"/>
        </w:rPr>
        <w:t xml:space="preserve"> or </w:t>
      </w:r>
      <w:r w:rsidR="00900880" w:rsidRPr="005308CA">
        <w:rPr>
          <w:rFonts w:ascii="Garamond" w:hAnsi="Garamond"/>
        </w:rPr>
        <w:t>produce</w:t>
      </w:r>
      <w:r w:rsidR="001D326C" w:rsidRPr="005308CA">
        <w:rPr>
          <w:rFonts w:ascii="Garamond" w:hAnsi="Garamond"/>
        </w:rPr>
        <w:t>s</w:t>
      </w:r>
      <w:r w:rsidR="00900880" w:rsidRPr="005308CA">
        <w:rPr>
          <w:rFonts w:ascii="Garamond" w:hAnsi="Garamond"/>
        </w:rPr>
        <w:t xml:space="preserve"> conflicting data.</w:t>
      </w:r>
      <w:r w:rsidR="00354CE4" w:rsidRPr="004C5C6C">
        <w:rPr>
          <w:rFonts w:ascii="Garamond" w:hAnsi="Garamond"/>
        </w:rPr>
        <w:fldChar w:fldCharType="begin"/>
      </w:r>
      <w:r w:rsidR="00BA43DF">
        <w:rPr>
          <w:rFonts w:ascii="Garamond" w:hAnsi="Garamond"/>
        </w:rPr>
        <w:instrText xml:space="preserve"> ADDIN ZOTERO_ITEM CSL_CITATION {"citationID":"YSKaWuHr","properties":{"formattedCitation":"\\super 3\\uc0\\u8211{}5\\nosupersub{}","plainCitation":"3–5","noteIndex":0},"citationItems":[{"id":917,"uris":["http://zotero.org/users/local/LpXke84i/items/U9TZB6K9"],"uri":["http://zotero.org/users/local/LpXke84i/items/U9TZB6K9"],"itemData":{"id":917,"type":"book","abstract":"Advances in medical, biomedical and health services research have reduced the level of uncertainty in clinical practice. Clinical practice guidelines (CPGs) complement this progress by establishing standards of care backed by strong scientific evidence. CPGs are statements that include recommendations intended to optimize patient care. These statements are informed by a systematic review of evidence and an assessment of the benefits and costs of alternative care options. Clinical Practice Guidelines We Can Trust examines the current state of clinical  practice guidelines and how they can be improved to enhance healthcare quality and patient outcomes. Clinical practice guidelines now are ubiquitous in our healthcare system. The Guidelines International Network (GIN) database currently  lists more than 3,700 guidelines from 39 countries. Developing guidelines presents a number of challenges including lack of transparent methodological practices, difficulty reconciling conflicting guidelines, and conflicts of interest. Clinical Practice Guidelines We Can Trust explores questions surrounding the quality of CPG development processes and the establishment of standards. It proposes eight standards for developing trustworthy clinical practice guidelines emphasizing transparency; management of conflict of interest  ; systematic review--guideline development intersection; establishing evidence foundations for and rating strength of guideline recommendations; articulation of recommendations; external review; and updating. Clinical Practice Guidelines We Can Trust shows how clinical practice guidelines can enhance clinician and patient decision-making by translating complex scientific research findings into  recommendations for clinical practice that are relevant to the individual patient encounter, instead of implementing a one size fits all approach to patient care.  This book contains information directly related to the work of the Agency for Healthcare Research and Quality (AHRQ), as well as various Congressional staff and policymakers. It is a vital resource for medical specialty societies, disease advocacy groups, health professionals, private and international organizations that develop or use clinical practice guidelines, consumers, clinicians, and payers.","event-place":"Washington (DC)","ISBN":"978-0-309-16423-8","language":"eng","note":"Book Title: Clinical Practice Guidelines We Can Trust\nDOI: 10.17226/13058\nPMID: 24983061","publisher":"National Academies Press (US)","publisher-place":"Washington (DC)","title":"Clinical Practice Guidelines We Can Trust","editor":[{"family":"Graham","given":"Robin"},{"family":"Mancher","given":"Michelle"},{"family":"Miller Wolman","given":"Dianne"},{"family":"Greenfield","given":"Sheldon"},{"family":"Steinberg","given":"Earl"}],"issued":{"date-parts":[["2011"]]}}},{"id":930,"uris":["http://zotero.org/users/local/LpXke84i/items/2HXNLB8X"],"uri":["http://zotero.org/users/local/LpXke84i/items/2HXNLB8X"],"itemData":{"id":930,"type":"article-journal","container-title":"BMJ","DOI":"10.1136/bmj.m1847","note":"publisher: BMJ Publishing Group Ltd\n_eprint: https://www.bmj.com/content/369/bmj.m1847.full.pdf","title":"Waste in covid-19 research","URL":"https://www.bmj.com/content/369/bmj.m1847","volume":"369","author":[{"family":"Glasziou","given":"Paul P"},{"family":"Sanders","given":"Sharon"},{"family":"Hoffmann","given":"Tammy"}],"issued":{"date-parts":[["2020"]]}}},{"id":931,"uris":["http://zotero.org/users/local/LpXke84i/items/SB3DGC6V"],"uri":["http://zotero.org/users/local/LpXke84i/items/SB3DGC6V"],"itemData":{"id":931,"type":"article-journal","container-title":"Bmj","note":"ISBN: 0959-8138\npublisher: British Medical Journal Publishing Group","page":"k4645","title":"Research waste is still a scandal—an essay by Paul Glasziou and Iain Chalmers","volume":"363","author":[{"family":"Glasziou","given":"Paul"},{"family":"Chalmers","given":"Iain"}],"issued":{"date-parts":[["2018"]]}}}],"schema":"https://github.com/citation-style-language/schema/raw/master/csl-citation.json"} </w:instrText>
      </w:r>
      <w:r w:rsidR="00354CE4" w:rsidRPr="004C5C6C">
        <w:rPr>
          <w:rFonts w:ascii="Garamond" w:hAnsi="Garamond"/>
        </w:rPr>
        <w:fldChar w:fldCharType="separate"/>
      </w:r>
      <w:r w:rsidR="00BA43DF" w:rsidRPr="00BA43DF">
        <w:rPr>
          <w:rFonts w:ascii="Garamond" w:hAnsi="Garamond"/>
          <w:vertAlign w:val="superscript"/>
        </w:rPr>
        <w:t>3–5</w:t>
      </w:r>
      <w:r w:rsidR="00354CE4" w:rsidRPr="004C5C6C">
        <w:rPr>
          <w:rFonts w:ascii="Garamond" w:hAnsi="Garamond"/>
        </w:rPr>
        <w:fldChar w:fldCharType="end"/>
      </w:r>
      <w:r w:rsidR="00900880" w:rsidRPr="004C5C6C">
        <w:rPr>
          <w:rFonts w:ascii="Garamond" w:hAnsi="Garamond"/>
        </w:rPr>
        <w:t xml:space="preserve"> </w:t>
      </w:r>
      <w:r w:rsidR="00DE429A">
        <w:rPr>
          <w:rFonts w:ascii="Garamond" w:hAnsi="Garamond"/>
        </w:rPr>
        <w:t xml:space="preserve">Indeed, </w:t>
      </w:r>
      <w:r w:rsidR="00A14D60">
        <w:rPr>
          <w:rFonts w:ascii="Garamond" w:hAnsi="Garamond"/>
        </w:rPr>
        <w:t>the multiplicity of</w:t>
      </w:r>
      <w:r w:rsidR="00DE429A">
        <w:rPr>
          <w:rFonts w:ascii="Garamond" w:hAnsi="Garamond"/>
        </w:rPr>
        <w:t xml:space="preserve"> research on candidate therapeutics for COVID-19 </w:t>
      </w:r>
      <w:r w:rsidR="00B0511E">
        <w:rPr>
          <w:rFonts w:ascii="Garamond" w:hAnsi="Garamond"/>
        </w:rPr>
        <w:t>has</w:t>
      </w:r>
      <w:r w:rsidR="00DE429A">
        <w:rPr>
          <w:rFonts w:ascii="Garamond" w:hAnsi="Garamond"/>
        </w:rPr>
        <w:t xml:space="preserve"> exposed important </w:t>
      </w:r>
      <w:r w:rsidR="0049617E">
        <w:rPr>
          <w:rFonts w:ascii="Garamond" w:hAnsi="Garamond"/>
        </w:rPr>
        <w:t>flaws and failures</w:t>
      </w:r>
      <w:r w:rsidR="00DE429A">
        <w:rPr>
          <w:rFonts w:ascii="Garamond" w:hAnsi="Garamond"/>
        </w:rPr>
        <w:t xml:space="preserve"> </w:t>
      </w:r>
      <w:r w:rsidR="003B0093">
        <w:rPr>
          <w:rFonts w:ascii="Garamond" w:hAnsi="Garamond"/>
        </w:rPr>
        <w:t>in</w:t>
      </w:r>
      <w:r w:rsidR="00DE429A">
        <w:rPr>
          <w:rFonts w:ascii="Garamond" w:hAnsi="Garamond"/>
        </w:rPr>
        <w:t xml:space="preserve"> the </w:t>
      </w:r>
      <w:r w:rsidR="00A14D60">
        <w:rPr>
          <w:rFonts w:ascii="Garamond" w:hAnsi="Garamond"/>
        </w:rPr>
        <w:t xml:space="preserve">current </w:t>
      </w:r>
      <w:r w:rsidR="00DE429A">
        <w:rPr>
          <w:rFonts w:ascii="Garamond" w:hAnsi="Garamond"/>
        </w:rPr>
        <w:t>evidence ecosystem.</w:t>
      </w:r>
      <w:r w:rsidR="00A14D60">
        <w:rPr>
          <w:rFonts w:ascii="Garamond" w:hAnsi="Garamond"/>
        </w:rPr>
        <w:fldChar w:fldCharType="begin"/>
      </w:r>
      <w:r w:rsidR="00234F52">
        <w:rPr>
          <w:rFonts w:ascii="Garamond" w:hAnsi="Garamond"/>
        </w:rPr>
        <w:instrText xml:space="preserve"> ADDIN ZOTERO_ITEM CSL_CITATION {"citationID":"M4XAJ9wE","properties":{"formattedCitation":"\\super 6,7\\nosupersub{}","plainCitation":"6,7","noteIndex":0},"citationItems":[{"id":970,"uris":["http://zotero.org/users/local/LpXke84i/items/85LG6PNN"],"uri":["http://zotero.org/users/local/LpXke84i/items/85LG6PNN"],"itemData":{"id":970,"type":"article-journal","container-title":"JAMA Network Open","DOI":"10.1001/jamanetworkopen.2020.15100","ISSN":"2574-3805","issue":"7","journalAbbreviation":"JAMA Network Open","page":"e2015100-e2015100","title":"Characteristics of the Multiplicity of Randomized Clinical Trials for Coronavirus Disease 2019 Launched During the Pandemic","volume":"3","author":[{"family":"Kouzy","given":"Ramez"},{"family":"Abi Jaoude","given":"Joseph"},{"family":"Garcia Garcia","given":"Carolina J."},{"family":"El Alam","given":"Molly B."},{"family":"Taniguchi","given":"Cullen M."},{"family":"Ludmir","given":"Ethan B."}],"issued":{"date-parts":[["2020",7,13]]}}},{"id":984,"uris":["http://zotero.org/users/local/LpXke84i/items/WGZW7Y7N"],"uri":["http://zotero.org/users/local/LpXke84i/items/WGZW7Y7N"],"itemData":{"id":984,"type":"article-journal","container-title":"Journal of Clinical Epidemiology","DOI":"10.1016/j.jclinepi.2020.02.008","ISSN":"0895-4356","journalAbbreviation":"Journal of Clinical Epidemiology","page":"166-170","title":"Future of Evidence Ecosystem Series: Evidence ecosystems and learning health systems: why bother?","volume":"123","author":[{"family":"Vandvik","given":"Per Olav"},{"family":"Brandt","given":"Linn"}],"issued":{"date-parts":[["2020",7,1]]}}}],"schema":"https://github.com/citation-style-language/schema/raw/master/csl-citation.json"} </w:instrText>
      </w:r>
      <w:r w:rsidR="00A14D60">
        <w:rPr>
          <w:rFonts w:ascii="Garamond" w:hAnsi="Garamond"/>
        </w:rPr>
        <w:fldChar w:fldCharType="separate"/>
      </w:r>
      <w:r w:rsidR="00234F52" w:rsidRPr="00234F52">
        <w:rPr>
          <w:rFonts w:ascii="Garamond" w:hAnsi="Garamond"/>
          <w:vertAlign w:val="superscript"/>
        </w:rPr>
        <w:t>6,7</w:t>
      </w:r>
      <w:r w:rsidR="00A14D60">
        <w:rPr>
          <w:rFonts w:ascii="Garamond" w:hAnsi="Garamond"/>
        </w:rPr>
        <w:fldChar w:fldCharType="end"/>
      </w:r>
      <w:r w:rsidR="00DE429A">
        <w:rPr>
          <w:rFonts w:ascii="Garamond" w:hAnsi="Garamond"/>
        </w:rPr>
        <w:t xml:space="preserve"> </w:t>
      </w:r>
      <w:r w:rsidR="00864682">
        <w:rPr>
          <w:rFonts w:ascii="Garamond" w:hAnsi="Garamond"/>
        </w:rPr>
        <w:t>Crucially</w:t>
      </w:r>
      <w:r w:rsidR="00A14D60">
        <w:rPr>
          <w:rFonts w:ascii="Garamond" w:hAnsi="Garamond"/>
        </w:rPr>
        <w:t xml:space="preserve">, these limitations </w:t>
      </w:r>
      <w:r w:rsidR="004603C5">
        <w:rPr>
          <w:rFonts w:ascii="Garamond" w:hAnsi="Garamond"/>
        </w:rPr>
        <w:t>are not</w:t>
      </w:r>
      <w:r w:rsidR="00A14D60">
        <w:rPr>
          <w:rFonts w:ascii="Garamond" w:hAnsi="Garamond"/>
        </w:rPr>
        <w:t xml:space="preserve"> </w:t>
      </w:r>
      <w:r w:rsidR="00B86646">
        <w:rPr>
          <w:rFonts w:ascii="Garamond" w:hAnsi="Garamond"/>
        </w:rPr>
        <w:t>specific</w:t>
      </w:r>
      <w:r w:rsidR="00A14D60">
        <w:rPr>
          <w:rFonts w:ascii="Garamond" w:hAnsi="Garamond"/>
        </w:rPr>
        <w:t xml:space="preserve"> to research on COVID-19 therapeutics </w:t>
      </w:r>
      <w:r w:rsidR="003B0093">
        <w:rPr>
          <w:rFonts w:ascii="Garamond" w:hAnsi="Garamond"/>
        </w:rPr>
        <w:t>and</w:t>
      </w:r>
      <w:r w:rsidR="00A14D60">
        <w:rPr>
          <w:rFonts w:ascii="Garamond" w:hAnsi="Garamond"/>
        </w:rPr>
        <w:t xml:space="preserve"> </w:t>
      </w:r>
      <w:r w:rsidR="00CE0952">
        <w:rPr>
          <w:rFonts w:ascii="Garamond" w:hAnsi="Garamond"/>
        </w:rPr>
        <w:t>closely resemble</w:t>
      </w:r>
      <w:r w:rsidR="00A14D60">
        <w:rPr>
          <w:rFonts w:ascii="Garamond" w:hAnsi="Garamond"/>
        </w:rPr>
        <w:t xml:space="preserve"> </w:t>
      </w:r>
      <w:r w:rsidR="00070612">
        <w:rPr>
          <w:rFonts w:ascii="Garamond" w:hAnsi="Garamond"/>
        </w:rPr>
        <w:t>problems</w:t>
      </w:r>
      <w:r w:rsidR="003B0093">
        <w:rPr>
          <w:rFonts w:ascii="Garamond" w:hAnsi="Garamond"/>
        </w:rPr>
        <w:t xml:space="preserve"> </w:t>
      </w:r>
      <w:r w:rsidR="007815E8">
        <w:rPr>
          <w:rFonts w:ascii="Garamond" w:hAnsi="Garamond"/>
        </w:rPr>
        <w:t xml:space="preserve">that </w:t>
      </w:r>
      <w:r w:rsidR="00070612">
        <w:rPr>
          <w:rFonts w:ascii="Garamond" w:hAnsi="Garamond"/>
        </w:rPr>
        <w:t>persist</w:t>
      </w:r>
      <w:r w:rsidR="007815E8">
        <w:rPr>
          <w:rFonts w:ascii="Garamond" w:hAnsi="Garamond"/>
        </w:rPr>
        <w:t xml:space="preserve"> </w:t>
      </w:r>
      <w:r w:rsidR="00A14D60">
        <w:rPr>
          <w:rFonts w:ascii="Garamond" w:hAnsi="Garamond"/>
        </w:rPr>
        <w:t>across the full spectrum of research</w:t>
      </w:r>
      <w:r w:rsidR="003B0093">
        <w:rPr>
          <w:rFonts w:ascii="Garamond" w:hAnsi="Garamond"/>
        </w:rPr>
        <w:t xml:space="preserve"> </w:t>
      </w:r>
      <w:r w:rsidR="00A9439B">
        <w:rPr>
          <w:rFonts w:ascii="Garamond" w:hAnsi="Garamond"/>
        </w:rPr>
        <w:t>on new health technologies</w:t>
      </w:r>
      <w:r w:rsidR="00A14D60">
        <w:rPr>
          <w:rFonts w:ascii="Garamond" w:hAnsi="Garamond"/>
        </w:rPr>
        <w:t>.</w:t>
      </w:r>
      <w:r w:rsidR="007815E8">
        <w:rPr>
          <w:rFonts w:ascii="Garamond" w:hAnsi="Garamond"/>
        </w:rPr>
        <w:fldChar w:fldCharType="begin"/>
      </w:r>
      <w:r w:rsidR="00234F52">
        <w:rPr>
          <w:rFonts w:ascii="Garamond" w:hAnsi="Garamond"/>
        </w:rPr>
        <w:instrText xml:space="preserve"> ADDIN ZOTERO_ITEM CSL_CITATION {"citationID":"SLHNvhdh","properties":{"formattedCitation":"\\super 8,9\\nosupersub{}","plainCitation":"8,9","noteIndex":0},"citationItems":[{"id":891,"uris":["http://zotero.org/users/local/LpXke84i/items/MUUZEJZG"],"uri":["http://zotero.org/users/local/LpXke84i/items/MUUZEJZG"],"itemData":{"id":891,"type":"article-journal","abstract":"Fewer than half of new drugs have data on their comparative benefits and harms against existing treatment options at the time of regulatory approval in Europe and the USA. Even when active-comparator trials exist, they might not produce meaningful data to inform decisions in clinical practice and health policy. The uncertainty associated with the paucity of well designed active-comparator trials has been compounded by legal and regulatory changes in Europe and the USA that have created a complex mix of expedited programmes aimed at facilitating faster access to new drugs. Comparative evidence generation is even sparser for medical devices. Some have argued that the current process for regulatory approval needs to generate more evidence that is useful for patients, clinicians, and payers in health-care systems. We propose a set of five key principles relevant to the European Medicines Agency, European medical device regulatory agencies, US Food and Drug Administration, as well as payers, that we believe will provide the necessary incentives for pharmaceutical and device companies to generate comparative data on drugs and devices and assure timely availability of evidence that is useful for decision making. First, labelling should routinely inform patients and clinicians whether comparative data exist on new products. Second, regulators should be more selective in their use of programmes that facilitate drug and device approvals on the basis of incomplete benefit and harm data. Third, regulators should encourage the conduct of randomised trials with active comparators. Fourth, regulators should use prospectively designed network meta-analyses based on existing and future randomised trials. Last, payers should use their policy levers and negotiating power to incentivise the generation of comparative evidence on new and existing drugs and devices, for example, by explicitly considering proven added benefit in pricing and payment decisions.","container-title":"The Lancet","DOI":"10.1016/S0140-6736(19)33178-2","ISSN":"0140-6736","issue":"10228","note":"publisher: Elsevier","page":"986-997","title":"Generating comparative evidence on new drugs and devices before approval","volume":"395","author":[{"family":"Naci","given":"Huseyin"},{"family":"Salcher-Konrad","given":"Maximilian"},{"family":"Kesselheim","given":"Aaron S"},{"family":"Wieseler","given":"Beate"},{"family":"Rochaix","given":"Lise"},{"family":"Redberg","given":"Rita F"},{"family":"Salanti","given":"Georgia"},{"family":"Jackson","given":"Emily"},{"family":"Garner","given":"Sarah"},{"family":"Stroup","given":"T Scott"},{"family":"Cipriani","given":"Andrea"}],"issued":{"date-parts":[["2020",3,21]]}}},{"id":893,"uris":["http://zotero.org/users/local/LpXke84i/items/V6SL6AUR"],"uri":["http://zotero.org/users/local/LpXke84i/items/V6SL6AUR"],"itemData":{"id":893,"type":"article-journal","abstract":"Certain limitations of evidence available on drugs and devices at the time of market approval often persist in the post-marketing period. Often, post-marketing research landscape is fragmented. When regulatory agencies require pharmaceutical and device manufacturers to conduct studies in the post-marketing period, these studies might remain incomplete many years after approval. Even when completed, many post-marketing studies lack meaningful active comparators, have observational designs, and might not collect patient-relevant outcomes. Regulators, in collaboration with the industry and patients, ought to ensure that the key questions unanswered at the time of drug and device approval are resolved in a timely fashion during the post-marketing phase. We propose a set of seven key guiding principles that we believe will provide the necessary incentives for pharmaceutical and device manufacturers to generate comparative data in the post-marketing period. First, regulators (for drugs and devices), notified bodies (for devices in Europe), health technology assessment organisations, and payers should develop customised evidence generation plans, ensuring that future post-approval studies address any limitations of the data available at the time of market entry impacting the benefit?risk profiles of drugs and devices. Second, post-marketing studies should be designed hierarchically: priority should be given to efforts aimed at evaluating a product's net clinical benefit in randomised trials compared with current known effective therapy, whenever possible, to address common decisional dilemmas. Third, post-marketing studies should incorporate active comparators as appropriate. Fourth, use of non-randomised studies for the evaluation of clinical benefit in the post-marketing period should be limited to instances when the magnitude of effect is deemed to be large or when it is possible to reasonably infer the comparative benefits or risks in settings, in which doing a randomised trial is not feasible. Fifth, efficiency of randomised trials should be improved by streamlining patient recruitment and data collection through innovative design elements. Sixth, governments should directly support and facilitate the production of comparative post-marketing data by investing in the development of collaborative research networks and data systems that reduce the complexity, cost, and waste of rigorous post-marketing research efforts. Last, financial incentives and penalties should be developed or more actively reinforced.","container-title":"The Lancet","DOI":"10.1016/S0140-6736(19)33177-0","ISSN":"0140-6736","issue":"10228","note":"publisher: Elsevier","page":"998-1010","title":"Generating comparative evidence on new drugs and devices after approval","volume":"395","author":[{"family":"Cipriani","given":"Andrea"},{"family":"Ioannidis","given":"John P A"},{"family":"Rothwell","given":"Peter M"},{"family":"Glasziou","given":"Paul"},{"family":"Li","given":"Tianjing"},{"family":"Hernandez","given":"Adrian F"},{"family":"Tomlinson","given":"Anneka"},{"family":"Simes","given":"John"},{"family":"Naci","given":"Huseyin"}],"issued":{"date-parts":[["2020",3,21]]}}}],"schema":"https://github.com/citation-style-language/schema/raw/master/csl-citation.json"} </w:instrText>
      </w:r>
      <w:r w:rsidR="007815E8">
        <w:rPr>
          <w:rFonts w:ascii="Garamond" w:hAnsi="Garamond"/>
        </w:rPr>
        <w:fldChar w:fldCharType="separate"/>
      </w:r>
      <w:r w:rsidR="00234F52" w:rsidRPr="00234F52">
        <w:rPr>
          <w:rFonts w:ascii="Garamond" w:hAnsi="Garamond"/>
          <w:vertAlign w:val="superscript"/>
        </w:rPr>
        <w:t>8,9</w:t>
      </w:r>
      <w:r w:rsidR="007815E8">
        <w:rPr>
          <w:rFonts w:ascii="Garamond" w:hAnsi="Garamond"/>
        </w:rPr>
        <w:fldChar w:fldCharType="end"/>
      </w:r>
    </w:p>
    <w:p w14:paraId="47F3A217" w14:textId="0A9CCD89" w:rsidR="00FD6511" w:rsidRPr="004F5E95" w:rsidRDefault="00437E74" w:rsidP="007815E8">
      <w:pPr>
        <w:ind w:firstLine="720"/>
        <w:rPr>
          <w:rFonts w:ascii="Garamond" w:hAnsi="Garamond"/>
          <w:highlight w:val="yellow"/>
        </w:rPr>
      </w:pPr>
      <w:r>
        <w:rPr>
          <w:rFonts w:ascii="Garamond" w:hAnsi="Garamond"/>
        </w:rPr>
        <w:t>Users of evidence across the health care system (p</w:t>
      </w:r>
      <w:r w:rsidR="00CE0952">
        <w:rPr>
          <w:rFonts w:ascii="Garamond" w:hAnsi="Garamond"/>
        </w:rPr>
        <w:t>atients</w:t>
      </w:r>
      <w:r>
        <w:rPr>
          <w:rFonts w:ascii="Garamond" w:hAnsi="Garamond"/>
        </w:rPr>
        <w:t xml:space="preserve">, </w:t>
      </w:r>
      <w:r w:rsidR="00CE0952">
        <w:rPr>
          <w:rFonts w:ascii="Garamond" w:hAnsi="Garamond"/>
        </w:rPr>
        <w:t>clinicians</w:t>
      </w:r>
      <w:r>
        <w:rPr>
          <w:rFonts w:ascii="Garamond" w:hAnsi="Garamond"/>
        </w:rPr>
        <w:t>, health technology assessment bodies, guideline developers, payers)</w:t>
      </w:r>
      <w:r w:rsidR="00CE0952">
        <w:rPr>
          <w:rFonts w:ascii="Garamond" w:hAnsi="Garamond"/>
        </w:rPr>
        <w:t xml:space="preserve"> need </w:t>
      </w:r>
      <w:r w:rsidR="00357BFE" w:rsidRPr="0076365B">
        <w:rPr>
          <w:rFonts w:ascii="Garamond" w:hAnsi="Garamond"/>
        </w:rPr>
        <w:t>timely data on how different treatment</w:t>
      </w:r>
      <w:r w:rsidR="00E16D42" w:rsidRPr="0076365B">
        <w:rPr>
          <w:rFonts w:ascii="Garamond" w:hAnsi="Garamond"/>
        </w:rPr>
        <w:t>s</w:t>
      </w:r>
      <w:r w:rsidR="001D326C" w:rsidRPr="00435491">
        <w:rPr>
          <w:rFonts w:ascii="Garamond" w:hAnsi="Garamond"/>
        </w:rPr>
        <w:t xml:space="preserve"> </w:t>
      </w:r>
      <w:r w:rsidR="00357BFE" w:rsidRPr="00435491">
        <w:rPr>
          <w:rFonts w:ascii="Garamond" w:hAnsi="Garamond"/>
        </w:rPr>
        <w:t>compar</w:t>
      </w:r>
      <w:r w:rsidR="00357BFE" w:rsidRPr="005308CA">
        <w:rPr>
          <w:rFonts w:ascii="Garamond" w:hAnsi="Garamond"/>
        </w:rPr>
        <w:t>e to each other in terms of their benefits and harms – their comparative effectiveness</w:t>
      </w:r>
      <w:r w:rsidR="00354CE4" w:rsidRPr="005308CA">
        <w:rPr>
          <w:rFonts w:ascii="Garamond" w:hAnsi="Garamond"/>
        </w:rPr>
        <w:t>.</w:t>
      </w:r>
      <w:r w:rsidR="00FF20CE" w:rsidRPr="005308CA">
        <w:rPr>
          <w:rFonts w:ascii="Garamond" w:hAnsi="Garamond"/>
        </w:rPr>
        <w:t xml:space="preserve"> </w:t>
      </w:r>
      <w:r w:rsidR="00F1166E">
        <w:rPr>
          <w:rFonts w:ascii="Garamond" w:hAnsi="Garamond"/>
        </w:rPr>
        <w:t xml:space="preserve">Producing </w:t>
      </w:r>
      <w:r w:rsidR="00354CE4" w:rsidRPr="005308CA">
        <w:rPr>
          <w:rFonts w:ascii="Garamond" w:hAnsi="Garamond"/>
        </w:rPr>
        <w:t xml:space="preserve">comparative evidence and ensuring </w:t>
      </w:r>
      <w:r w:rsidR="006F1E0A" w:rsidRPr="005308CA">
        <w:rPr>
          <w:rFonts w:ascii="Garamond" w:hAnsi="Garamond"/>
        </w:rPr>
        <w:t>its rapid translation</w:t>
      </w:r>
      <w:r w:rsidR="00354CE4" w:rsidRPr="005308CA">
        <w:rPr>
          <w:rFonts w:ascii="Garamond" w:hAnsi="Garamond"/>
        </w:rPr>
        <w:t xml:space="preserve"> into trustworthy guidance </w:t>
      </w:r>
      <w:r w:rsidR="006B0C30" w:rsidRPr="005308CA">
        <w:rPr>
          <w:rFonts w:ascii="Garamond" w:hAnsi="Garamond"/>
        </w:rPr>
        <w:t>require</w:t>
      </w:r>
      <w:r w:rsidR="00DE429A">
        <w:rPr>
          <w:rFonts w:ascii="Garamond" w:hAnsi="Garamond"/>
        </w:rPr>
        <w:t>s</w:t>
      </w:r>
      <w:r w:rsidR="006B0C30" w:rsidRPr="005308CA">
        <w:rPr>
          <w:rFonts w:ascii="Garamond" w:hAnsi="Garamond"/>
        </w:rPr>
        <w:t xml:space="preserve"> </w:t>
      </w:r>
      <w:r w:rsidR="00B0511E">
        <w:rPr>
          <w:rFonts w:ascii="Garamond" w:hAnsi="Garamond"/>
        </w:rPr>
        <w:t>extensive</w:t>
      </w:r>
      <w:r w:rsidR="00B0511E" w:rsidRPr="005308CA">
        <w:rPr>
          <w:rFonts w:ascii="Garamond" w:hAnsi="Garamond"/>
        </w:rPr>
        <w:t xml:space="preserve"> </w:t>
      </w:r>
      <w:r w:rsidR="006B0C30" w:rsidRPr="005308CA">
        <w:rPr>
          <w:rFonts w:ascii="Garamond" w:hAnsi="Garamond"/>
        </w:rPr>
        <w:t>coordination and collaboration</w:t>
      </w:r>
      <w:r w:rsidR="00861D87">
        <w:rPr>
          <w:rFonts w:ascii="Garamond" w:hAnsi="Garamond"/>
        </w:rPr>
        <w:t xml:space="preserve"> between </w:t>
      </w:r>
      <w:r w:rsidR="00870CAC">
        <w:rPr>
          <w:rFonts w:ascii="Garamond" w:hAnsi="Garamond"/>
        </w:rPr>
        <w:t>the researchers conducting clinical trials</w:t>
      </w:r>
      <w:r w:rsidR="006B5917">
        <w:rPr>
          <w:rFonts w:ascii="Garamond" w:hAnsi="Garamond"/>
        </w:rPr>
        <w:t xml:space="preserve">, </w:t>
      </w:r>
      <w:r w:rsidR="00870CAC">
        <w:rPr>
          <w:rFonts w:ascii="Garamond" w:hAnsi="Garamond"/>
        </w:rPr>
        <w:t>those conducting comparative effectiveness assessments</w:t>
      </w:r>
      <w:r w:rsidR="006B5917">
        <w:rPr>
          <w:rFonts w:ascii="Garamond" w:hAnsi="Garamond"/>
        </w:rPr>
        <w:t xml:space="preserve"> and those producing guidance</w:t>
      </w:r>
      <w:r w:rsidR="006B0C30" w:rsidRPr="005308CA">
        <w:rPr>
          <w:rFonts w:ascii="Garamond" w:hAnsi="Garamond"/>
        </w:rPr>
        <w:t>.</w:t>
      </w:r>
      <w:r w:rsidR="00312894" w:rsidRPr="004C5C6C">
        <w:rPr>
          <w:rFonts w:ascii="Garamond" w:hAnsi="Garamond"/>
        </w:rPr>
        <w:fldChar w:fldCharType="begin"/>
      </w:r>
      <w:r w:rsidR="00234F52">
        <w:rPr>
          <w:rFonts w:ascii="Garamond" w:hAnsi="Garamond"/>
        </w:rPr>
        <w:instrText xml:space="preserve"> ADDIN ZOTERO_ITEM CSL_CITATION {"citationID":"HzwqnXct","properties":{"formattedCitation":"\\super 8,9\\nosupersub{}","plainCitation":"8,9","noteIndex":0},"citationItems":[{"id":891,"uris":["http://zotero.org/users/local/LpXke84i/items/MUUZEJZG"],"uri":["http://zotero.org/users/local/LpXke84i/items/MUUZEJZG"],"itemData":{"id":891,"type":"article-journal","abstract":"Fewer than half of new drugs have data on their comparative benefits and harms against existing treatment options at the time of regulatory approval in Europe and the USA. Even when active-comparator trials exist, they might not produce meaningful data to inform decisions in clinical practice and health policy. The uncertainty associated with the paucity of well designed active-comparator trials has been compounded by legal and regulatory changes in Europe and the USA that have created a complex mix of expedited programmes aimed at facilitating faster access to new drugs. Comparative evidence generation is even sparser for medical devices. Some have argued that the current process for regulatory approval needs to generate more evidence that is useful for patients, clinicians, and payers in health-care systems. We propose a set of five key principles relevant to the European Medicines Agency, European medical device regulatory agencies, US Food and Drug Administration, as well as payers, that we believe will provide the necessary incentives for pharmaceutical and device companies to generate comparative data on drugs and devices and assure timely availability of evidence that is useful for decision making. First, labelling should routinely inform patients and clinicians whether comparative data exist on new products. Second, regulators should be more selective in their use of programmes that facilitate drug and device approvals on the basis of incomplete benefit and harm data. Third, regulators should encourage the conduct of randomised trials with active comparators. Fourth, regulators should use prospectively designed network meta-analyses based on existing and future randomised trials. Last, payers should use their policy levers and negotiating power to incentivise the generation of comparative evidence on new and existing drugs and devices, for example, by explicitly considering proven added benefit in pricing and payment decisions.","container-title":"The Lancet","DOI":"10.1016/S0140-6736(19)33178-2","ISSN":"0140-6736","issue":"10228","note":"publisher: Elsevier","page":"986-997","title":"Generating comparative evidence on new drugs and devices before approval","volume":"395","author":[{"family":"Naci","given":"Huseyin"},{"family":"Salcher-Konrad","given":"Maximilian"},{"family":"Kesselheim","given":"Aaron S"},{"family":"Wieseler","given":"Beate"},{"family":"Rochaix","given":"Lise"},{"family":"Redberg","given":"Rita F"},{"family":"Salanti","given":"Georgia"},{"family":"Jackson","given":"Emily"},{"family":"Garner","given":"Sarah"},{"family":"Stroup","given":"T Scott"},{"family":"Cipriani","given":"Andrea"}],"issued":{"date-parts":[["2020",3,21]]}}},{"id":893,"uris":["http://zotero.org/users/local/LpXke84i/items/V6SL6AUR"],"uri":["http://zotero.org/users/local/LpXke84i/items/V6SL6AUR"],"itemData":{"id":893,"type":"article-journal","abstract":"Certain limitations of evidence available on drugs and devices at the time of market approval often persist in the post-marketing period. Often, post-marketing research landscape is fragmented. When regulatory agencies require pharmaceutical and device manufacturers to conduct studies in the post-marketing period, these studies might remain incomplete many years after approval. Even when completed, many post-marketing studies lack meaningful active comparators, have observational designs, and might not collect patient-relevant outcomes. Regulators, in collaboration with the industry and patients, ought to ensure that the key questions unanswered at the time of drug and device approval are resolved in a timely fashion during the post-marketing phase. We propose a set of seven key guiding principles that we believe will provide the necessary incentives for pharmaceutical and device manufacturers to generate comparative data in the post-marketing period. First, regulators (for drugs and devices), notified bodies (for devices in Europe), health technology assessment organisations, and payers should develop customised evidence generation plans, ensuring that future post-approval studies address any limitations of the data available at the time of market entry impacting the benefit?risk profiles of drugs and devices. Second, post-marketing studies should be designed hierarchically: priority should be given to efforts aimed at evaluating a product's net clinical benefit in randomised trials compared with current known effective therapy, whenever possible, to address common decisional dilemmas. Third, post-marketing studies should incorporate active comparators as appropriate. Fourth, use of non-randomised studies for the evaluation of clinical benefit in the post-marketing period should be limited to instances when the magnitude of effect is deemed to be large or when it is possible to reasonably infer the comparative benefits or risks in settings, in which doing a randomised trial is not feasible. Fifth, efficiency of randomised trials should be improved by streamlining patient recruitment and data collection through innovative design elements. Sixth, governments should directly support and facilitate the production of comparative post-marketing data by investing in the development of collaborative research networks and data systems that reduce the complexity, cost, and waste of rigorous post-marketing research efforts. Last, financial incentives and penalties should be developed or more actively reinforced.","container-title":"The Lancet","DOI":"10.1016/S0140-6736(19)33177-0","ISSN":"0140-6736","issue":"10228","note":"publisher: Elsevier","page":"998-1010","title":"Generating comparative evidence on new drugs and devices after approval","volume":"395","author":[{"family":"Cipriani","given":"Andrea"},{"family":"Ioannidis","given":"John P A"},{"family":"Rothwell","given":"Peter M"},{"family":"Glasziou","given":"Paul"},{"family":"Li","given":"Tianjing"},{"family":"Hernandez","given":"Adrian F"},{"family":"Tomlinson","given":"Anneka"},{"family":"Simes","given":"John"},{"family":"Naci","given":"Huseyin"}],"issued":{"date-parts":[["2020",3,21]]}}}],"schema":"https://github.com/citation-style-language/schema/raw/master/csl-citation.json"} </w:instrText>
      </w:r>
      <w:r w:rsidR="00312894" w:rsidRPr="004C5C6C">
        <w:rPr>
          <w:rFonts w:ascii="Garamond" w:hAnsi="Garamond"/>
        </w:rPr>
        <w:fldChar w:fldCharType="separate"/>
      </w:r>
      <w:r w:rsidR="00234F52" w:rsidRPr="00234F52">
        <w:rPr>
          <w:rFonts w:ascii="Garamond" w:hAnsi="Garamond"/>
          <w:vertAlign w:val="superscript"/>
        </w:rPr>
        <w:t>8,9</w:t>
      </w:r>
      <w:r w:rsidR="00312894" w:rsidRPr="004C5C6C">
        <w:rPr>
          <w:rFonts w:ascii="Garamond" w:hAnsi="Garamond"/>
        </w:rPr>
        <w:fldChar w:fldCharType="end"/>
      </w:r>
      <w:r w:rsidR="006B0C30" w:rsidRPr="004C5C6C">
        <w:rPr>
          <w:rFonts w:ascii="Garamond" w:hAnsi="Garamond"/>
        </w:rPr>
        <w:t xml:space="preserve"> </w:t>
      </w:r>
      <w:r w:rsidR="009C461D" w:rsidRPr="007815E8">
        <w:rPr>
          <w:rFonts w:ascii="Garamond" w:hAnsi="Garamond"/>
        </w:rPr>
        <w:t xml:space="preserve">In this </w:t>
      </w:r>
      <w:r w:rsidR="009C461D" w:rsidRPr="004F5E95">
        <w:rPr>
          <w:rFonts w:ascii="Garamond" w:hAnsi="Garamond"/>
          <w:i/>
          <w:iCs/>
        </w:rPr>
        <w:t>Analysis</w:t>
      </w:r>
      <w:r w:rsidR="00D251B3" w:rsidRPr="004F5E95">
        <w:rPr>
          <w:rFonts w:ascii="Garamond" w:hAnsi="Garamond"/>
        </w:rPr>
        <w:t xml:space="preserve"> article</w:t>
      </w:r>
      <w:r w:rsidR="009C461D" w:rsidRPr="007815E8">
        <w:rPr>
          <w:rFonts w:ascii="Garamond" w:hAnsi="Garamond"/>
        </w:rPr>
        <w:t>, we</w:t>
      </w:r>
      <w:r w:rsidR="00A14D60" w:rsidRPr="004F5E95">
        <w:rPr>
          <w:rFonts w:ascii="Garamond" w:hAnsi="Garamond"/>
        </w:rPr>
        <w:t xml:space="preserve"> </w:t>
      </w:r>
      <w:r w:rsidR="00327CAE">
        <w:rPr>
          <w:rFonts w:ascii="Garamond" w:hAnsi="Garamond"/>
        </w:rPr>
        <w:t>document</w:t>
      </w:r>
      <w:r w:rsidR="007D3689">
        <w:rPr>
          <w:rFonts w:ascii="Garamond" w:hAnsi="Garamond"/>
        </w:rPr>
        <w:t xml:space="preserve"> the </w:t>
      </w:r>
      <w:r w:rsidR="00327CAE">
        <w:rPr>
          <w:rFonts w:ascii="Garamond" w:hAnsi="Garamond"/>
        </w:rPr>
        <w:t xml:space="preserve">limitations of </w:t>
      </w:r>
      <w:r w:rsidR="00CE0952">
        <w:rPr>
          <w:rFonts w:ascii="Garamond" w:hAnsi="Garamond"/>
        </w:rPr>
        <w:t xml:space="preserve">COVID-19 </w:t>
      </w:r>
      <w:r w:rsidR="00A9439B">
        <w:rPr>
          <w:rFonts w:ascii="Garamond" w:hAnsi="Garamond"/>
        </w:rPr>
        <w:t>clinical trials</w:t>
      </w:r>
      <w:r w:rsidR="00230B26">
        <w:rPr>
          <w:rFonts w:ascii="Garamond" w:hAnsi="Garamond"/>
        </w:rPr>
        <w:t xml:space="preserve">, </w:t>
      </w:r>
      <w:r w:rsidR="00327CAE">
        <w:rPr>
          <w:rFonts w:ascii="Garamond" w:hAnsi="Garamond"/>
        </w:rPr>
        <w:t>explore the extent of collaboration to date</w:t>
      </w:r>
      <w:r w:rsidR="00230B26">
        <w:rPr>
          <w:rFonts w:ascii="Garamond" w:hAnsi="Garamond"/>
        </w:rPr>
        <w:t>,</w:t>
      </w:r>
      <w:r w:rsidR="00327CAE">
        <w:rPr>
          <w:rFonts w:ascii="Garamond" w:hAnsi="Garamond"/>
        </w:rPr>
        <w:t xml:space="preserve"> and </w:t>
      </w:r>
      <w:r w:rsidR="007D3689">
        <w:rPr>
          <w:rFonts w:ascii="Garamond" w:hAnsi="Garamond"/>
        </w:rPr>
        <w:t>outline several key areas for improvement.</w:t>
      </w:r>
      <w:r w:rsidR="003B0093">
        <w:rPr>
          <w:rFonts w:ascii="Garamond" w:hAnsi="Garamond"/>
        </w:rPr>
        <w:t xml:space="preserve"> </w:t>
      </w:r>
    </w:p>
    <w:p w14:paraId="1148C0EC" w14:textId="77777777" w:rsidR="00F1354B" w:rsidRPr="0076365B" w:rsidRDefault="00F1354B" w:rsidP="00F1354B">
      <w:pPr>
        <w:rPr>
          <w:rFonts w:ascii="Garamond" w:hAnsi="Garamond"/>
        </w:rPr>
      </w:pPr>
    </w:p>
    <w:p w14:paraId="69D50E47" w14:textId="3C85ABC7" w:rsidR="00900880" w:rsidRPr="004C5C6C" w:rsidRDefault="00C503E1">
      <w:pPr>
        <w:rPr>
          <w:rFonts w:ascii="Garamond" w:hAnsi="Garamond"/>
          <w:b/>
          <w:bCs/>
        </w:rPr>
      </w:pPr>
      <w:r>
        <w:rPr>
          <w:rFonts w:ascii="Garamond" w:hAnsi="Garamond"/>
          <w:b/>
          <w:bCs/>
        </w:rPr>
        <w:t>Limitations of r</w:t>
      </w:r>
      <w:r w:rsidR="00CC24D5">
        <w:rPr>
          <w:rFonts w:ascii="Garamond" w:hAnsi="Garamond"/>
          <w:b/>
          <w:bCs/>
        </w:rPr>
        <w:t>esearch on COVID-19 therapeutics</w:t>
      </w:r>
    </w:p>
    <w:p w14:paraId="2C65FE81" w14:textId="7762BE6F" w:rsidR="00255605" w:rsidRPr="005308CA" w:rsidRDefault="00AF3E95" w:rsidP="00745323">
      <w:pPr>
        <w:ind w:firstLine="720"/>
        <w:rPr>
          <w:rFonts w:ascii="Garamond" w:hAnsi="Garamond"/>
        </w:rPr>
      </w:pPr>
      <w:r w:rsidRPr="004C5C6C">
        <w:rPr>
          <w:rFonts w:ascii="Garamond" w:hAnsi="Garamond"/>
        </w:rPr>
        <w:t xml:space="preserve">Three main </w:t>
      </w:r>
      <w:r w:rsidR="00C503E1">
        <w:rPr>
          <w:rFonts w:ascii="Garamond" w:hAnsi="Garamond"/>
        </w:rPr>
        <w:t>limitations</w:t>
      </w:r>
      <w:r w:rsidR="00C503E1" w:rsidRPr="004C5C6C">
        <w:rPr>
          <w:rFonts w:ascii="Garamond" w:hAnsi="Garamond"/>
        </w:rPr>
        <w:t xml:space="preserve"> </w:t>
      </w:r>
      <w:r w:rsidR="00534310" w:rsidRPr="004C5C6C">
        <w:rPr>
          <w:rFonts w:ascii="Garamond" w:hAnsi="Garamond"/>
        </w:rPr>
        <w:t xml:space="preserve">have </w:t>
      </w:r>
      <w:r w:rsidRPr="0076365B">
        <w:rPr>
          <w:rFonts w:ascii="Garamond" w:hAnsi="Garamond"/>
        </w:rPr>
        <w:t>characteri</w:t>
      </w:r>
      <w:r w:rsidR="00E57B25" w:rsidRPr="0076365B">
        <w:rPr>
          <w:rFonts w:ascii="Garamond" w:hAnsi="Garamond"/>
        </w:rPr>
        <w:t>s</w:t>
      </w:r>
      <w:r w:rsidRPr="0076365B">
        <w:rPr>
          <w:rFonts w:ascii="Garamond" w:hAnsi="Garamond"/>
        </w:rPr>
        <w:t>e</w:t>
      </w:r>
      <w:r w:rsidR="00534310" w:rsidRPr="00435491">
        <w:rPr>
          <w:rFonts w:ascii="Garamond" w:hAnsi="Garamond"/>
        </w:rPr>
        <w:t>d</w:t>
      </w:r>
      <w:r w:rsidRPr="00435491">
        <w:rPr>
          <w:rFonts w:ascii="Garamond" w:hAnsi="Garamond"/>
        </w:rPr>
        <w:t xml:space="preserve"> the system for evaluating </w:t>
      </w:r>
      <w:r w:rsidR="00717B55" w:rsidRPr="005308CA">
        <w:rPr>
          <w:rFonts w:ascii="Garamond" w:hAnsi="Garamond"/>
        </w:rPr>
        <w:t>repurposed or investigational therapeutics</w:t>
      </w:r>
      <w:r w:rsidRPr="005308CA">
        <w:rPr>
          <w:rFonts w:ascii="Garamond" w:hAnsi="Garamond"/>
        </w:rPr>
        <w:t xml:space="preserve"> for </w:t>
      </w:r>
      <w:r w:rsidR="00E57B25" w:rsidRPr="005308CA">
        <w:rPr>
          <w:rFonts w:ascii="Garamond" w:hAnsi="Garamond"/>
        </w:rPr>
        <w:t>COVID-19</w:t>
      </w:r>
      <w:r w:rsidRPr="005308CA">
        <w:rPr>
          <w:rFonts w:ascii="Garamond" w:hAnsi="Garamond"/>
        </w:rPr>
        <w:t xml:space="preserve">. </w:t>
      </w:r>
      <w:r w:rsidRPr="004C5C6C">
        <w:rPr>
          <w:rFonts w:ascii="Garamond" w:hAnsi="Garamond"/>
        </w:rPr>
        <w:t>First, g</w:t>
      </w:r>
      <w:r w:rsidR="00F1354B" w:rsidRPr="004C5C6C">
        <w:rPr>
          <w:rFonts w:ascii="Garamond" w:hAnsi="Garamond"/>
        </w:rPr>
        <w:t xml:space="preserve">lobal </w:t>
      </w:r>
      <w:r w:rsidRPr="0076365B">
        <w:rPr>
          <w:rFonts w:ascii="Garamond" w:hAnsi="Garamond"/>
        </w:rPr>
        <w:t xml:space="preserve">clinical </w:t>
      </w:r>
      <w:r w:rsidR="00F1354B" w:rsidRPr="0076365B">
        <w:rPr>
          <w:rFonts w:ascii="Garamond" w:hAnsi="Garamond"/>
        </w:rPr>
        <w:t>research activity</w:t>
      </w:r>
      <w:r w:rsidR="00255605" w:rsidRPr="0076365B">
        <w:rPr>
          <w:rFonts w:ascii="Garamond" w:hAnsi="Garamond"/>
        </w:rPr>
        <w:t xml:space="preserve"> </w:t>
      </w:r>
      <w:r w:rsidR="00255605" w:rsidRPr="00435491">
        <w:rPr>
          <w:rFonts w:ascii="Garamond" w:hAnsi="Garamond"/>
        </w:rPr>
        <w:t>is fragmented.</w:t>
      </w:r>
      <w:r w:rsidR="00745323">
        <w:rPr>
          <w:rFonts w:ascii="Garamond" w:hAnsi="Garamond"/>
        </w:rPr>
        <w:t xml:space="preserve"> </w:t>
      </w:r>
      <w:r w:rsidR="00717B55" w:rsidRPr="005308CA">
        <w:rPr>
          <w:rFonts w:ascii="Garamond" w:hAnsi="Garamond"/>
        </w:rPr>
        <w:t>Drug trials</w:t>
      </w:r>
      <w:r w:rsidRPr="005308CA">
        <w:rPr>
          <w:rFonts w:ascii="Garamond" w:hAnsi="Garamond"/>
        </w:rPr>
        <w:t xml:space="preserve"> </w:t>
      </w:r>
      <w:r w:rsidR="008065BB">
        <w:rPr>
          <w:rFonts w:ascii="Garamond" w:hAnsi="Garamond"/>
        </w:rPr>
        <w:t>rarely</w:t>
      </w:r>
      <w:r w:rsidR="003257ED" w:rsidRPr="004C5C6C">
        <w:rPr>
          <w:rFonts w:ascii="Garamond" w:hAnsi="Garamond"/>
        </w:rPr>
        <w:t xml:space="preserve"> </w:t>
      </w:r>
      <w:r w:rsidR="009C461D">
        <w:rPr>
          <w:rFonts w:ascii="Garamond" w:hAnsi="Garamond"/>
        </w:rPr>
        <w:t>have</w:t>
      </w:r>
      <w:r w:rsidR="009C461D" w:rsidRPr="004C5C6C">
        <w:rPr>
          <w:rFonts w:ascii="Garamond" w:hAnsi="Garamond"/>
        </w:rPr>
        <w:t xml:space="preserve"> </w:t>
      </w:r>
      <w:r w:rsidR="00255605" w:rsidRPr="004C5C6C">
        <w:rPr>
          <w:rFonts w:ascii="Garamond" w:hAnsi="Garamond"/>
        </w:rPr>
        <w:t xml:space="preserve">similar design features. </w:t>
      </w:r>
      <w:r w:rsidR="003257ED" w:rsidRPr="0076365B">
        <w:rPr>
          <w:rFonts w:ascii="Garamond" w:hAnsi="Garamond"/>
        </w:rPr>
        <w:t>For example</w:t>
      </w:r>
      <w:r w:rsidR="00255605" w:rsidRPr="0076365B">
        <w:rPr>
          <w:rFonts w:ascii="Garamond" w:hAnsi="Garamond"/>
        </w:rPr>
        <w:t xml:space="preserve">, study endpoints </w:t>
      </w:r>
      <w:r w:rsidR="003257ED" w:rsidRPr="00435491">
        <w:rPr>
          <w:rFonts w:ascii="Garamond" w:hAnsi="Garamond"/>
        </w:rPr>
        <w:t xml:space="preserve">have been shown to be </w:t>
      </w:r>
      <w:r w:rsidR="00255605" w:rsidRPr="00435491">
        <w:rPr>
          <w:rFonts w:ascii="Garamond" w:hAnsi="Garamond"/>
        </w:rPr>
        <w:t>highl</w:t>
      </w:r>
      <w:r w:rsidR="00255605" w:rsidRPr="005308CA">
        <w:rPr>
          <w:rFonts w:ascii="Garamond" w:hAnsi="Garamond"/>
        </w:rPr>
        <w:t>y heterogeneous.</w:t>
      </w:r>
      <w:r w:rsidR="00EF1564" w:rsidRPr="004C5C6C">
        <w:rPr>
          <w:rFonts w:ascii="Garamond" w:hAnsi="Garamond"/>
        </w:rPr>
        <w:fldChar w:fldCharType="begin"/>
      </w:r>
      <w:r w:rsidR="00234F52">
        <w:rPr>
          <w:rFonts w:ascii="Garamond" w:hAnsi="Garamond"/>
        </w:rPr>
        <w:instrText xml:space="preserve"> ADDIN ZOTERO_ITEM CSL_CITATION {"citationID":"Mdva5YiE","properties":{"formattedCitation":"\\super 10\\nosupersub{}","plainCitation":"10","noteIndex":0},"citationItems":[{"id":898,"uris":["http://zotero.org/users/local/LpXke84i/items/74X3EBB8"],"uri":["http://zotero.org/users/local/LpXke84i/items/74X3EBB8"],"itemData":{"id":898,"type":"article-journal","abstract":"Background: Many trials are now underway to inform decision-makers on potential effects of treatments for COVID-19. To provide sufficient information for all involved decision-makers (clinicians, public health authorities, drug regulatory agencies) a multiplicity of endpoints must be considered. It is a challenge to generate detailed high quality evidence from data while ensuring fast availability and evaluation of the results. Methods: We reviewed all interventional COVID-19 trials on Remdesivir, Lopinavir/ritonavir and Hydroxychloroquine registered in the National Library of Medicine (NLM) at the National Institutes of Health (NIH) and summarized the endpoints used to assess treatment effects. We propose a multistate model that harmonizes heterogeneous endpoints and differing lengths of follow-up within and between trials. Results: There are currently, March 27, 2020, 23 registered interventional trials investigating the potential benefits of Remdesivir, Lopinavir/ritonavir and Hydroxychloroquine. The endpoints are highly heterogeneous. Follow-up for the primary endpoints ranges from four to 168 days. A detailed precisely defined endpoint has been proposed by the global network REMAP-CAP, which is specialized on community-acquired pneumonia. Their seven-category endpoint accounts for major clinical events informative for all decision-makers. Moreover, the Core Outcome Measures in Effectiveness Trials (COMET) Initiative is currently working on a core outcome set. We propose a multistate model that accommodates analysis of these recommended endpoints. The model allows for a detailed investigation of treatment effects for various endpoints over the course of time thereby harmonizing differing endpoints and lengths of follow-up. Conclusion: Multistate model analysis is a powerful tool to study clinically heterogeneous endpoints (mortality, discharge) as well as endpoints influencing hospital capacities (duration of hospitalization and ventilation) simultaneously over time. Our proposed model extracts all information available in the data and is - by harmonizing endpoints within and between trials - a step towards faster decision making. All ongoing clinical trials, especially those with severe cases, should accommodate primary analysis with a stacked probability plot of the major events mechanical ventilation, discharge alive and death.Competing Interest StatementThe authors have declared no competing interest.Funding StatementMvC has been funded by the EQUIP Medical Scientists Programme of the University of Freiburg.Author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advance).Yes I have followed all appropriate research reporting guidelines and uploaded the relevant EQUATOR Network research reporting checklist(s) and other pertinent material as supplementary files, if applicable.Yesnot applicable","container-title":"medRxiv","DOI":"10.1101/2020.03.31.20049007","page":"2020.03.31.20049007","title":"Harmonizing heterogeneous endpoints in COVID-19 trials without loss of information - an essential step to facilitate decision making","author":[{"family":"Cube","given":"Maja","non-dropping-particle":"von"},{"family":"Grodd","given":"Marlon"},{"family":"Wolkewitz","given":"Martin"},{"family":"Hazard","given":"Derek"},{"family":"Lambert","given":"Jerome"}],"issued":{"date-parts":[["2020",1,1]]}}}],"schema":"https://github.com/citation-style-language/schema/raw/master/csl-citation.json"} </w:instrText>
      </w:r>
      <w:r w:rsidR="00EF1564" w:rsidRPr="004C5C6C">
        <w:rPr>
          <w:rFonts w:ascii="Garamond" w:hAnsi="Garamond"/>
        </w:rPr>
        <w:fldChar w:fldCharType="separate"/>
      </w:r>
      <w:r w:rsidR="00234F52" w:rsidRPr="00234F52">
        <w:rPr>
          <w:rFonts w:ascii="Garamond" w:hAnsi="Garamond"/>
          <w:vertAlign w:val="superscript"/>
        </w:rPr>
        <w:t>10</w:t>
      </w:r>
      <w:r w:rsidR="00EF1564" w:rsidRPr="004C5C6C">
        <w:rPr>
          <w:rFonts w:ascii="Garamond" w:hAnsi="Garamond"/>
        </w:rPr>
        <w:fldChar w:fldCharType="end"/>
      </w:r>
      <w:r w:rsidR="00255605" w:rsidRPr="004C5C6C">
        <w:rPr>
          <w:rFonts w:ascii="Garamond" w:hAnsi="Garamond"/>
        </w:rPr>
        <w:t xml:space="preserve"> </w:t>
      </w:r>
      <w:r w:rsidR="00534310" w:rsidRPr="004C5C6C">
        <w:rPr>
          <w:rFonts w:ascii="Garamond" w:hAnsi="Garamond"/>
        </w:rPr>
        <w:t xml:space="preserve">Only a </w:t>
      </w:r>
      <w:r w:rsidR="00534310" w:rsidRPr="0076365B">
        <w:rPr>
          <w:rFonts w:ascii="Garamond" w:hAnsi="Garamond"/>
        </w:rPr>
        <w:t xml:space="preserve">small minority of late-stage RCTs measure all-cause </w:t>
      </w:r>
      <w:r w:rsidR="00534310" w:rsidRPr="0076365B">
        <w:rPr>
          <w:rFonts w:ascii="Garamond" w:hAnsi="Garamond"/>
        </w:rPr>
        <w:lastRenderedPageBreak/>
        <w:t>mortality.</w:t>
      </w:r>
      <w:r w:rsidR="00534310" w:rsidRPr="004C5C6C">
        <w:rPr>
          <w:rFonts w:ascii="Garamond" w:hAnsi="Garamond"/>
        </w:rPr>
        <w:fldChar w:fldCharType="begin"/>
      </w:r>
      <w:r w:rsidR="00234F52">
        <w:rPr>
          <w:rFonts w:ascii="Garamond" w:hAnsi="Garamond"/>
        </w:rPr>
        <w:instrText xml:space="preserve"> ADDIN ZOTERO_ITEM CSL_CITATION {"citationID":"cfiGPM9V","properties":{"formattedCitation":"\\super 11\\nosupersub{}","plainCitation":"11","noteIndex":0},"citationItems":[{"id":957,"uris":["http://zotero.org/users/local/LpXke84i/items/AISCDPRW"],"uri":["http://zotero.org/users/local/LpXke84i/items/AISCDPRW"],"itemData":{"id":957,"type":"article-journal","archive":"PubMed","archive_location":"32632415","container-title":"EClinicalMedicine","DOI":"10.1016/j.eclinm.2020.100403","ISSN":"2589-5370","journalAbbreviation":"EClinicalMedicine","language":"eng","note":"publisher: Elsevier","page":"100403-100403","title":"Endpoints used in phase III randomized controlled trials of treatment options for COVID-19","volume":"23","author":[{"family":"Desai","given":"Aakash"},{"family":"Gyawali","given":"Bishal"}],"issued":{"date-parts":[["2020",6,2]]}}}],"schema":"https://github.com/citation-style-language/schema/raw/master/csl-citation.json"} </w:instrText>
      </w:r>
      <w:r w:rsidR="00534310" w:rsidRPr="004C5C6C">
        <w:rPr>
          <w:rFonts w:ascii="Garamond" w:hAnsi="Garamond"/>
        </w:rPr>
        <w:fldChar w:fldCharType="separate"/>
      </w:r>
      <w:r w:rsidR="00234F52" w:rsidRPr="00234F52">
        <w:rPr>
          <w:rFonts w:ascii="Garamond" w:hAnsi="Garamond"/>
          <w:vertAlign w:val="superscript"/>
        </w:rPr>
        <w:t>11</w:t>
      </w:r>
      <w:r w:rsidR="00534310" w:rsidRPr="004C5C6C">
        <w:rPr>
          <w:rFonts w:ascii="Garamond" w:hAnsi="Garamond"/>
        </w:rPr>
        <w:fldChar w:fldCharType="end"/>
      </w:r>
      <w:r w:rsidR="00534310" w:rsidRPr="004C5C6C">
        <w:rPr>
          <w:rFonts w:ascii="Garamond" w:hAnsi="Garamond"/>
        </w:rPr>
        <w:t xml:space="preserve"> </w:t>
      </w:r>
      <w:r w:rsidR="00255605" w:rsidRPr="004C5C6C">
        <w:rPr>
          <w:rFonts w:ascii="Garamond" w:hAnsi="Garamond"/>
        </w:rPr>
        <w:t xml:space="preserve">Even when </w:t>
      </w:r>
      <w:r w:rsidR="00C77224" w:rsidRPr="0076365B">
        <w:rPr>
          <w:rFonts w:ascii="Garamond" w:hAnsi="Garamond"/>
        </w:rPr>
        <w:t xml:space="preserve">RCTs </w:t>
      </w:r>
      <w:r w:rsidR="00255605" w:rsidRPr="0076365B">
        <w:rPr>
          <w:rFonts w:ascii="Garamond" w:hAnsi="Garamond"/>
        </w:rPr>
        <w:t>evaluate seemingly similar endpoints such as time to clinical recovery, outcome definitions</w:t>
      </w:r>
      <w:r w:rsidR="00917802" w:rsidRPr="0076365B">
        <w:rPr>
          <w:rFonts w:ascii="Garamond" w:hAnsi="Garamond"/>
        </w:rPr>
        <w:t xml:space="preserve"> and </w:t>
      </w:r>
      <w:r w:rsidR="00D22DC3" w:rsidRPr="00435491">
        <w:rPr>
          <w:rFonts w:ascii="Garamond" w:hAnsi="Garamond"/>
        </w:rPr>
        <w:t xml:space="preserve">follow-up </w:t>
      </w:r>
      <w:r w:rsidR="00917802" w:rsidRPr="00435491">
        <w:rPr>
          <w:rFonts w:ascii="Garamond" w:hAnsi="Garamond"/>
        </w:rPr>
        <w:t xml:space="preserve">durations </w:t>
      </w:r>
      <w:r w:rsidR="00255605" w:rsidRPr="005308CA">
        <w:rPr>
          <w:rFonts w:ascii="Garamond" w:hAnsi="Garamond"/>
        </w:rPr>
        <w:t xml:space="preserve">vary. </w:t>
      </w:r>
    </w:p>
    <w:p w14:paraId="2308953E" w14:textId="0851BB84" w:rsidR="00255605" w:rsidRPr="004C5C6C" w:rsidRDefault="00255605" w:rsidP="00F641D7">
      <w:pPr>
        <w:ind w:firstLine="720"/>
        <w:rPr>
          <w:rFonts w:ascii="Garamond" w:hAnsi="Garamond"/>
        </w:rPr>
      </w:pPr>
      <w:r w:rsidRPr="005308CA">
        <w:rPr>
          <w:rFonts w:ascii="Garamond" w:hAnsi="Garamond"/>
        </w:rPr>
        <w:t xml:space="preserve">Second, the </w:t>
      </w:r>
      <w:r w:rsidR="00F1354B" w:rsidRPr="005308CA">
        <w:rPr>
          <w:rFonts w:ascii="Garamond" w:hAnsi="Garamond"/>
        </w:rPr>
        <w:t>research agenda</w:t>
      </w:r>
      <w:r w:rsidRPr="005308CA">
        <w:rPr>
          <w:rFonts w:ascii="Garamond" w:hAnsi="Garamond"/>
        </w:rPr>
        <w:t xml:space="preserve"> appear</w:t>
      </w:r>
      <w:r w:rsidR="00F1354B" w:rsidRPr="005308CA">
        <w:rPr>
          <w:rFonts w:ascii="Garamond" w:hAnsi="Garamond"/>
        </w:rPr>
        <w:t>s</w:t>
      </w:r>
      <w:r w:rsidRPr="005308CA">
        <w:rPr>
          <w:rFonts w:ascii="Garamond" w:hAnsi="Garamond"/>
        </w:rPr>
        <w:t xml:space="preserve"> to be </w:t>
      </w:r>
      <w:r w:rsidR="00D44CC9" w:rsidRPr="005308CA">
        <w:rPr>
          <w:rFonts w:ascii="Garamond" w:hAnsi="Garamond"/>
        </w:rPr>
        <w:t xml:space="preserve">partly </w:t>
      </w:r>
      <w:r w:rsidRPr="005308CA">
        <w:rPr>
          <w:rFonts w:ascii="Garamond" w:hAnsi="Garamond"/>
        </w:rPr>
        <w:t xml:space="preserve">driven by hype and anecdote rather than </w:t>
      </w:r>
      <w:r w:rsidR="00E12206" w:rsidRPr="005308CA">
        <w:rPr>
          <w:rFonts w:ascii="Garamond" w:hAnsi="Garamond"/>
        </w:rPr>
        <w:t>informativeness and social value</w:t>
      </w:r>
      <w:r w:rsidR="006B0C30" w:rsidRPr="005308CA">
        <w:rPr>
          <w:rFonts w:ascii="Garamond" w:hAnsi="Garamond"/>
        </w:rPr>
        <w:t>,</w:t>
      </w:r>
      <w:r w:rsidR="00E12206" w:rsidRPr="004C5C6C">
        <w:rPr>
          <w:rFonts w:ascii="Garamond" w:hAnsi="Garamond"/>
        </w:rPr>
        <w:fldChar w:fldCharType="begin"/>
      </w:r>
      <w:r w:rsidR="00234F52">
        <w:rPr>
          <w:rFonts w:ascii="Garamond" w:hAnsi="Garamond"/>
        </w:rPr>
        <w:instrText xml:space="preserve"> ADDIN ZOTERO_ITEM CSL_CITATION {"citationID":"PN310R43","properties":{"formattedCitation":"\\super 12\\nosupersub{}","plainCitation":"12","noteIndex":0},"citationItems":[{"id":933,"uris":["http://zotero.org/users/local/LpXke84i/items/C2LQR88V"],"uri":["http://zotero.org/users/local/LpXke84i/items/C2LQR88V"],"itemData":{"id":933,"type":"article-journal","container-title":"Science","DOI":"10.1126/science.abc1731","ISSN":"0036-8075","issue":"6490","note":"publisher: American Association for the Advancement of Science\n_eprint: https://science.sciencemag.org/content/368/6490/476.full.pdf","page":"476–477","title":"Against pandemic research exceptionalism","volume":"368","author":[{"family":"London","given":"Alex John"},{"family":"Kimmelman","given":"Jonathan"}],"issued":{"date-parts":[["2020"]]}}}],"schema":"https://github.com/citation-style-language/schema/raw/master/csl-citation.json"} </w:instrText>
      </w:r>
      <w:r w:rsidR="00E12206" w:rsidRPr="004C5C6C">
        <w:rPr>
          <w:rFonts w:ascii="Garamond" w:hAnsi="Garamond"/>
        </w:rPr>
        <w:fldChar w:fldCharType="separate"/>
      </w:r>
      <w:r w:rsidR="00234F52" w:rsidRPr="00234F52">
        <w:rPr>
          <w:rFonts w:ascii="Garamond" w:hAnsi="Garamond"/>
          <w:vertAlign w:val="superscript"/>
        </w:rPr>
        <w:t>12</w:t>
      </w:r>
      <w:r w:rsidR="00E12206" w:rsidRPr="004C5C6C">
        <w:rPr>
          <w:rFonts w:ascii="Garamond" w:hAnsi="Garamond"/>
        </w:rPr>
        <w:fldChar w:fldCharType="end"/>
      </w:r>
      <w:r w:rsidR="006B0C30" w:rsidRPr="004C5C6C">
        <w:rPr>
          <w:rFonts w:ascii="Garamond" w:hAnsi="Garamond"/>
        </w:rPr>
        <w:t xml:space="preserve"> skewing the amount of available</w:t>
      </w:r>
      <w:r w:rsidR="00F51396" w:rsidRPr="004C5C6C">
        <w:rPr>
          <w:rFonts w:ascii="Garamond" w:hAnsi="Garamond"/>
        </w:rPr>
        <w:t xml:space="preserve"> data</w:t>
      </w:r>
      <w:r w:rsidR="006B0C30" w:rsidRPr="004C5C6C">
        <w:rPr>
          <w:rFonts w:ascii="Garamond" w:hAnsi="Garamond"/>
        </w:rPr>
        <w:t>.</w:t>
      </w:r>
      <w:r w:rsidRPr="0076365B">
        <w:rPr>
          <w:rFonts w:ascii="Garamond" w:hAnsi="Garamond"/>
        </w:rPr>
        <w:t xml:space="preserve"> For example, </w:t>
      </w:r>
      <w:r w:rsidR="00B0511E">
        <w:rPr>
          <w:rFonts w:ascii="Garamond" w:hAnsi="Garamond"/>
        </w:rPr>
        <w:t>a</w:t>
      </w:r>
      <w:r w:rsidR="00B0511E" w:rsidRPr="0076365B">
        <w:rPr>
          <w:rFonts w:ascii="Garamond" w:hAnsi="Garamond"/>
        </w:rPr>
        <w:t xml:space="preserve"> </w:t>
      </w:r>
      <w:r w:rsidR="00B0511E">
        <w:rPr>
          <w:rFonts w:ascii="Garamond" w:hAnsi="Garamond"/>
        </w:rPr>
        <w:t xml:space="preserve">disproportionately large </w:t>
      </w:r>
      <w:r w:rsidRPr="0076365B">
        <w:rPr>
          <w:rFonts w:ascii="Garamond" w:hAnsi="Garamond"/>
        </w:rPr>
        <w:t xml:space="preserve">number of studies </w:t>
      </w:r>
      <w:r w:rsidR="00B0511E">
        <w:rPr>
          <w:rFonts w:ascii="Garamond" w:hAnsi="Garamond"/>
        </w:rPr>
        <w:t>have been launched to evaluate</w:t>
      </w:r>
      <w:r w:rsidR="00B0511E" w:rsidRPr="0076365B">
        <w:rPr>
          <w:rFonts w:ascii="Garamond" w:hAnsi="Garamond"/>
        </w:rPr>
        <w:t xml:space="preserve"> </w:t>
      </w:r>
      <w:r w:rsidRPr="0076365B">
        <w:rPr>
          <w:rFonts w:ascii="Garamond" w:hAnsi="Garamond"/>
        </w:rPr>
        <w:t>the anti-malarial agent</w:t>
      </w:r>
      <w:r w:rsidR="00AF3E95" w:rsidRPr="0076365B">
        <w:rPr>
          <w:rFonts w:ascii="Garamond" w:hAnsi="Garamond"/>
        </w:rPr>
        <w:t>s</w:t>
      </w:r>
      <w:r w:rsidRPr="0076365B">
        <w:rPr>
          <w:rFonts w:ascii="Garamond" w:hAnsi="Garamond"/>
        </w:rPr>
        <w:t xml:space="preserve"> hydroxychloroquine</w:t>
      </w:r>
      <w:r w:rsidR="00AF3E95" w:rsidRPr="00435491">
        <w:rPr>
          <w:rFonts w:ascii="Garamond" w:hAnsi="Garamond"/>
        </w:rPr>
        <w:t xml:space="preserve"> and chloroquine</w:t>
      </w:r>
      <w:r w:rsidR="0030104C" w:rsidRPr="005308CA">
        <w:rPr>
          <w:rFonts w:ascii="Garamond" w:hAnsi="Garamond"/>
        </w:rPr>
        <w:t xml:space="preserve"> phosphate</w:t>
      </w:r>
      <w:r w:rsidRPr="005308CA">
        <w:rPr>
          <w:rFonts w:ascii="Garamond" w:hAnsi="Garamond"/>
        </w:rPr>
        <w:t xml:space="preserve"> </w:t>
      </w:r>
      <w:r w:rsidR="00C05F48">
        <w:rPr>
          <w:rFonts w:ascii="Garamond" w:hAnsi="Garamond"/>
        </w:rPr>
        <w:t>after</w:t>
      </w:r>
      <w:r w:rsidRPr="004C5C6C">
        <w:rPr>
          <w:rFonts w:ascii="Garamond" w:hAnsi="Garamond"/>
        </w:rPr>
        <w:t xml:space="preserve"> the publication of a controversial </w:t>
      </w:r>
      <w:r w:rsidR="00814A91" w:rsidRPr="004C5C6C">
        <w:rPr>
          <w:rFonts w:ascii="Garamond" w:hAnsi="Garamond"/>
        </w:rPr>
        <w:t>uncontrolled</w:t>
      </w:r>
      <w:r w:rsidRPr="0076365B">
        <w:rPr>
          <w:rFonts w:ascii="Garamond" w:hAnsi="Garamond"/>
        </w:rPr>
        <w:t xml:space="preserve"> study, which received </w:t>
      </w:r>
      <w:r w:rsidR="009C461D">
        <w:rPr>
          <w:rFonts w:ascii="Garamond" w:hAnsi="Garamond"/>
        </w:rPr>
        <w:t>significant</w:t>
      </w:r>
      <w:r w:rsidR="00534310" w:rsidRPr="004C5C6C">
        <w:rPr>
          <w:rFonts w:ascii="Garamond" w:hAnsi="Garamond"/>
        </w:rPr>
        <w:t xml:space="preserve"> </w:t>
      </w:r>
      <w:r w:rsidRPr="004C5C6C">
        <w:rPr>
          <w:rFonts w:ascii="Garamond" w:hAnsi="Garamond"/>
        </w:rPr>
        <w:t>attention.</w:t>
      </w:r>
      <w:r w:rsidR="00EF1564" w:rsidRPr="004C5C6C">
        <w:rPr>
          <w:rFonts w:ascii="Garamond" w:hAnsi="Garamond"/>
        </w:rPr>
        <w:fldChar w:fldCharType="begin"/>
      </w:r>
      <w:r w:rsidR="00234F52">
        <w:rPr>
          <w:rFonts w:ascii="Garamond" w:hAnsi="Garamond"/>
        </w:rPr>
        <w:instrText xml:space="preserve"> ADDIN ZOTERO_ITEM CSL_CITATION {"citationID":"IVFpwE01","properties":{"formattedCitation":"\\super 13\\nosupersub{}","plainCitation":"13","noteIndex":0},"citationItems":[{"id":899,"uris":["http://zotero.org/users/local/LpXke84i/items/SDHZGXB6"],"uri":["http://zotero.org/users/local/LpXke84i/items/SDHZGXB6"],"itemData":{"id":899,"type":"article-journal","abstract":"Background\nChloroquine and hydroxychloroquine have been found to be efficient on SARS-CoV-2, and reported to be efficient in Chinese COV-19 patients. We evaluate the role of hydroxychloroquine on respiratory viral loads.\nPatients and methods\nFrench Confirmed COVID-19 patients were included in a single arm protocol from early March to March 16th, to receive 600mg of hydroxychloroquine daily and their viral load in nasopharyngeal swabs was tested daily in a hospital setting. Depending on their clinical presentation, azithromycin was added to the treatment. Untreated patients from another center and cases refusing the protocol were included as negative controls. Presence and absence of virus at Day6-post inclusion was considered the end point.\nResults\nSix patients were asymptomatic, 22 had upper respiratory tract infection symptoms and eight had lower respiratory tract infection symptoms. Twenty cases were treated in this study and showed a significant reduction of the viral carriage at D6-post inclusion compared to controls, and much lower average carrying duration than reported of untreated patients in the literature. Azithromycin added to hydroxychloroquine was significantly more efficient for virus elimination.\nConclusion\nDespite its small sample size our survey shows that hydroxychloroquine treatment is significantly associated with viral load reduction/disappearance in COVID-19 patients and its effect is reinforced by azithromycin.","container-title":"International Journal of Antimicrobial Agents","DOI":"10.1016/j.ijantimicag.2020.105949","ISSN":"0924-8579","journalAbbreviation":"International Journal of Antimicrobial Agents","page":"105949","title":"Hydroxychloroquine and azithromycin as a treatment of COVID-19: results of an open-label non-randomized clinical trial","author":[{"family":"Gautret","given":"Philippe"},{"family":"Lagier","given":"Jean-Christophe"},{"family":"Parola","given":"Philippe"},{"family":"Hoang","given":"Van Thuan"},{"family":"Meddeb","given":"Line"},{"family":"Mailhe","given":"Morgane"},{"family":"Doudier","given":"Barbara"},{"family":"Courjon","given":"Johan"},{"family":"Giordanengo","given":"Valérie"},{"family":"Vieira","given":"Vera Esteves"},{"family":"Dupont","given":"Hervé Tissot"},{"family":"Honoré","given":"Stéphane"},{"family":"Colson","given":"Philippe"},{"family":"Chabrière","given":"Eric"},{"family":"La Scola","given":"Bernard"},{"family":"Rolain","given":"Jean-Marc"},{"family":"Brouqui","given":"Philippe"},{"family":"Raoult","given":"Didier"}],"issued":{"date-parts":[["2020",3,20]]}}}],"schema":"https://github.com/citation-style-language/schema/raw/master/csl-citation.json"} </w:instrText>
      </w:r>
      <w:r w:rsidR="00EF1564" w:rsidRPr="004C5C6C">
        <w:rPr>
          <w:rFonts w:ascii="Garamond" w:hAnsi="Garamond"/>
        </w:rPr>
        <w:fldChar w:fldCharType="separate"/>
      </w:r>
      <w:r w:rsidR="00234F52" w:rsidRPr="00234F52">
        <w:rPr>
          <w:rFonts w:ascii="Garamond" w:hAnsi="Garamond"/>
          <w:vertAlign w:val="superscript"/>
        </w:rPr>
        <w:t>13</w:t>
      </w:r>
      <w:r w:rsidR="00EF1564" w:rsidRPr="004C5C6C">
        <w:rPr>
          <w:rFonts w:ascii="Garamond" w:hAnsi="Garamond"/>
        </w:rPr>
        <w:fldChar w:fldCharType="end"/>
      </w:r>
      <w:r w:rsidRPr="004C5C6C">
        <w:rPr>
          <w:rFonts w:ascii="Garamond" w:hAnsi="Garamond"/>
        </w:rPr>
        <w:t xml:space="preserve"> </w:t>
      </w:r>
      <w:r w:rsidR="00B0511E">
        <w:rPr>
          <w:rFonts w:ascii="Garamond" w:hAnsi="Garamond"/>
        </w:rPr>
        <w:t>A</w:t>
      </w:r>
      <w:r w:rsidR="00534310" w:rsidRPr="005308CA">
        <w:rPr>
          <w:rFonts w:ascii="Garamond" w:hAnsi="Garamond"/>
        </w:rPr>
        <w:t xml:space="preserve">bout one in every six studies </w:t>
      </w:r>
      <w:r w:rsidR="00B0511E">
        <w:rPr>
          <w:rFonts w:ascii="Garamond" w:hAnsi="Garamond"/>
        </w:rPr>
        <w:t xml:space="preserve">registered on ClinicalTrials.gov </w:t>
      </w:r>
      <w:r w:rsidR="007A4100">
        <w:rPr>
          <w:rFonts w:ascii="Garamond" w:hAnsi="Garamond"/>
        </w:rPr>
        <w:t xml:space="preserve">has </w:t>
      </w:r>
      <w:r w:rsidR="00B0511E">
        <w:rPr>
          <w:rFonts w:ascii="Garamond" w:hAnsi="Garamond"/>
        </w:rPr>
        <w:t xml:space="preserve">focused on </w:t>
      </w:r>
      <w:r w:rsidR="00A9439B">
        <w:rPr>
          <w:rFonts w:ascii="Garamond" w:hAnsi="Garamond"/>
        </w:rPr>
        <w:t xml:space="preserve">one of </w:t>
      </w:r>
      <w:r w:rsidR="00B0511E">
        <w:rPr>
          <w:rFonts w:ascii="Garamond" w:hAnsi="Garamond"/>
        </w:rPr>
        <w:t>these</w:t>
      </w:r>
      <w:r w:rsidR="00CC24D5">
        <w:rPr>
          <w:rFonts w:ascii="Garamond" w:hAnsi="Garamond"/>
        </w:rPr>
        <w:t xml:space="preserve"> </w:t>
      </w:r>
      <w:r w:rsidR="00823F4D">
        <w:rPr>
          <w:rFonts w:ascii="Garamond" w:hAnsi="Garamond"/>
        </w:rPr>
        <w:t>anti-</w:t>
      </w:r>
      <w:r w:rsidR="00CC24D5">
        <w:rPr>
          <w:rFonts w:ascii="Garamond" w:hAnsi="Garamond"/>
        </w:rPr>
        <w:t>malarial agents</w:t>
      </w:r>
      <w:r w:rsidR="00534310" w:rsidRPr="004C5C6C">
        <w:rPr>
          <w:rFonts w:ascii="Garamond" w:hAnsi="Garamond"/>
        </w:rPr>
        <w:t>.</w:t>
      </w:r>
      <w:r w:rsidR="00F731AB" w:rsidRPr="004C5C6C">
        <w:rPr>
          <w:rFonts w:ascii="Garamond" w:hAnsi="Garamond"/>
        </w:rPr>
        <w:fldChar w:fldCharType="begin"/>
      </w:r>
      <w:r w:rsidR="00BA43DF">
        <w:rPr>
          <w:rFonts w:ascii="Garamond" w:hAnsi="Garamond"/>
        </w:rPr>
        <w:instrText xml:space="preserve"> ADDIN ZOTERO_ITEM CSL_CITATION {"citationID":"fSs85O7X","properties":{"formattedCitation":"\\super 2\\nosupersub{}","plainCitation":"2","noteIndex":0},"citationItems":[{"id":961,"uris":["http://zotero.org/users/local/LpXke84i/items/7XI63U2C"],"uri":["http://zotero.org/users/local/LpXke84i/items/7XI63U2C"],"itemData":{"id":961,"type":"article-newspaper","container-title":"STAT","title":"Data show panic and disorganization dominate the study of Covid-19 drugs","URL":"https://www.statnews.com/2020/07/06/data-show-panic-and-disorganization-dominate-the-study-of-covid-19-drugs/","author":[{"family":"Herper","given":"Matthew"},{"family":"Riglin","given":"Erin"}],"issued":{"date-parts":[["2020",7,6]]}}}],"schema":"https://github.com/citation-style-language/schema/raw/master/csl-citation.json"} </w:instrText>
      </w:r>
      <w:r w:rsidR="00F731AB" w:rsidRPr="004C5C6C">
        <w:rPr>
          <w:rFonts w:ascii="Garamond" w:hAnsi="Garamond"/>
        </w:rPr>
        <w:fldChar w:fldCharType="separate"/>
      </w:r>
      <w:r w:rsidR="00BA43DF" w:rsidRPr="00BA43DF">
        <w:rPr>
          <w:rFonts w:ascii="Garamond" w:hAnsi="Garamond"/>
          <w:vertAlign w:val="superscript"/>
        </w:rPr>
        <w:t>2</w:t>
      </w:r>
      <w:r w:rsidR="00F731AB" w:rsidRPr="004C5C6C">
        <w:rPr>
          <w:rFonts w:ascii="Garamond" w:hAnsi="Garamond"/>
        </w:rPr>
        <w:fldChar w:fldCharType="end"/>
      </w:r>
      <w:r w:rsidR="00CC24D5">
        <w:rPr>
          <w:rFonts w:ascii="Garamond" w:hAnsi="Garamond"/>
        </w:rPr>
        <w:t xml:space="preserve"> </w:t>
      </w:r>
    </w:p>
    <w:p w14:paraId="66E2F658" w14:textId="118DFA5E" w:rsidR="00671BBD" w:rsidRPr="0076365B" w:rsidRDefault="00255605" w:rsidP="00F641D7">
      <w:pPr>
        <w:ind w:firstLine="720"/>
        <w:rPr>
          <w:rFonts w:ascii="Garamond" w:hAnsi="Garamond"/>
        </w:rPr>
      </w:pPr>
      <w:r w:rsidRPr="004C5C6C">
        <w:rPr>
          <w:rFonts w:ascii="Garamond" w:hAnsi="Garamond"/>
        </w:rPr>
        <w:t xml:space="preserve">Third, </w:t>
      </w:r>
      <w:r w:rsidR="00671BBD" w:rsidRPr="0076365B">
        <w:rPr>
          <w:rFonts w:ascii="Garamond" w:hAnsi="Garamond"/>
        </w:rPr>
        <w:t xml:space="preserve">studies </w:t>
      </w:r>
      <w:r w:rsidR="008065BB">
        <w:rPr>
          <w:rFonts w:ascii="Garamond" w:hAnsi="Garamond"/>
        </w:rPr>
        <w:t>have</w:t>
      </w:r>
      <w:r w:rsidR="008065BB" w:rsidRPr="004C5C6C">
        <w:rPr>
          <w:rFonts w:ascii="Garamond" w:hAnsi="Garamond"/>
        </w:rPr>
        <w:t xml:space="preserve"> </w:t>
      </w:r>
      <w:r w:rsidR="00F02B2D" w:rsidRPr="004C5C6C">
        <w:rPr>
          <w:rFonts w:ascii="Garamond" w:hAnsi="Garamond"/>
        </w:rPr>
        <w:t>not routinely</w:t>
      </w:r>
      <w:r w:rsidR="00671BBD" w:rsidRPr="0076365B">
        <w:rPr>
          <w:rFonts w:ascii="Garamond" w:hAnsi="Garamond"/>
        </w:rPr>
        <w:t xml:space="preserve"> </w:t>
      </w:r>
      <w:r w:rsidR="00F02B2D" w:rsidRPr="0076365B">
        <w:rPr>
          <w:rFonts w:ascii="Garamond" w:hAnsi="Garamond"/>
        </w:rPr>
        <w:t>adopt</w:t>
      </w:r>
      <w:r w:rsidR="008065BB">
        <w:rPr>
          <w:rFonts w:ascii="Garamond" w:hAnsi="Garamond"/>
        </w:rPr>
        <w:t>ed</w:t>
      </w:r>
      <w:r w:rsidR="00671BBD" w:rsidRPr="004C5C6C">
        <w:rPr>
          <w:rFonts w:ascii="Garamond" w:hAnsi="Garamond"/>
        </w:rPr>
        <w:t xml:space="preserve"> </w:t>
      </w:r>
      <w:r w:rsidR="00717B55" w:rsidRPr="004C5C6C">
        <w:rPr>
          <w:rFonts w:ascii="Garamond" w:hAnsi="Garamond"/>
        </w:rPr>
        <w:t xml:space="preserve">robust </w:t>
      </w:r>
      <w:r w:rsidR="00671BBD" w:rsidRPr="0076365B">
        <w:rPr>
          <w:rFonts w:ascii="Garamond" w:hAnsi="Garamond"/>
        </w:rPr>
        <w:t>design</w:t>
      </w:r>
      <w:r w:rsidR="00C77224" w:rsidRPr="0076365B">
        <w:rPr>
          <w:rFonts w:ascii="Garamond" w:hAnsi="Garamond"/>
        </w:rPr>
        <w:t>s</w:t>
      </w:r>
      <w:r w:rsidR="00671BBD" w:rsidRPr="0076365B">
        <w:rPr>
          <w:rFonts w:ascii="Garamond" w:hAnsi="Garamond"/>
        </w:rPr>
        <w:t xml:space="preserve">. </w:t>
      </w:r>
      <w:r w:rsidR="00C05F48">
        <w:rPr>
          <w:rFonts w:ascii="Garamond" w:hAnsi="Garamond"/>
        </w:rPr>
        <w:t>By our own estimate, f</w:t>
      </w:r>
      <w:r w:rsidR="00C05F48" w:rsidRPr="004C5C6C">
        <w:rPr>
          <w:rFonts w:ascii="Garamond" w:hAnsi="Garamond"/>
        </w:rPr>
        <w:t xml:space="preserve">ewer </w:t>
      </w:r>
      <w:r w:rsidR="00F02B2D" w:rsidRPr="004C5C6C">
        <w:rPr>
          <w:rFonts w:ascii="Garamond" w:hAnsi="Garamond"/>
        </w:rPr>
        <w:t xml:space="preserve">than </w:t>
      </w:r>
      <w:r w:rsidR="00035C42" w:rsidRPr="0076365B">
        <w:rPr>
          <w:rFonts w:ascii="Garamond" w:hAnsi="Garamond"/>
        </w:rPr>
        <w:t xml:space="preserve">one third </w:t>
      </w:r>
      <w:r w:rsidR="00F02B2D" w:rsidRPr="0076365B">
        <w:rPr>
          <w:rFonts w:ascii="Garamond" w:hAnsi="Garamond"/>
        </w:rPr>
        <w:t xml:space="preserve">of </w:t>
      </w:r>
      <w:r w:rsidR="00230B26">
        <w:rPr>
          <w:rFonts w:ascii="Garamond" w:hAnsi="Garamond"/>
        </w:rPr>
        <w:t xml:space="preserve">studies evaluating </w:t>
      </w:r>
      <w:r w:rsidR="00C05F48">
        <w:rPr>
          <w:rFonts w:ascii="Garamond" w:hAnsi="Garamond"/>
        </w:rPr>
        <w:t>COVID-19</w:t>
      </w:r>
      <w:r w:rsidR="00C05F48" w:rsidRPr="004C5C6C">
        <w:rPr>
          <w:rFonts w:ascii="Garamond" w:hAnsi="Garamond"/>
        </w:rPr>
        <w:t xml:space="preserve"> </w:t>
      </w:r>
      <w:r w:rsidR="00230B26">
        <w:rPr>
          <w:rFonts w:ascii="Garamond" w:hAnsi="Garamond"/>
        </w:rPr>
        <w:t>therapeutics</w:t>
      </w:r>
      <w:r w:rsidR="00230B26" w:rsidRPr="004C5C6C">
        <w:rPr>
          <w:rFonts w:ascii="Garamond" w:hAnsi="Garamond"/>
        </w:rPr>
        <w:t xml:space="preserve"> </w:t>
      </w:r>
      <w:r w:rsidR="00F02B2D" w:rsidRPr="004C5C6C">
        <w:rPr>
          <w:rFonts w:ascii="Garamond" w:hAnsi="Garamond"/>
        </w:rPr>
        <w:t xml:space="preserve">on </w:t>
      </w:r>
      <w:r w:rsidR="00C77224" w:rsidRPr="0076365B">
        <w:rPr>
          <w:rFonts w:ascii="Garamond" w:hAnsi="Garamond"/>
        </w:rPr>
        <w:t>C</w:t>
      </w:r>
      <w:r w:rsidR="00F02B2D" w:rsidRPr="0076365B">
        <w:rPr>
          <w:rFonts w:ascii="Garamond" w:hAnsi="Garamond"/>
        </w:rPr>
        <w:t>linical</w:t>
      </w:r>
      <w:r w:rsidR="00C77224" w:rsidRPr="0076365B">
        <w:rPr>
          <w:rFonts w:ascii="Garamond" w:hAnsi="Garamond"/>
        </w:rPr>
        <w:t>T</w:t>
      </w:r>
      <w:r w:rsidR="00F02B2D" w:rsidRPr="00435491">
        <w:rPr>
          <w:rFonts w:ascii="Garamond" w:hAnsi="Garamond"/>
        </w:rPr>
        <w:t xml:space="preserve">rials.gov </w:t>
      </w:r>
      <w:r w:rsidR="00F1354B" w:rsidRPr="00435491">
        <w:rPr>
          <w:rFonts w:ascii="Garamond" w:hAnsi="Garamond"/>
        </w:rPr>
        <w:t>are</w:t>
      </w:r>
      <w:r w:rsidR="00F02B2D" w:rsidRPr="005308CA">
        <w:rPr>
          <w:rFonts w:ascii="Garamond" w:hAnsi="Garamond"/>
        </w:rPr>
        <w:t xml:space="preserve"> </w:t>
      </w:r>
      <w:r w:rsidR="00C77224" w:rsidRPr="005308CA">
        <w:rPr>
          <w:rFonts w:ascii="Garamond" w:hAnsi="Garamond"/>
        </w:rPr>
        <w:t>RCTs</w:t>
      </w:r>
      <w:r w:rsidR="00892742" w:rsidRPr="005308CA">
        <w:rPr>
          <w:rFonts w:ascii="Garamond" w:hAnsi="Garamond"/>
        </w:rPr>
        <w:t xml:space="preserve">, which </w:t>
      </w:r>
      <w:r w:rsidRPr="005308CA">
        <w:rPr>
          <w:rFonts w:ascii="Garamond" w:hAnsi="Garamond"/>
        </w:rPr>
        <w:t>are the gold standard for evaluating treatments</w:t>
      </w:r>
      <w:r w:rsidR="00F02B2D" w:rsidRPr="005308CA">
        <w:rPr>
          <w:rFonts w:ascii="Garamond" w:hAnsi="Garamond"/>
        </w:rPr>
        <w:t>.</w:t>
      </w:r>
      <w:r w:rsidR="00312894" w:rsidRPr="004C5C6C">
        <w:rPr>
          <w:rFonts w:ascii="Garamond" w:hAnsi="Garamond"/>
        </w:rPr>
        <w:fldChar w:fldCharType="begin"/>
      </w:r>
      <w:r w:rsidR="00234F52">
        <w:rPr>
          <w:rFonts w:ascii="Garamond" w:hAnsi="Garamond"/>
        </w:rPr>
        <w:instrText xml:space="preserve"> ADDIN ZOTERO_ITEM CSL_CITATION {"citationID":"DeX1ZqYb","properties":{"formattedCitation":"\\super 14\\nosupersub{}","plainCitation":"14","noteIndex":0},"citationItems":[{"id":907,"uris":["http://zotero.org/users/local/LpXke84i/items/NXIKXMNW"],"uri":["http://zotero.org/users/local/LpXke84i/items/NXIKXMNW"],"itemData":{"id":907,"type":"article-journal","container-title":"New England Journal of Medicine","DOI":"10.1056/NEJMsb1905390","ISSN":"0028-4793","issue":"14","journalAbbreviation":"N Engl J Med","note":"publisher: Massachusetts Medical Society","page":"1366-1369","title":"Creating a Framework for Conducting Randomized Clinical Trials during Disease Outbreaks","volume":"382","author":[{"family":"Dean","given":"Natalie E."},{"family":"Gsell","given":"Pierre-Stéphane"},{"family":"Brookmeyer","given":"Ron"},{"family":"Crawford","given":"Forrest W."},{"family":"Donnelly","given":"Christl A."},{"family":"Ellenberg","given":"Susan S."},{"family":"Fleming","given":"Thomas R."},{"family":"Halloran","given":"M. Elizabeth"},{"family":"Horby","given":"Peter"},{"family":"Jaki","given":"Thomas"},{"family":"Krause","given":"Philip R."},{"family":"Longini","given":"Ira M."},{"family":"Mulangu","given":"Sabue"},{"family":"Muyembe-Tamfum","given":"Jean-Jacques"},{"family":"Nason","given":"Martha C."},{"family":"Smith","given":"Peter G."},{"family":"Wang","given":"Rui"},{"family":"Henao-Restrepo","given":"Ana M."},{"family":"De Gruttola","given":"Victor"}],"issued":{"date-parts":[["2020",4,1]]}}}],"schema":"https://github.com/citation-style-language/schema/raw/master/csl-citation.json"} </w:instrText>
      </w:r>
      <w:r w:rsidR="00312894" w:rsidRPr="004C5C6C">
        <w:rPr>
          <w:rFonts w:ascii="Garamond" w:hAnsi="Garamond"/>
        </w:rPr>
        <w:fldChar w:fldCharType="separate"/>
      </w:r>
      <w:r w:rsidR="00234F52" w:rsidRPr="00234F52">
        <w:rPr>
          <w:rFonts w:ascii="Garamond" w:hAnsi="Garamond"/>
          <w:vertAlign w:val="superscript"/>
        </w:rPr>
        <w:t>14</w:t>
      </w:r>
      <w:r w:rsidR="00312894" w:rsidRPr="004C5C6C">
        <w:rPr>
          <w:rFonts w:ascii="Garamond" w:hAnsi="Garamond"/>
        </w:rPr>
        <w:fldChar w:fldCharType="end"/>
      </w:r>
      <w:r w:rsidR="00F02B2D" w:rsidRPr="004C5C6C">
        <w:rPr>
          <w:rFonts w:ascii="Garamond" w:hAnsi="Garamond"/>
        </w:rPr>
        <w:t xml:space="preserve"> </w:t>
      </w:r>
      <w:r w:rsidR="003257ED" w:rsidRPr="004C5C6C">
        <w:rPr>
          <w:rFonts w:ascii="Garamond" w:hAnsi="Garamond"/>
        </w:rPr>
        <w:t>By contrast</w:t>
      </w:r>
      <w:r w:rsidR="00F02B2D" w:rsidRPr="0076365B">
        <w:rPr>
          <w:rFonts w:ascii="Garamond" w:hAnsi="Garamond"/>
        </w:rPr>
        <w:t xml:space="preserve">, </w:t>
      </w:r>
      <w:r w:rsidR="003257ED" w:rsidRPr="0076365B">
        <w:rPr>
          <w:rFonts w:ascii="Garamond" w:hAnsi="Garamond"/>
        </w:rPr>
        <w:t xml:space="preserve">many </w:t>
      </w:r>
      <w:r w:rsidR="00671BBD" w:rsidRPr="0076365B">
        <w:rPr>
          <w:rFonts w:ascii="Garamond" w:hAnsi="Garamond"/>
        </w:rPr>
        <w:t xml:space="preserve">studies </w:t>
      </w:r>
      <w:r w:rsidRPr="00435491">
        <w:rPr>
          <w:rFonts w:ascii="Garamond" w:hAnsi="Garamond"/>
        </w:rPr>
        <w:t>test</w:t>
      </w:r>
      <w:r w:rsidR="00671BBD" w:rsidRPr="00435491">
        <w:rPr>
          <w:rFonts w:ascii="Garamond" w:hAnsi="Garamond"/>
        </w:rPr>
        <w:t xml:space="preserve"> investigational agent</w:t>
      </w:r>
      <w:r w:rsidR="00F02B2D" w:rsidRPr="005308CA">
        <w:rPr>
          <w:rFonts w:ascii="Garamond" w:hAnsi="Garamond"/>
        </w:rPr>
        <w:t>s</w:t>
      </w:r>
      <w:r w:rsidR="00671BBD" w:rsidRPr="005308CA">
        <w:rPr>
          <w:rFonts w:ascii="Garamond" w:hAnsi="Garamond"/>
        </w:rPr>
        <w:t xml:space="preserve"> without a control group.</w:t>
      </w:r>
      <w:r w:rsidR="00EF1564" w:rsidRPr="004C5C6C">
        <w:rPr>
          <w:rFonts w:ascii="Garamond" w:hAnsi="Garamond"/>
        </w:rPr>
        <w:fldChar w:fldCharType="begin"/>
      </w:r>
      <w:r w:rsidR="00234F52">
        <w:rPr>
          <w:rFonts w:ascii="Garamond" w:hAnsi="Garamond"/>
        </w:rPr>
        <w:instrText xml:space="preserve"> ADDIN ZOTERO_ITEM CSL_CITATION {"citationID":"FNhDOxRc","properties":{"formattedCitation":"\\super 15\\nosupersub{}","plainCitation":"15","noteIndex":0},"citationItems":[{"id":901,"uris":["http://zotero.org/users/local/LpXke84i/items/KCKSVJ28"],"uri":["http://zotero.org/users/local/LpXke84i/items/KCKSVJ28"],"itemData":{"id":901,"type":"article-journal","container-title":"New England Journal of Medicine","DOI":"10.1056/NEJMoa2007016","ISSN":"0028-4793","journalAbbreviation":"N Engl J Med","note":"publisher: Massachusetts Medical Society","title":"Compassionate Use of Remdesivir for Patients with Severe Covid-19","URL":"https://doi.org/10.1056/NEJMoa2007016","author":[{"family":"Grein","given":"Jonathan"},{"family":"Ohmagari","given":"Norio"},{"family":"Shin","given":"Daniel"},{"family":"Diaz","given":"George"},{"family":"Asperges","given":"Erika"},{"family":"Castagna","given":"Antonella"},{"family":"Feldt","given":"Torsten"},{"family":"Green","given":"Gary"},{"family":"Green","given":"Margaret L."},{"family":"Lescure","given":"François-Xavier"},{"family":"Nicastri","given":"Emanuele"},{"family":"Oda","given":"Rentaro"},{"family":"Yo","given":"Kikuo"},{"family":"Quiros-Roldan","given":"Eugenia"},{"family":"Studemeister","given":"Alex"},{"family":"Redinski","given":"John"},{"family":"Ahmed","given":"Seema"},{"family":"Bernett","given":"Jorge"},{"family":"Chelliah","given":"Daniel"},{"family":"Chen","given":"Danny"},{"family":"Chihara","given":"Shingo"},{"family":"Cohen","given":"Stuart H."},{"family":"Cunningham","given":"Jennifer"},{"family":"D’Arminio Monforte","given":"Antonella"},{"family":"Ismail","given":"Saad"},{"family":"Kato","given":"Hideaki"},{"family":"Lapadula","given":"Giuseppe"},{"family":"L’Her","given":"Erwan"},{"family":"Maeno","given":"Toshitaka"},{"family":"Majumder","given":"Sumit"},{"family":"Massari","given":"Marco"},{"family":"Mora-Rillo","given":"Marta"},{"family":"Mutoh","given":"Yoshikazu"},{"family":"Nguyen","given":"Duc"},{"family":"Verweij","given":"Ewa"},{"family":"Zoufaly","given":"Alexander"},{"family":"Osinusi","given":"Anu O."},{"family":"DeZure","given":"Adam"},{"family":"Zhao","given":"Yang"},{"family":"Zhong","given":"Lijie"},{"family":"Chokkalingam","given":"Anand"},{"family":"Elboudwarej","given":"Emon"},{"family":"Telep","given":"Laura"},{"family":"Timbs","given":"Leighann"},{"family":"Henne","given":"Ilana"},{"family":"Sellers","given":"Scott"},{"family":"Cao","given":"Huyen"},{"family":"Tan","given":"Susanna K."},{"family":"Winterbourne","given":"Lucinda"},{"family":"Desai","given":"Polly"},{"family":"Mera","given":"Robertino"},{"family":"Gaggar","given":"Anuj"},{"family":"Myers","given":"Robert P."},{"family":"Brainard","given":"Diana M."},{"family":"Childs","given":"Richard"},{"family":"Flanigan","given":"Timothy"}],"accessed":{"date-parts":[["2020",4,29]]},"issued":{"date-parts":[["2020",4,10]]}}}],"schema":"https://github.com/citation-style-language/schema/raw/master/csl-citation.json"} </w:instrText>
      </w:r>
      <w:r w:rsidR="00EF1564" w:rsidRPr="004C5C6C">
        <w:rPr>
          <w:rFonts w:ascii="Garamond" w:hAnsi="Garamond"/>
        </w:rPr>
        <w:fldChar w:fldCharType="separate"/>
      </w:r>
      <w:r w:rsidR="00234F52" w:rsidRPr="00234F52">
        <w:rPr>
          <w:rFonts w:ascii="Garamond" w:hAnsi="Garamond"/>
          <w:vertAlign w:val="superscript"/>
        </w:rPr>
        <w:t>15</w:t>
      </w:r>
      <w:r w:rsidR="00EF1564" w:rsidRPr="004C5C6C">
        <w:rPr>
          <w:rFonts w:ascii="Garamond" w:hAnsi="Garamond"/>
        </w:rPr>
        <w:fldChar w:fldCharType="end"/>
      </w:r>
      <w:r w:rsidR="00671BBD" w:rsidRPr="004C5C6C">
        <w:rPr>
          <w:rFonts w:ascii="Garamond" w:hAnsi="Garamond"/>
        </w:rPr>
        <w:t xml:space="preserve"> </w:t>
      </w:r>
      <w:r w:rsidR="00F02B2D" w:rsidRPr="004C5C6C">
        <w:rPr>
          <w:rFonts w:ascii="Garamond" w:hAnsi="Garamond"/>
        </w:rPr>
        <w:t xml:space="preserve">These single-arm studies </w:t>
      </w:r>
      <w:r w:rsidR="00F51396" w:rsidRPr="0076365B">
        <w:rPr>
          <w:rFonts w:ascii="Garamond" w:hAnsi="Garamond"/>
        </w:rPr>
        <w:t>can be misleading</w:t>
      </w:r>
      <w:r w:rsidR="00F02B2D" w:rsidRPr="0076365B">
        <w:rPr>
          <w:rFonts w:ascii="Garamond" w:hAnsi="Garamond"/>
        </w:rPr>
        <w:t xml:space="preserve"> as they provide no data on what would have happened in the absence of the treatment. </w:t>
      </w:r>
    </w:p>
    <w:p w14:paraId="2DAE1400" w14:textId="2E08DA51" w:rsidR="00D4399D" w:rsidRDefault="00CE0952" w:rsidP="00D4399D">
      <w:pPr>
        <w:ind w:firstLine="720"/>
        <w:rPr>
          <w:rFonts w:ascii="Garamond" w:hAnsi="Garamond"/>
        </w:rPr>
      </w:pPr>
      <w:r>
        <w:rPr>
          <w:rFonts w:ascii="Garamond" w:hAnsi="Garamond"/>
        </w:rPr>
        <w:t>The combination of these factors</w:t>
      </w:r>
      <w:r w:rsidR="00671BBD" w:rsidRPr="004C5C6C">
        <w:rPr>
          <w:rFonts w:ascii="Garamond" w:hAnsi="Garamond"/>
        </w:rPr>
        <w:t xml:space="preserve"> </w:t>
      </w:r>
      <w:r w:rsidR="009C461D">
        <w:rPr>
          <w:rFonts w:ascii="Garamond" w:hAnsi="Garamond"/>
        </w:rPr>
        <w:t>has fuelled</w:t>
      </w:r>
      <w:r w:rsidR="009C461D" w:rsidRPr="004C5C6C">
        <w:rPr>
          <w:rFonts w:ascii="Garamond" w:hAnsi="Garamond"/>
        </w:rPr>
        <w:t xml:space="preserve"> </w:t>
      </w:r>
      <w:r w:rsidR="00671BBD" w:rsidRPr="004C5C6C">
        <w:rPr>
          <w:rFonts w:ascii="Garamond" w:hAnsi="Garamond"/>
        </w:rPr>
        <w:t>confusion and sens</w:t>
      </w:r>
      <w:r w:rsidR="00671BBD" w:rsidRPr="0076365B">
        <w:rPr>
          <w:rFonts w:ascii="Garamond" w:hAnsi="Garamond"/>
        </w:rPr>
        <w:t>ationalism.</w:t>
      </w:r>
      <w:r w:rsidR="00917802" w:rsidRPr="0076365B">
        <w:rPr>
          <w:rFonts w:ascii="Garamond" w:hAnsi="Garamond"/>
        </w:rPr>
        <w:t xml:space="preserve"> </w:t>
      </w:r>
      <w:r w:rsidR="00944104" w:rsidRPr="0076365B">
        <w:rPr>
          <w:rFonts w:ascii="Garamond" w:hAnsi="Garamond"/>
        </w:rPr>
        <w:t>P</w:t>
      </w:r>
      <w:r w:rsidR="00060BD5" w:rsidRPr="00435491">
        <w:rPr>
          <w:rFonts w:ascii="Garamond" w:hAnsi="Garamond"/>
        </w:rPr>
        <w:t>sychological distress and</w:t>
      </w:r>
      <w:r w:rsidR="00060BD5" w:rsidRPr="005308CA">
        <w:rPr>
          <w:rFonts w:ascii="Garamond" w:hAnsi="Garamond"/>
        </w:rPr>
        <w:t xml:space="preserve"> anxiety have increased in the general population.</w:t>
      </w:r>
      <w:r w:rsidR="00944104" w:rsidRPr="004C5C6C">
        <w:rPr>
          <w:rFonts w:ascii="Garamond" w:hAnsi="Garamond"/>
        </w:rPr>
        <w:fldChar w:fldCharType="begin"/>
      </w:r>
      <w:r w:rsidR="00234F52">
        <w:rPr>
          <w:rFonts w:ascii="Garamond" w:hAnsi="Garamond"/>
        </w:rPr>
        <w:instrText xml:space="preserve"> ADDIN ZOTERO_ITEM CSL_CITATION {"citationID":"gRsixjv1","properties":{"formattedCitation":"\\super 16\\nosupersub{}","plainCitation":"16","noteIndex":0},"citationItems":[{"id":923,"uris":["http://zotero.org/users/local/LpXke84i/items/3PDDECCL"],"uri":["http://zotero.org/users/local/LpXke84i/items/3PDDECCL"],"itemData":{"id":923,"type":"article-journal","abstract":"In addition to being a public physical health emergency, Coronavirus disease 2019 (COVID-19) affected global mental health, as evidenced by panic-buying worldwide as cases soared. Little is known about changes in levels of psychological impact, stress, anxiety and depression during this pandemic. This longitudinal study surveyed the general population twice - during the initial outbreak, and the epidemic's peak four weeks later, surveying demographics, symptoms, knowledge, concerns, and precautionary measures against COVID-19. There were 1738 respondents from 190 Chinese cities (1210 first-survey respondents, 861 s-survey respondents; 333 respondents participated in both). Psychological impact and mental health status were assessed by the Impact of Event Scale-Revised (IES-R) and the Depression, Anxiety and Stress Scale (DASS-21), respectively. IES-R measures PTSD symptoms in survivorship after an event. DASS -21 is based on tripartite model of psychopathology that comprise a general distress construct with distinct characteristics. This study found that there was a statistically significant longitudinal reduction in mean IES-R scores (from 32.98 to 30.76, p &lt; 0.01) after 4 weeks. Nevertheless, the mean IES-R score of the first- and second-survey respondents were above the cut-off scores (&gt;24) for PTSD symptoms, suggesting that the reduction in scores was not clinically significant. During the initial evaluation, moderate-to-severe stress, anxiety and depression were noted in 8.1%, 28.8% and 16.5%, respectively and there were no significant longitudinal changes in stress, anxiety and depression levels (p &gt; 0.05). Protective factors included high level of confidence in doctors, perceived survival likelihood and low risk of contracting COVID-19, satisfaction with health information, personal precautionary measures. As countries around the world brace for an escalation in cases, Governments should focus on effective methods of disseminating unbiased COVID-19 knowledge, teaching correct containment methods, ensuring availability of essential services/commodities, and providing sufficient financial support.","archive":"PubMed","archive_location":"32298802","container-title":"Brain, behavior, and immunity","DOI":"10.1016/j.bbi.2020.04.028","ISSN":"1090-2139","journalAbbreviation":"Brain Behav Immun","language":"eng","note":"publisher: Elsevier Inc.","page":"S0889-1591(20)30511-0","title":"A longitudinal study on the mental health of general population during the COVID-19 epidemic in China","author":[{"family":"Wang","given":"Cuiyan"},{"family":"Pan","given":"Riyu"},{"family":"Wan","given":"Xiaoyang"},{"family":"Tan","given":"Yilin"},{"family":"Xu","given":"Linkang"},{"family":"McIntyre","given":"Roger S"},{"family":"Choo","given":"Faith N"},{"family":"Tran","given":"Bach"},{"family":"Ho","given":"Roger"},{"family":"Sharma","given":"Vijay K"},{"family":"Ho","given":"Cyrus"}],"issued":{"date-parts":[["2020",4,13]]}}}],"schema":"https://github.com/citation-style-language/schema/raw/master/csl-citation.json"} </w:instrText>
      </w:r>
      <w:r w:rsidR="00944104" w:rsidRPr="004C5C6C">
        <w:rPr>
          <w:rFonts w:ascii="Garamond" w:hAnsi="Garamond"/>
        </w:rPr>
        <w:fldChar w:fldCharType="separate"/>
      </w:r>
      <w:r w:rsidR="00234F52" w:rsidRPr="00234F52">
        <w:rPr>
          <w:rFonts w:ascii="Garamond" w:hAnsi="Garamond"/>
          <w:vertAlign w:val="superscript"/>
        </w:rPr>
        <w:t>16</w:t>
      </w:r>
      <w:r w:rsidR="00944104" w:rsidRPr="004C5C6C">
        <w:rPr>
          <w:rFonts w:ascii="Garamond" w:hAnsi="Garamond"/>
        </w:rPr>
        <w:fldChar w:fldCharType="end"/>
      </w:r>
      <w:r w:rsidR="00060BD5" w:rsidRPr="004C5C6C">
        <w:rPr>
          <w:rFonts w:ascii="Garamond" w:hAnsi="Garamond"/>
        </w:rPr>
        <w:t xml:space="preserve"> </w:t>
      </w:r>
      <w:r w:rsidR="00917802" w:rsidRPr="004C5C6C">
        <w:rPr>
          <w:rFonts w:ascii="Garamond" w:hAnsi="Garamond"/>
        </w:rPr>
        <w:t xml:space="preserve">Findings </w:t>
      </w:r>
      <w:r w:rsidR="00917802" w:rsidRPr="0076365B">
        <w:rPr>
          <w:rFonts w:ascii="Garamond" w:hAnsi="Garamond"/>
        </w:rPr>
        <w:t xml:space="preserve">of individual </w:t>
      </w:r>
      <w:r w:rsidR="0025744F" w:rsidRPr="0076365B">
        <w:rPr>
          <w:rFonts w:ascii="Garamond" w:hAnsi="Garamond"/>
        </w:rPr>
        <w:t>studies</w:t>
      </w:r>
      <w:r w:rsidR="00917802" w:rsidRPr="0076365B">
        <w:rPr>
          <w:rFonts w:ascii="Garamond" w:hAnsi="Garamond"/>
        </w:rPr>
        <w:t xml:space="preserve"> </w:t>
      </w:r>
      <w:r w:rsidR="00917802" w:rsidRPr="00435491">
        <w:rPr>
          <w:rFonts w:ascii="Garamond" w:hAnsi="Garamond"/>
        </w:rPr>
        <w:t xml:space="preserve">are </w:t>
      </w:r>
      <w:r w:rsidR="00917802" w:rsidRPr="005308CA">
        <w:rPr>
          <w:rFonts w:ascii="Garamond" w:hAnsi="Garamond"/>
        </w:rPr>
        <w:t>watched closely and with suspense</w:t>
      </w:r>
      <w:r w:rsidR="004C5464" w:rsidRPr="005308CA">
        <w:rPr>
          <w:rFonts w:ascii="Garamond" w:hAnsi="Garamond"/>
        </w:rPr>
        <w:t xml:space="preserve">. </w:t>
      </w:r>
      <w:r w:rsidR="00C503E1">
        <w:rPr>
          <w:rFonts w:ascii="Garamond" w:hAnsi="Garamond"/>
        </w:rPr>
        <w:t xml:space="preserve">Doing </w:t>
      </w:r>
      <w:r w:rsidR="006D3B70" w:rsidRPr="004C5C6C">
        <w:rPr>
          <w:rFonts w:ascii="Garamond" w:hAnsi="Garamond"/>
        </w:rPr>
        <w:t>“science by press release</w:t>
      </w:r>
      <w:r w:rsidR="006D3B70" w:rsidRPr="0076365B">
        <w:rPr>
          <w:rFonts w:ascii="Garamond" w:hAnsi="Garamond"/>
        </w:rPr>
        <w:t xml:space="preserve">” </w:t>
      </w:r>
      <w:r w:rsidR="004F125B" w:rsidRPr="0076365B">
        <w:rPr>
          <w:rFonts w:ascii="Garamond" w:hAnsi="Garamond"/>
        </w:rPr>
        <w:t>–</w:t>
      </w:r>
      <w:r w:rsidR="004F125B" w:rsidRPr="00435491">
        <w:rPr>
          <w:rFonts w:ascii="Garamond" w:hAnsi="Garamond"/>
        </w:rPr>
        <w:t xml:space="preserve"> p</w:t>
      </w:r>
      <w:r w:rsidR="004F125B" w:rsidRPr="00C503E1">
        <w:rPr>
          <w:rFonts w:ascii="Garamond" w:hAnsi="Garamond"/>
        </w:rPr>
        <w:t>ublicising study findings before they are</w:t>
      </w:r>
      <w:r w:rsidR="000A22E4">
        <w:rPr>
          <w:rFonts w:ascii="Garamond" w:hAnsi="Garamond"/>
        </w:rPr>
        <w:t xml:space="preserve"> shared as preprints or</w:t>
      </w:r>
      <w:r w:rsidR="004F125B" w:rsidRPr="00C503E1">
        <w:rPr>
          <w:rFonts w:ascii="Garamond" w:hAnsi="Garamond"/>
        </w:rPr>
        <w:t xml:space="preserve"> published in peer-reviewed journal</w:t>
      </w:r>
      <w:r w:rsidR="00673F46">
        <w:rPr>
          <w:rFonts w:ascii="Garamond" w:hAnsi="Garamond"/>
        </w:rPr>
        <w:t>s</w:t>
      </w:r>
      <w:r w:rsidR="004F125B" w:rsidRPr="00C503E1">
        <w:rPr>
          <w:rFonts w:ascii="Garamond" w:hAnsi="Garamond"/>
        </w:rPr>
        <w:t xml:space="preserve"> –</w:t>
      </w:r>
      <w:r w:rsidR="00C503E1">
        <w:rPr>
          <w:rFonts w:ascii="Garamond" w:hAnsi="Garamond"/>
        </w:rPr>
        <w:t xml:space="preserve"> has become common. </w:t>
      </w:r>
      <w:r w:rsidR="004C5464" w:rsidRPr="004C5C6C">
        <w:rPr>
          <w:rFonts w:ascii="Garamond" w:hAnsi="Garamond"/>
        </w:rPr>
        <w:t>He</w:t>
      </w:r>
      <w:r w:rsidR="00917802" w:rsidRPr="0076365B">
        <w:rPr>
          <w:rFonts w:ascii="Garamond" w:hAnsi="Garamond"/>
        </w:rPr>
        <w:t xml:space="preserve">alth care professionals </w:t>
      </w:r>
      <w:r w:rsidR="009C461D">
        <w:rPr>
          <w:rFonts w:ascii="Garamond" w:hAnsi="Garamond"/>
        </w:rPr>
        <w:t>have</w:t>
      </w:r>
      <w:r w:rsidR="009C461D" w:rsidRPr="004C5C6C">
        <w:rPr>
          <w:rFonts w:ascii="Garamond" w:hAnsi="Garamond"/>
        </w:rPr>
        <w:t xml:space="preserve"> </w:t>
      </w:r>
      <w:r w:rsidR="000E0E5D" w:rsidRPr="004C5C6C">
        <w:rPr>
          <w:rFonts w:ascii="Garamond" w:hAnsi="Garamond"/>
        </w:rPr>
        <w:t>not</w:t>
      </w:r>
      <w:r w:rsidR="00917802" w:rsidRPr="0076365B">
        <w:rPr>
          <w:rFonts w:ascii="Garamond" w:hAnsi="Garamond"/>
        </w:rPr>
        <w:t xml:space="preserve"> </w:t>
      </w:r>
      <w:r w:rsidR="009C461D">
        <w:rPr>
          <w:rFonts w:ascii="Garamond" w:hAnsi="Garamond"/>
        </w:rPr>
        <w:t xml:space="preserve">been </w:t>
      </w:r>
      <w:r w:rsidR="00917802" w:rsidRPr="004C5C6C">
        <w:rPr>
          <w:rFonts w:ascii="Garamond" w:hAnsi="Garamond"/>
        </w:rPr>
        <w:t xml:space="preserve">immune to </w:t>
      </w:r>
      <w:r w:rsidR="00926139">
        <w:rPr>
          <w:rFonts w:ascii="Garamond" w:hAnsi="Garamond"/>
        </w:rPr>
        <w:t>hype</w:t>
      </w:r>
      <w:r w:rsidR="00917802" w:rsidRPr="0076365B">
        <w:rPr>
          <w:rFonts w:ascii="Garamond" w:hAnsi="Garamond"/>
        </w:rPr>
        <w:t xml:space="preserve">. </w:t>
      </w:r>
      <w:r w:rsidR="006D3B70">
        <w:rPr>
          <w:rFonts w:ascii="Garamond" w:hAnsi="Garamond"/>
        </w:rPr>
        <w:t>During</w:t>
      </w:r>
      <w:r w:rsidR="009C461D">
        <w:rPr>
          <w:rFonts w:ascii="Garamond" w:hAnsi="Garamond"/>
        </w:rPr>
        <w:t xml:space="preserve"> the early days of the pandemic, t</w:t>
      </w:r>
      <w:r w:rsidR="009C461D" w:rsidRPr="004C5C6C">
        <w:rPr>
          <w:rFonts w:ascii="Garamond" w:hAnsi="Garamond"/>
        </w:rPr>
        <w:t xml:space="preserve">here </w:t>
      </w:r>
      <w:r w:rsidR="009C461D">
        <w:rPr>
          <w:rFonts w:ascii="Garamond" w:hAnsi="Garamond"/>
        </w:rPr>
        <w:t>were</w:t>
      </w:r>
      <w:r w:rsidR="00917802" w:rsidRPr="004C5C6C">
        <w:rPr>
          <w:rFonts w:ascii="Garamond" w:hAnsi="Garamond"/>
        </w:rPr>
        <w:t xml:space="preserve"> reported shortages of hydroxychloroquine </w:t>
      </w:r>
      <w:r w:rsidR="008C5ACF" w:rsidRPr="0076365B">
        <w:rPr>
          <w:rFonts w:ascii="Garamond" w:hAnsi="Garamond"/>
        </w:rPr>
        <w:t xml:space="preserve">driven by </w:t>
      </w:r>
      <w:r w:rsidR="00354CE4" w:rsidRPr="0076365B">
        <w:rPr>
          <w:rFonts w:ascii="Garamond" w:hAnsi="Garamond"/>
        </w:rPr>
        <w:t>clinician</w:t>
      </w:r>
      <w:r w:rsidR="00035C42" w:rsidRPr="0076365B">
        <w:rPr>
          <w:rFonts w:ascii="Garamond" w:hAnsi="Garamond"/>
        </w:rPr>
        <w:t>s</w:t>
      </w:r>
      <w:r w:rsidR="00673F46">
        <w:rPr>
          <w:rFonts w:ascii="Garamond" w:hAnsi="Garamond"/>
        </w:rPr>
        <w:t>’</w:t>
      </w:r>
      <w:r w:rsidR="00354CE4" w:rsidRPr="00435491">
        <w:rPr>
          <w:rFonts w:ascii="Garamond" w:hAnsi="Garamond"/>
        </w:rPr>
        <w:t xml:space="preserve"> </w:t>
      </w:r>
      <w:r w:rsidR="008C5ACF" w:rsidRPr="00435491">
        <w:rPr>
          <w:rFonts w:ascii="Garamond" w:hAnsi="Garamond"/>
        </w:rPr>
        <w:t xml:space="preserve">prescriptions </w:t>
      </w:r>
      <w:r w:rsidR="00917802" w:rsidRPr="005308CA">
        <w:rPr>
          <w:rFonts w:ascii="Garamond" w:hAnsi="Garamond"/>
        </w:rPr>
        <w:t>after these products were hailed as potential breakthroughs.</w:t>
      </w:r>
      <w:r w:rsidR="00717B55" w:rsidRPr="005308CA">
        <w:rPr>
          <w:rFonts w:ascii="Garamond" w:hAnsi="Garamond"/>
        </w:rPr>
        <w:t xml:space="preserve"> </w:t>
      </w:r>
    </w:p>
    <w:p w14:paraId="4467C00B" w14:textId="7A05EC2F" w:rsidR="006A35F0" w:rsidRDefault="00717B55" w:rsidP="004C5C6C">
      <w:pPr>
        <w:ind w:firstLine="720"/>
        <w:rPr>
          <w:rFonts w:ascii="Garamond" w:hAnsi="Garamond"/>
        </w:rPr>
      </w:pPr>
      <w:r w:rsidRPr="004C5C6C">
        <w:rPr>
          <w:rFonts w:ascii="Garamond" w:hAnsi="Garamond"/>
        </w:rPr>
        <w:t xml:space="preserve">Even regulators </w:t>
      </w:r>
      <w:r w:rsidR="00C503E1">
        <w:rPr>
          <w:rFonts w:ascii="Garamond" w:hAnsi="Garamond"/>
        </w:rPr>
        <w:t>have been</w:t>
      </w:r>
      <w:r w:rsidR="00C503E1" w:rsidRPr="004C5C6C">
        <w:rPr>
          <w:rFonts w:ascii="Garamond" w:hAnsi="Garamond"/>
        </w:rPr>
        <w:t xml:space="preserve"> </w:t>
      </w:r>
      <w:r w:rsidRPr="004C5C6C">
        <w:rPr>
          <w:rFonts w:ascii="Garamond" w:hAnsi="Garamond"/>
        </w:rPr>
        <w:t>under pressure to act without sufficient evidence.</w:t>
      </w:r>
      <w:r w:rsidR="00230B26">
        <w:rPr>
          <w:rFonts w:ascii="Garamond" w:hAnsi="Garamond"/>
        </w:rPr>
        <w:fldChar w:fldCharType="begin"/>
      </w:r>
      <w:r w:rsidR="00234F52">
        <w:rPr>
          <w:rFonts w:ascii="Garamond" w:hAnsi="Garamond"/>
        </w:rPr>
        <w:instrText xml:space="preserve"> ADDIN ZOTERO_ITEM CSL_CITATION {"citationID":"YCRycmK2","properties":{"formattedCitation":"\\super 17,18\\nosupersub{}","plainCitation":"17,18","noteIndex":0},"citationItems":[{"id":974,"uris":["http://zotero.org/users/local/LpXke84i/items/LYNKD6ZX"],"uri":["http://zotero.org/users/local/LpXke84i/items/LYNKD6ZX"],"itemData":{"id":974,"type":"article-journal","container-title":"New England Journal of Medicine","DOI":"10.1056/NEJMp2009457","ISSN":"0028-4793","issue":"24","journalAbbreviation":"N Engl J Med","note":"publisher: Massachusetts Medical Society","page":"2282-2284","title":"Drug Evaluation during the Covid-19 Pandemic","volume":"382","author":[{"family":"Rome","given":"Benjamin N."},{"family":"Avorn","given":"Jerry"}],"issued":{"date-parts":[["2020",4,14]]}}},{"id":976,"uris":["http://zotero.org/users/local/LpXke84i/items/DCYPNGVM"],"uri":["http://zotero.org/users/local/LpXke84i/items/DCYPNGVM"],"itemData":{"id":976,"type":"article-journal","abstract":"On May 1, the US Food and Drug Administration (FDA) issued an Emergency Use Authorization (EUA) for remdesivir for the treatment of hospitalized adults and children with severe coronavirus disease 2019 (COVID-19). An EUA permits the use of an unapproved drug, biologic, or medical device and may be issued by the FDA when the secretary of Health and Human Services has declared a public health emergency “that has a significant potential to affect national security or the health and security of United States citizens living abroad.” As seen with the FDA’s recent revocation of the EUA for hydroxychloroquine, the agency has wide discretion to revoke or revise EUAs when appropriate for public health (the FDA does not have comparable authority to act so quickly with respect to drugs that have been approved).","container-title":"JAMA","DOI":"10.1001/jama.2020.11932","ISSN":"0098-7484","journalAbbreviation":"JAMA","title":"Missed Opportunities on Emergency Remdesivir Use","URL":"https://doi.org/10.1001/jama.2020.11932","author":[{"family":"Sarpatwari","given":"Ameet"},{"family":"Kaltenboeck","given":"Anna"},{"family":"Kesselheim","given":"Aaron S."}],"accessed":{"date-parts":[["2020",7,20]]},"issued":{"date-parts":[["2020",6,24]]}}}],"schema":"https://github.com/citation-style-language/schema/raw/master/csl-citation.json"} </w:instrText>
      </w:r>
      <w:r w:rsidR="00230B26">
        <w:rPr>
          <w:rFonts w:ascii="Garamond" w:hAnsi="Garamond"/>
        </w:rPr>
        <w:fldChar w:fldCharType="separate"/>
      </w:r>
      <w:r w:rsidR="00234F52" w:rsidRPr="00234F52">
        <w:rPr>
          <w:rFonts w:ascii="Garamond" w:hAnsi="Garamond"/>
          <w:vertAlign w:val="superscript"/>
        </w:rPr>
        <w:t>17,18</w:t>
      </w:r>
      <w:r w:rsidR="00230B26">
        <w:rPr>
          <w:rFonts w:ascii="Garamond" w:hAnsi="Garamond"/>
        </w:rPr>
        <w:fldChar w:fldCharType="end"/>
      </w:r>
      <w:r w:rsidRPr="004C5C6C">
        <w:rPr>
          <w:rFonts w:ascii="Garamond" w:hAnsi="Garamond"/>
        </w:rPr>
        <w:t xml:space="preserve"> In the US, Food and Drug Admini</w:t>
      </w:r>
      <w:r w:rsidRPr="0076365B">
        <w:rPr>
          <w:rFonts w:ascii="Garamond" w:hAnsi="Garamond"/>
        </w:rPr>
        <w:t xml:space="preserve">stration (FDA) granted Emergency Use </w:t>
      </w:r>
      <w:r w:rsidR="004C1E9D" w:rsidRPr="0076365B">
        <w:rPr>
          <w:rFonts w:ascii="Garamond" w:hAnsi="Garamond"/>
        </w:rPr>
        <w:t>Authorization</w:t>
      </w:r>
      <w:r w:rsidRPr="0076365B">
        <w:rPr>
          <w:rFonts w:ascii="Garamond" w:hAnsi="Garamond"/>
        </w:rPr>
        <w:t xml:space="preserve"> </w:t>
      </w:r>
      <w:r w:rsidR="00C503E1">
        <w:rPr>
          <w:rFonts w:ascii="Garamond" w:hAnsi="Garamond"/>
        </w:rPr>
        <w:t xml:space="preserve">(EUA) </w:t>
      </w:r>
      <w:r w:rsidRPr="004C5C6C">
        <w:rPr>
          <w:rFonts w:ascii="Garamond" w:hAnsi="Garamond"/>
        </w:rPr>
        <w:t>for hydroxychloroquine</w:t>
      </w:r>
      <w:r w:rsidR="00C05F48">
        <w:rPr>
          <w:rFonts w:ascii="Garamond" w:hAnsi="Garamond"/>
        </w:rPr>
        <w:t xml:space="preserve"> </w:t>
      </w:r>
      <w:r w:rsidR="00B86646">
        <w:rPr>
          <w:rFonts w:ascii="Garamond" w:hAnsi="Garamond"/>
        </w:rPr>
        <w:t>on the basis of no solid data suggesting an effect in patients with COVID-19</w:t>
      </w:r>
      <w:r w:rsidRPr="0076365B">
        <w:rPr>
          <w:rFonts w:ascii="Garamond" w:hAnsi="Garamond"/>
        </w:rPr>
        <w:t xml:space="preserve">. </w:t>
      </w:r>
      <w:r w:rsidR="00D4399D">
        <w:rPr>
          <w:rFonts w:ascii="Garamond" w:hAnsi="Garamond"/>
        </w:rPr>
        <w:t>FDA later revoked its EUA for hydroxychloroquine after evidence from RCTs failed to demonstrate any benefit</w:t>
      </w:r>
      <w:r w:rsidR="00042A70">
        <w:rPr>
          <w:rFonts w:ascii="Garamond" w:hAnsi="Garamond"/>
        </w:rPr>
        <w:t>s</w:t>
      </w:r>
      <w:r w:rsidR="00D4399D">
        <w:rPr>
          <w:rFonts w:ascii="Garamond" w:hAnsi="Garamond"/>
        </w:rPr>
        <w:t xml:space="preserve">. </w:t>
      </w:r>
      <w:r w:rsidR="00823F4D">
        <w:rPr>
          <w:rFonts w:ascii="Garamond" w:hAnsi="Garamond"/>
        </w:rPr>
        <w:t>The European Medicines Agency (EMA) granted a conditional marketing authorisation</w:t>
      </w:r>
      <w:r w:rsidR="00B0511E">
        <w:rPr>
          <w:rFonts w:ascii="Garamond" w:hAnsi="Garamond"/>
        </w:rPr>
        <w:t xml:space="preserve"> for</w:t>
      </w:r>
      <w:r w:rsidR="00823F4D">
        <w:rPr>
          <w:rFonts w:ascii="Garamond" w:hAnsi="Garamond"/>
        </w:rPr>
        <w:t xml:space="preserve"> remdesivir on the basis of</w:t>
      </w:r>
      <w:r w:rsidR="00D4399D">
        <w:rPr>
          <w:rFonts w:ascii="Garamond" w:hAnsi="Garamond"/>
        </w:rPr>
        <w:t xml:space="preserve"> “non-comprehensive” data, and without access to clinical study reports.</w:t>
      </w:r>
      <w:r w:rsidR="007A4100">
        <w:rPr>
          <w:rFonts w:ascii="Garamond" w:hAnsi="Garamond"/>
        </w:rPr>
        <w:fldChar w:fldCharType="begin"/>
      </w:r>
      <w:r w:rsidR="00234F52">
        <w:rPr>
          <w:rFonts w:ascii="Garamond" w:hAnsi="Garamond"/>
        </w:rPr>
        <w:instrText xml:space="preserve"> ADDIN ZOTERO_ITEM CSL_CITATION {"citationID":"3JGcn7b6","properties":{"formattedCitation":"\\super 19\\nosupersub{}","plainCitation":"19","noteIndex":0},"citationItems":[{"id":969,"uris":["http://zotero.org/users/local/LpXke84i/items/KXATZ2IV"],"uri":["http://zotero.org/users/local/LpXke84i/items/KXATZ2IV"],"itemData":{"id":969,"type":"report","title":"Assessment report: Veklury. Procedure No. EMEA/H/C/005622/0000","URL":"https://www.ema.europa.eu/en/documents/assessment-report/veklury-epar-public-assessment-report_en.pdf","author":[{"family":"European Medicines Agency","given":""}],"issued":{"date-parts":[["2020",6,25]]}}}],"schema":"https://github.com/citation-style-language/schema/raw/master/csl-citation.json"} </w:instrText>
      </w:r>
      <w:r w:rsidR="007A4100">
        <w:rPr>
          <w:rFonts w:ascii="Garamond" w:hAnsi="Garamond"/>
        </w:rPr>
        <w:fldChar w:fldCharType="separate"/>
      </w:r>
      <w:r w:rsidR="00234F52" w:rsidRPr="00234F52">
        <w:rPr>
          <w:rFonts w:ascii="Garamond" w:hAnsi="Garamond"/>
          <w:vertAlign w:val="superscript"/>
        </w:rPr>
        <w:t>19</w:t>
      </w:r>
      <w:r w:rsidR="007A4100">
        <w:rPr>
          <w:rFonts w:ascii="Garamond" w:hAnsi="Garamond"/>
        </w:rPr>
        <w:fldChar w:fldCharType="end"/>
      </w:r>
      <w:r w:rsidR="00D4399D">
        <w:rPr>
          <w:rFonts w:ascii="Garamond" w:hAnsi="Garamond"/>
        </w:rPr>
        <w:t xml:space="preserve"> </w:t>
      </w:r>
    </w:p>
    <w:p w14:paraId="182C57B9" w14:textId="77777777" w:rsidR="00F1354B" w:rsidRPr="0076365B" w:rsidRDefault="00F1354B" w:rsidP="00F1354B">
      <w:pPr>
        <w:rPr>
          <w:rFonts w:ascii="Garamond" w:hAnsi="Garamond"/>
          <w:b/>
          <w:bCs/>
        </w:rPr>
      </w:pPr>
    </w:p>
    <w:p w14:paraId="4B110FD0" w14:textId="14EDD4A8" w:rsidR="00F1354B" w:rsidRPr="004C5C6C" w:rsidRDefault="00C62DBE" w:rsidP="00F1354B">
      <w:pPr>
        <w:rPr>
          <w:rFonts w:ascii="Garamond" w:hAnsi="Garamond"/>
          <w:b/>
          <w:bCs/>
        </w:rPr>
      </w:pPr>
      <w:r>
        <w:rPr>
          <w:rFonts w:ascii="Garamond" w:hAnsi="Garamond"/>
          <w:b/>
          <w:bCs/>
        </w:rPr>
        <w:t xml:space="preserve">Progress on </w:t>
      </w:r>
      <w:r w:rsidR="00CE0952">
        <w:rPr>
          <w:rFonts w:ascii="Garamond" w:hAnsi="Garamond"/>
          <w:b/>
          <w:bCs/>
        </w:rPr>
        <w:t xml:space="preserve">research </w:t>
      </w:r>
      <w:r>
        <w:rPr>
          <w:rFonts w:ascii="Garamond" w:hAnsi="Garamond"/>
          <w:b/>
          <w:bCs/>
        </w:rPr>
        <w:t>coordination and collaboration</w:t>
      </w:r>
    </w:p>
    <w:p w14:paraId="13792263" w14:textId="14A86DB1" w:rsidR="00F1354B" w:rsidRPr="004C5C6C" w:rsidRDefault="00F1354B" w:rsidP="00F641D7">
      <w:pPr>
        <w:ind w:firstLine="720"/>
        <w:rPr>
          <w:rFonts w:ascii="Garamond" w:hAnsi="Garamond"/>
        </w:rPr>
      </w:pPr>
      <w:r w:rsidRPr="0076365B">
        <w:rPr>
          <w:rFonts w:ascii="Garamond" w:hAnsi="Garamond"/>
        </w:rPr>
        <w:t>There are existing mechanisms for global research coordination during public health emergencies. Initiatives such as the Global Research Collaboration for Infectious Disease Preparedness</w:t>
      </w:r>
      <w:r w:rsidR="000A22E4">
        <w:rPr>
          <w:rFonts w:ascii="Garamond" w:hAnsi="Garamond"/>
        </w:rPr>
        <w:t xml:space="preserve"> (</w:t>
      </w:r>
      <w:proofErr w:type="spellStart"/>
      <w:r w:rsidR="000A22E4">
        <w:rPr>
          <w:rFonts w:ascii="Garamond" w:hAnsi="Garamond"/>
        </w:rPr>
        <w:t>GloPID</w:t>
      </w:r>
      <w:proofErr w:type="spellEnd"/>
      <w:r w:rsidR="000A22E4">
        <w:rPr>
          <w:rFonts w:ascii="Garamond" w:hAnsi="Garamond"/>
        </w:rPr>
        <w:t>-R)</w:t>
      </w:r>
      <w:r w:rsidR="00717B55" w:rsidRPr="0076365B">
        <w:rPr>
          <w:rFonts w:ascii="Garamond" w:hAnsi="Garamond"/>
        </w:rPr>
        <w:t>,</w:t>
      </w:r>
      <w:r w:rsidR="00312894" w:rsidRPr="004C5C6C">
        <w:rPr>
          <w:rFonts w:ascii="Garamond" w:hAnsi="Garamond"/>
        </w:rPr>
        <w:fldChar w:fldCharType="begin"/>
      </w:r>
      <w:r w:rsidR="00234F52">
        <w:rPr>
          <w:rFonts w:ascii="Garamond" w:hAnsi="Garamond"/>
        </w:rPr>
        <w:instrText xml:space="preserve"> ADDIN ZOTERO_ITEM CSL_CITATION {"citationID":"00zhaQ0n","properties":{"formattedCitation":"\\super 20\\nosupersub{}","plainCitation":"20","noteIndex":0},"citationItems":[{"id":911,"uris":["http://zotero.org/users/local/LpXke84i/items/U9YMNWVB"],"uri":["http://zotero.org/users/local/LpXke84i/items/U9YMNWVB"],"itemData":{"id":911,"type":"article-journal","container-title":"The Lancet","DOI":"10.1016/S0140-6736(16)30604-3","ISSN":"0140-6736","issue":"10034","note":"publisher: Elsevier","page":"2197-2198","title":"Coordinating funding in public health emergencies","volume":"387","author":[{"family":"Matthiessen","given":"Line"},{"family":"Colli","given":"Walter"},{"family":"Delfraissy","given":"Jean-François"},{"family":"Hwang","given":"Eung-Soo"},{"family":"Mphahlele","given":"Jeffrey"},{"family":"Ouellette","given":"Marc"}],"issued":{"date-parts":[["2016",5,28]]}}}],"schema":"https://github.com/citation-style-language/schema/raw/master/csl-citation.json"} </w:instrText>
      </w:r>
      <w:r w:rsidR="00312894" w:rsidRPr="004C5C6C">
        <w:rPr>
          <w:rFonts w:ascii="Garamond" w:hAnsi="Garamond"/>
        </w:rPr>
        <w:fldChar w:fldCharType="separate"/>
      </w:r>
      <w:r w:rsidR="00234F52" w:rsidRPr="00234F52">
        <w:rPr>
          <w:rFonts w:ascii="Garamond" w:hAnsi="Garamond"/>
          <w:vertAlign w:val="superscript"/>
        </w:rPr>
        <w:t>20</w:t>
      </w:r>
      <w:r w:rsidR="00312894" w:rsidRPr="004C5C6C">
        <w:rPr>
          <w:rFonts w:ascii="Garamond" w:hAnsi="Garamond"/>
        </w:rPr>
        <w:fldChar w:fldCharType="end"/>
      </w:r>
      <w:r w:rsidRPr="004C5C6C">
        <w:rPr>
          <w:rFonts w:ascii="Garamond" w:hAnsi="Garamond"/>
        </w:rPr>
        <w:t xml:space="preserve"> </w:t>
      </w:r>
      <w:r w:rsidR="00921713" w:rsidRPr="004C5C6C">
        <w:rPr>
          <w:rFonts w:ascii="Garamond" w:hAnsi="Garamond"/>
        </w:rPr>
        <w:t xml:space="preserve">established in 2013 after agreement by the </w:t>
      </w:r>
      <w:r w:rsidR="00921713" w:rsidRPr="0076365B">
        <w:rPr>
          <w:rFonts w:ascii="Garamond" w:hAnsi="Garamond"/>
        </w:rPr>
        <w:t>Heads of International (biomedical) Research Funding Organisations</w:t>
      </w:r>
      <w:r w:rsidR="00717B55" w:rsidRPr="00435491">
        <w:rPr>
          <w:rFonts w:ascii="Garamond" w:hAnsi="Garamond"/>
        </w:rPr>
        <w:t>,</w:t>
      </w:r>
      <w:r w:rsidR="00921713" w:rsidRPr="00435491">
        <w:rPr>
          <w:rFonts w:ascii="Garamond" w:hAnsi="Garamond"/>
        </w:rPr>
        <w:t xml:space="preserve"> </w:t>
      </w:r>
      <w:r w:rsidRPr="005308CA">
        <w:rPr>
          <w:rFonts w:ascii="Garamond" w:hAnsi="Garamond"/>
        </w:rPr>
        <w:t>and WHO’s R&amp;D Blueprint,</w:t>
      </w:r>
      <w:r w:rsidR="00312894" w:rsidRPr="004C5C6C">
        <w:rPr>
          <w:rFonts w:ascii="Garamond" w:hAnsi="Garamond"/>
        </w:rPr>
        <w:fldChar w:fldCharType="begin"/>
      </w:r>
      <w:r w:rsidR="00234F52">
        <w:rPr>
          <w:rFonts w:ascii="Garamond" w:hAnsi="Garamond"/>
        </w:rPr>
        <w:instrText xml:space="preserve"> ADDIN ZOTERO_ITEM CSL_CITATION {"citationID":"36kGyaIs","properties":{"formattedCitation":"\\super 21\\nosupersub{}","plainCitation":"21","noteIndex":0},"citationItems":[{"id":909,"uris":["http://zotero.org/users/local/LpXke84i/items/ZDE9MXRP"],"uri":["http://zotero.org/users/local/LpXke84i/items/ZDE9MXRP"],"itemData":{"id":909,"type":"article-journal","container-title":"The Lancet","DOI":"10.1016/S0140-6736(16)31152-7","ISSN":"0140-6736","issue":"10043","note":"publisher: Elsevier","page":"460-461","title":"The need for global R&amp;D coordination for infectious diseases with epidemic potential","volume":"388","author":[{"family":"Kieny","given":"Marie Paule"},{"family":"Rottingen","given":"John-Arne"},{"family":"Farrar","given":"Jeremy"}],"issued":{"date-parts":[["2016",7,30]]}}}],"schema":"https://github.com/citation-style-language/schema/raw/master/csl-citation.json"} </w:instrText>
      </w:r>
      <w:r w:rsidR="00312894" w:rsidRPr="004C5C6C">
        <w:rPr>
          <w:rFonts w:ascii="Garamond" w:hAnsi="Garamond"/>
        </w:rPr>
        <w:fldChar w:fldCharType="separate"/>
      </w:r>
      <w:r w:rsidR="00234F52" w:rsidRPr="00234F52">
        <w:rPr>
          <w:rFonts w:ascii="Garamond" w:hAnsi="Garamond"/>
          <w:vertAlign w:val="superscript"/>
        </w:rPr>
        <w:t>21</w:t>
      </w:r>
      <w:r w:rsidR="00312894" w:rsidRPr="004C5C6C">
        <w:rPr>
          <w:rFonts w:ascii="Garamond" w:hAnsi="Garamond"/>
        </w:rPr>
        <w:fldChar w:fldCharType="end"/>
      </w:r>
      <w:r w:rsidRPr="004C5C6C">
        <w:rPr>
          <w:rFonts w:ascii="Garamond" w:hAnsi="Garamond"/>
        </w:rPr>
        <w:t xml:space="preserve"> which originated after the Ebola outbreak</w:t>
      </w:r>
      <w:r w:rsidR="008C5ACF" w:rsidRPr="004C5C6C">
        <w:rPr>
          <w:rFonts w:ascii="Garamond" w:hAnsi="Garamond"/>
        </w:rPr>
        <w:t xml:space="preserve"> in 2014-2016</w:t>
      </w:r>
      <w:r w:rsidRPr="0076365B">
        <w:rPr>
          <w:rFonts w:ascii="Garamond" w:hAnsi="Garamond"/>
        </w:rPr>
        <w:t xml:space="preserve">, are </w:t>
      </w:r>
      <w:r w:rsidRPr="00435491">
        <w:rPr>
          <w:rFonts w:ascii="Garamond" w:hAnsi="Garamond"/>
        </w:rPr>
        <w:t>platform</w:t>
      </w:r>
      <w:r w:rsidR="003257ED" w:rsidRPr="005308CA">
        <w:rPr>
          <w:rFonts w:ascii="Garamond" w:hAnsi="Garamond"/>
        </w:rPr>
        <w:t>s</w:t>
      </w:r>
      <w:r w:rsidRPr="005308CA">
        <w:rPr>
          <w:rFonts w:ascii="Garamond" w:hAnsi="Garamond"/>
        </w:rPr>
        <w:t xml:space="preserve"> for collaboration. New models are also emerging. </w:t>
      </w:r>
      <w:r w:rsidR="00921713" w:rsidRPr="005308CA">
        <w:rPr>
          <w:rFonts w:ascii="Garamond" w:hAnsi="Garamond"/>
        </w:rPr>
        <w:t xml:space="preserve">The G20 </w:t>
      </w:r>
      <w:r w:rsidR="00717B55" w:rsidRPr="005308CA">
        <w:rPr>
          <w:rFonts w:ascii="Garamond" w:hAnsi="Garamond"/>
        </w:rPr>
        <w:t xml:space="preserve">countries </w:t>
      </w:r>
      <w:r w:rsidR="00921713" w:rsidRPr="005308CA">
        <w:rPr>
          <w:rFonts w:ascii="Garamond" w:hAnsi="Garamond"/>
        </w:rPr>
        <w:t xml:space="preserve">together with </w:t>
      </w:r>
      <w:r w:rsidR="00944104" w:rsidRPr="005308CA">
        <w:rPr>
          <w:rFonts w:ascii="Garamond" w:hAnsi="Garamond"/>
        </w:rPr>
        <w:t>WHO</w:t>
      </w:r>
      <w:r w:rsidR="00921713" w:rsidRPr="005308CA">
        <w:rPr>
          <w:rFonts w:ascii="Garamond" w:hAnsi="Garamond"/>
        </w:rPr>
        <w:t xml:space="preserve"> ha</w:t>
      </w:r>
      <w:r w:rsidR="00717B55" w:rsidRPr="005308CA">
        <w:rPr>
          <w:rFonts w:ascii="Garamond" w:hAnsi="Garamond"/>
        </w:rPr>
        <w:t>ve</w:t>
      </w:r>
      <w:r w:rsidR="00921713" w:rsidRPr="005308CA">
        <w:rPr>
          <w:rFonts w:ascii="Garamond" w:hAnsi="Garamond"/>
        </w:rPr>
        <w:t xml:space="preserve"> established the</w:t>
      </w:r>
      <w:r w:rsidR="00921713" w:rsidRPr="005308CA">
        <w:t xml:space="preserve"> </w:t>
      </w:r>
      <w:r w:rsidR="00921713" w:rsidRPr="005308CA">
        <w:rPr>
          <w:rFonts w:ascii="Garamond" w:hAnsi="Garamond"/>
        </w:rPr>
        <w:t xml:space="preserve">Access to COVID-19 Tools </w:t>
      </w:r>
      <w:r w:rsidR="000A22E4">
        <w:rPr>
          <w:rFonts w:ascii="Garamond" w:hAnsi="Garamond"/>
        </w:rPr>
        <w:t xml:space="preserve">(ACT) </w:t>
      </w:r>
      <w:r w:rsidR="00921713" w:rsidRPr="005308CA">
        <w:rPr>
          <w:rFonts w:ascii="Garamond" w:hAnsi="Garamond"/>
        </w:rPr>
        <w:t>Accelerator, a global collaboration to accelerate the development, production and equitable access to new diagnostics, therapeutics and vaccines.</w:t>
      </w:r>
      <w:r w:rsidR="00944104" w:rsidRPr="004C5C6C">
        <w:rPr>
          <w:rFonts w:ascii="Garamond" w:hAnsi="Garamond"/>
        </w:rPr>
        <w:fldChar w:fldCharType="begin"/>
      </w:r>
      <w:r w:rsidR="00234F52">
        <w:rPr>
          <w:rFonts w:ascii="Garamond" w:hAnsi="Garamond"/>
        </w:rPr>
        <w:instrText xml:space="preserve"> ADDIN ZOTERO_ITEM CSL_CITATION {"citationID":"rnRSHZdQ","properties":{"formattedCitation":"\\super 22\\nosupersub{}","plainCitation":"22","noteIndex":0},"citationItems":[{"id":925,"uris":["http://zotero.org/users/local/LpXke84i/items/WDNVV6XJ"],"uri":["http://zotero.org/users/local/LpXke84i/items/WDNVV6XJ"],"itemData":{"id":925,"type":"report","title":"Access to COVID-19 Tools (act) Accelerator","URL":"https://www.who.int/who-documents-detail/access-to-covid-19-tools-(act)-accelerator","author":[{"literal":"World Health Organization"}],"accessed":{"date-parts":[["2020",5,3]]},"issued":{"date-parts":[["2020",4,24]]}}}],"schema":"https://github.com/citation-style-language/schema/raw/master/csl-citation.json"} </w:instrText>
      </w:r>
      <w:r w:rsidR="00944104" w:rsidRPr="004C5C6C">
        <w:rPr>
          <w:rFonts w:ascii="Garamond" w:hAnsi="Garamond"/>
        </w:rPr>
        <w:fldChar w:fldCharType="separate"/>
      </w:r>
      <w:r w:rsidR="00234F52" w:rsidRPr="00234F52">
        <w:rPr>
          <w:rFonts w:ascii="Garamond" w:hAnsi="Garamond"/>
          <w:vertAlign w:val="superscript"/>
        </w:rPr>
        <w:t>22</w:t>
      </w:r>
      <w:r w:rsidR="00944104" w:rsidRPr="004C5C6C">
        <w:rPr>
          <w:rFonts w:ascii="Garamond" w:hAnsi="Garamond"/>
        </w:rPr>
        <w:fldChar w:fldCharType="end"/>
      </w:r>
    </w:p>
    <w:p w14:paraId="0130E9A2" w14:textId="4933D251" w:rsidR="00E57B25" w:rsidRDefault="00CE0952" w:rsidP="00F641D7">
      <w:pPr>
        <w:ind w:firstLine="720"/>
        <w:rPr>
          <w:rFonts w:ascii="Garamond" w:hAnsi="Garamond"/>
        </w:rPr>
      </w:pPr>
      <w:r>
        <w:rPr>
          <w:rFonts w:ascii="Garamond" w:hAnsi="Garamond"/>
        </w:rPr>
        <w:t>T</w:t>
      </w:r>
      <w:r w:rsidR="00D4399D" w:rsidRPr="004C5C6C">
        <w:rPr>
          <w:rFonts w:ascii="Garamond" w:hAnsi="Garamond"/>
        </w:rPr>
        <w:t xml:space="preserve">hese </w:t>
      </w:r>
      <w:r w:rsidR="00F1354B" w:rsidRPr="004C5C6C">
        <w:rPr>
          <w:rFonts w:ascii="Garamond" w:hAnsi="Garamond"/>
        </w:rPr>
        <w:t xml:space="preserve">efforts </w:t>
      </w:r>
      <w:r w:rsidR="00617E8A">
        <w:rPr>
          <w:rFonts w:ascii="Garamond" w:hAnsi="Garamond"/>
        </w:rPr>
        <w:t>have already paid</w:t>
      </w:r>
      <w:r w:rsidR="00F1354B" w:rsidRPr="004C5C6C">
        <w:rPr>
          <w:rFonts w:ascii="Garamond" w:hAnsi="Garamond"/>
        </w:rPr>
        <w:t xml:space="preserve"> off. Several large </w:t>
      </w:r>
      <w:r w:rsidR="00717B55" w:rsidRPr="0076365B">
        <w:rPr>
          <w:rFonts w:ascii="Garamond" w:hAnsi="Garamond"/>
        </w:rPr>
        <w:t>RCTs</w:t>
      </w:r>
      <w:r w:rsidR="00F1354B" w:rsidRPr="0076365B">
        <w:rPr>
          <w:rFonts w:ascii="Garamond" w:hAnsi="Garamond"/>
        </w:rPr>
        <w:t xml:space="preserve"> have been launched in record speed</w:t>
      </w:r>
      <w:r w:rsidR="00F1354B" w:rsidRPr="00435491">
        <w:rPr>
          <w:rFonts w:ascii="Garamond" w:hAnsi="Garamond"/>
        </w:rPr>
        <w:t>.</w:t>
      </w:r>
      <w:r w:rsidR="00F1354B" w:rsidRPr="005308CA">
        <w:rPr>
          <w:rFonts w:ascii="Garamond" w:hAnsi="Garamond"/>
        </w:rPr>
        <w:t xml:space="preserve"> Many of these compare multiple treatment alternatives simultaneously. T</w:t>
      </w:r>
      <w:r w:rsidR="00B46EAE" w:rsidRPr="005308CA">
        <w:rPr>
          <w:rFonts w:ascii="Garamond" w:hAnsi="Garamond"/>
        </w:rPr>
        <w:t>hree</w:t>
      </w:r>
      <w:r w:rsidR="00F1354B" w:rsidRPr="005308CA">
        <w:rPr>
          <w:rFonts w:ascii="Garamond" w:hAnsi="Garamond"/>
        </w:rPr>
        <w:t xml:space="preserve"> of the largest ‘mega’ trials – the SOLIDARITY trial led by WHO</w:t>
      </w:r>
      <w:r w:rsidR="00B46EAE" w:rsidRPr="005308CA">
        <w:rPr>
          <w:rFonts w:ascii="Garamond" w:hAnsi="Garamond"/>
        </w:rPr>
        <w:t xml:space="preserve">, DISCOVERY initiated by </w:t>
      </w:r>
      <w:proofErr w:type="spellStart"/>
      <w:r w:rsidR="00B46EAE" w:rsidRPr="005308CA">
        <w:rPr>
          <w:rFonts w:ascii="Garamond" w:hAnsi="Garamond"/>
        </w:rPr>
        <w:t>Inserm</w:t>
      </w:r>
      <w:proofErr w:type="spellEnd"/>
      <w:r w:rsidR="00B46EAE" w:rsidRPr="005308CA">
        <w:rPr>
          <w:rFonts w:ascii="Garamond" w:hAnsi="Garamond"/>
        </w:rPr>
        <w:t xml:space="preserve"> in France</w:t>
      </w:r>
      <w:r w:rsidR="00F1354B" w:rsidRPr="005308CA">
        <w:rPr>
          <w:rFonts w:ascii="Garamond" w:hAnsi="Garamond"/>
        </w:rPr>
        <w:t xml:space="preserve"> and RECOVERY trial in the UK – have comparable protocols</w:t>
      </w:r>
      <w:r w:rsidR="00E16D42" w:rsidRPr="005308CA">
        <w:rPr>
          <w:rFonts w:ascii="Garamond" w:hAnsi="Garamond"/>
        </w:rPr>
        <w:t xml:space="preserve"> (</w:t>
      </w:r>
      <w:r w:rsidR="00F1354B" w:rsidRPr="005308CA">
        <w:rPr>
          <w:rFonts w:ascii="Garamond" w:hAnsi="Garamond"/>
        </w:rPr>
        <w:t>including their simple, pragmatic, and adaptive designs</w:t>
      </w:r>
      <w:r w:rsidR="00E16D42" w:rsidRPr="005308CA">
        <w:rPr>
          <w:rFonts w:ascii="Garamond" w:hAnsi="Garamond"/>
        </w:rPr>
        <w:t xml:space="preserve">) and </w:t>
      </w:r>
      <w:r w:rsidR="00F1354B" w:rsidRPr="005308CA">
        <w:rPr>
          <w:rFonts w:ascii="Garamond" w:hAnsi="Garamond"/>
        </w:rPr>
        <w:t xml:space="preserve">collect data on similar endpoints </w:t>
      </w:r>
      <w:r w:rsidR="00E16D42" w:rsidRPr="005308CA">
        <w:rPr>
          <w:rFonts w:ascii="Garamond" w:hAnsi="Garamond"/>
        </w:rPr>
        <w:t>(</w:t>
      </w:r>
      <w:r w:rsidR="00F1354B" w:rsidRPr="005308CA">
        <w:rPr>
          <w:rFonts w:ascii="Garamond" w:hAnsi="Garamond"/>
        </w:rPr>
        <w:t>including death</w:t>
      </w:r>
      <w:r w:rsidR="00717B55" w:rsidRPr="005308CA">
        <w:rPr>
          <w:rFonts w:ascii="Garamond" w:hAnsi="Garamond"/>
        </w:rPr>
        <w:t xml:space="preserve"> and </w:t>
      </w:r>
      <w:r w:rsidR="00F1354B" w:rsidRPr="005308CA">
        <w:rPr>
          <w:rFonts w:ascii="Garamond" w:hAnsi="Garamond"/>
        </w:rPr>
        <w:t>need for ventilation</w:t>
      </w:r>
      <w:r w:rsidR="00E16D42" w:rsidRPr="005308CA">
        <w:rPr>
          <w:rFonts w:ascii="Garamond" w:hAnsi="Garamond"/>
        </w:rPr>
        <w:t>)</w:t>
      </w:r>
      <w:r w:rsidR="00F1354B" w:rsidRPr="005308CA">
        <w:rPr>
          <w:rFonts w:ascii="Garamond" w:hAnsi="Garamond"/>
        </w:rPr>
        <w:t xml:space="preserve">. </w:t>
      </w:r>
      <w:r w:rsidR="00471BA5">
        <w:rPr>
          <w:rFonts w:ascii="Garamond" w:hAnsi="Garamond"/>
        </w:rPr>
        <w:t>UK’s RECOVERY trial has recruit</w:t>
      </w:r>
      <w:r>
        <w:rPr>
          <w:rFonts w:ascii="Garamond" w:hAnsi="Garamond"/>
        </w:rPr>
        <w:t>ed</w:t>
      </w:r>
      <w:r w:rsidR="00471BA5">
        <w:rPr>
          <w:rFonts w:ascii="Garamond" w:hAnsi="Garamond"/>
        </w:rPr>
        <w:t xml:space="preserve"> over 12,000 patients, </w:t>
      </w:r>
      <w:r w:rsidR="00EF27E7">
        <w:rPr>
          <w:rFonts w:ascii="Garamond" w:hAnsi="Garamond"/>
        </w:rPr>
        <w:t>accounting for 15%</w:t>
      </w:r>
      <w:r w:rsidR="00471BA5">
        <w:rPr>
          <w:rFonts w:ascii="Garamond" w:hAnsi="Garamond"/>
        </w:rPr>
        <w:t xml:space="preserve"> of those hospitalised with COVID-19</w:t>
      </w:r>
      <w:r w:rsidR="00EF27E7">
        <w:rPr>
          <w:rFonts w:ascii="Garamond" w:hAnsi="Garamond"/>
        </w:rPr>
        <w:t xml:space="preserve"> across the National Health Service</w:t>
      </w:r>
      <w:r w:rsidR="00471BA5">
        <w:rPr>
          <w:rFonts w:ascii="Garamond" w:hAnsi="Garamond"/>
        </w:rPr>
        <w:t>.</w:t>
      </w:r>
      <w:r w:rsidR="00230B26">
        <w:rPr>
          <w:rFonts w:ascii="Garamond" w:hAnsi="Garamond"/>
        </w:rPr>
        <w:fldChar w:fldCharType="begin"/>
      </w:r>
      <w:r w:rsidR="00234F52">
        <w:rPr>
          <w:rFonts w:ascii="Garamond" w:hAnsi="Garamond"/>
        </w:rPr>
        <w:instrText xml:space="preserve"> ADDIN ZOTERO_ITEM CSL_CITATION {"citationID":"Q11TJfj7","properties":{"formattedCitation":"\\super 23\\nosupersub{}","plainCitation":"23","noteIndex":0},"citationItems":[{"id":977,"uris":["http://zotero.org/users/local/LpXke84i/items/ANB49559"],"uri":["http://zotero.org/users/local/LpXke84i/items/ANB49559"],"itemData":{"id":977,"type":"article-journal","container-title":"BMJ","DOI":"10.1136/bmj.m2670","note":"publisher: BMJ Publishing Group Ltd\n_eprint: https://www.bmj.com/content/370/bmj.m2670.full.pdf","title":"Covid-19: The inside story of the RECOVERY trial","URL":"https://www.bmj.com/content/370/bmj.m2670","volume":"370","author":[{"family":"Wise","given":"Jacqui"},{"family":"Coombes","given":"Rebecca"}],"issued":{"date-parts":[["2020"]]}}}],"schema":"https://github.com/citation-style-language/schema/raw/master/csl-citation.json"} </w:instrText>
      </w:r>
      <w:r w:rsidR="00230B26">
        <w:rPr>
          <w:rFonts w:ascii="Garamond" w:hAnsi="Garamond"/>
        </w:rPr>
        <w:fldChar w:fldCharType="separate"/>
      </w:r>
      <w:r w:rsidR="00234F52" w:rsidRPr="00234F52">
        <w:rPr>
          <w:rFonts w:ascii="Garamond" w:hAnsi="Garamond"/>
          <w:vertAlign w:val="superscript"/>
        </w:rPr>
        <w:t>23</w:t>
      </w:r>
      <w:r w:rsidR="00230B26">
        <w:rPr>
          <w:rFonts w:ascii="Garamond" w:hAnsi="Garamond"/>
        </w:rPr>
        <w:fldChar w:fldCharType="end"/>
      </w:r>
      <w:r w:rsidR="00471BA5">
        <w:rPr>
          <w:rFonts w:ascii="Garamond" w:hAnsi="Garamond"/>
        </w:rPr>
        <w:t xml:space="preserve"> </w:t>
      </w:r>
      <w:r w:rsidR="00471BA5" w:rsidRPr="004F5E95">
        <w:rPr>
          <w:rFonts w:ascii="Garamond" w:hAnsi="Garamond"/>
        </w:rPr>
        <w:t>Some of the m</w:t>
      </w:r>
      <w:r w:rsidR="00471BA5" w:rsidRPr="004C5C6C">
        <w:rPr>
          <w:rFonts w:ascii="Garamond" w:hAnsi="Garamond"/>
        </w:rPr>
        <w:t xml:space="preserve">ost </w:t>
      </w:r>
      <w:r w:rsidR="00B86646">
        <w:rPr>
          <w:rFonts w:ascii="Garamond" w:hAnsi="Garamond"/>
        </w:rPr>
        <w:t>important</w:t>
      </w:r>
      <w:r w:rsidR="00471BA5">
        <w:rPr>
          <w:rFonts w:ascii="Garamond" w:hAnsi="Garamond"/>
        </w:rPr>
        <w:t xml:space="preserve"> insights about </w:t>
      </w:r>
      <w:r w:rsidR="00EF27E7">
        <w:rPr>
          <w:rFonts w:ascii="Garamond" w:hAnsi="Garamond"/>
        </w:rPr>
        <w:t>candidate therapeutics</w:t>
      </w:r>
      <w:r w:rsidR="00471BA5">
        <w:rPr>
          <w:rFonts w:ascii="Garamond" w:hAnsi="Garamond"/>
        </w:rPr>
        <w:t xml:space="preserve"> have emerged from RECOVERY</w:t>
      </w:r>
      <w:r w:rsidR="00EF27E7">
        <w:rPr>
          <w:rFonts w:ascii="Garamond" w:hAnsi="Garamond"/>
        </w:rPr>
        <w:t xml:space="preserve">, including the </w:t>
      </w:r>
      <w:r w:rsidR="00B86646">
        <w:rPr>
          <w:rFonts w:ascii="Garamond" w:hAnsi="Garamond"/>
        </w:rPr>
        <w:t>meaningful</w:t>
      </w:r>
      <w:r w:rsidR="00EF27E7">
        <w:rPr>
          <w:rFonts w:ascii="Garamond" w:hAnsi="Garamond"/>
        </w:rPr>
        <w:t xml:space="preserve"> survival benefit associated with </w:t>
      </w:r>
      <w:r w:rsidR="00C60857">
        <w:rPr>
          <w:rFonts w:ascii="Garamond" w:hAnsi="Garamond"/>
        </w:rPr>
        <w:t xml:space="preserve">using </w:t>
      </w:r>
      <w:r w:rsidR="00EF27E7">
        <w:rPr>
          <w:rFonts w:ascii="Garamond" w:hAnsi="Garamond"/>
        </w:rPr>
        <w:t>dexamethasone</w:t>
      </w:r>
      <w:r w:rsidR="00C60857">
        <w:rPr>
          <w:rFonts w:ascii="Garamond" w:hAnsi="Garamond"/>
        </w:rPr>
        <w:t xml:space="preserve"> </w:t>
      </w:r>
      <w:r w:rsidR="007A4100">
        <w:rPr>
          <w:rFonts w:ascii="Garamond" w:hAnsi="Garamond"/>
        </w:rPr>
        <w:t>among severely ill</w:t>
      </w:r>
      <w:r w:rsidR="00C60857">
        <w:rPr>
          <w:rFonts w:ascii="Garamond" w:hAnsi="Garamond"/>
        </w:rPr>
        <w:t xml:space="preserve"> patients</w:t>
      </w:r>
      <w:r w:rsidR="00EF27E7">
        <w:rPr>
          <w:rFonts w:ascii="Garamond" w:hAnsi="Garamond"/>
        </w:rPr>
        <w:t>.</w:t>
      </w:r>
      <w:r w:rsidR="00B43F66">
        <w:rPr>
          <w:rFonts w:ascii="Garamond" w:hAnsi="Garamond"/>
        </w:rPr>
        <w:fldChar w:fldCharType="begin"/>
      </w:r>
      <w:r w:rsidR="00234F52">
        <w:rPr>
          <w:rFonts w:ascii="Garamond" w:hAnsi="Garamond"/>
        </w:rPr>
        <w:instrText xml:space="preserve"> ADDIN ZOTERO_ITEM CSL_CITATION {"citationID":"yJAmmO9S","properties":{"formattedCitation":"\\super 24\\nosupersub{}","plainCitation":"24","noteIndex":0},"citationItems":[{"id":978,"uris":["http://zotero.org/users/local/LpXke84i/items/42D3CCV2"],"uri":["http://zotero.org/users/local/LpXke84i/items/42D3CCV2"],"itemData":{"id":978,"type":"article-journal","container-title":"New England Journal of Medicine","DOI":"10.1056/NEJMoa2021436","ISSN":"0028-4793","journalAbbreviation":"N Engl J Med","note":"publisher: Massachusetts Medical Society","title":"Dexamethasone in Hospitalized Patients with Covid-19 — Preliminary Report","URL":"https://doi.org/10.1056/NEJMoa2021436","accessed":{"date-parts":[["2020",7,20]]},"issued":{"date-parts":[["2020",7,17]]}}}],"schema":"https://github.com/citation-style-language/schema/raw/master/csl-citation.json"} </w:instrText>
      </w:r>
      <w:r w:rsidR="00B43F66">
        <w:rPr>
          <w:rFonts w:ascii="Garamond" w:hAnsi="Garamond"/>
        </w:rPr>
        <w:fldChar w:fldCharType="separate"/>
      </w:r>
      <w:r w:rsidR="00234F52" w:rsidRPr="00234F52">
        <w:rPr>
          <w:rFonts w:ascii="Garamond" w:hAnsi="Garamond"/>
          <w:vertAlign w:val="superscript"/>
        </w:rPr>
        <w:t>24</w:t>
      </w:r>
      <w:r w:rsidR="00B43F66">
        <w:rPr>
          <w:rFonts w:ascii="Garamond" w:hAnsi="Garamond"/>
        </w:rPr>
        <w:fldChar w:fldCharType="end"/>
      </w:r>
      <w:r w:rsidR="00471BA5">
        <w:rPr>
          <w:rFonts w:ascii="Garamond" w:hAnsi="Garamond"/>
        </w:rPr>
        <w:t xml:space="preserve"> </w:t>
      </w:r>
      <w:r w:rsidR="000A22E4">
        <w:rPr>
          <w:rFonts w:ascii="Garamond" w:hAnsi="Garamond"/>
        </w:rPr>
        <w:t xml:space="preserve">The SOLIDARITY trial, </w:t>
      </w:r>
      <w:r w:rsidR="00675E5C">
        <w:rPr>
          <w:rFonts w:ascii="Garamond" w:hAnsi="Garamond"/>
        </w:rPr>
        <w:t xml:space="preserve">of </w:t>
      </w:r>
      <w:r w:rsidR="000A22E4">
        <w:rPr>
          <w:rFonts w:ascii="Garamond" w:hAnsi="Garamond"/>
        </w:rPr>
        <w:t>which DISCOVERY is a</w:t>
      </w:r>
      <w:r w:rsidR="00675E5C">
        <w:rPr>
          <w:rFonts w:ascii="Garamond" w:hAnsi="Garamond"/>
        </w:rPr>
        <w:t>n add-on daughter trial</w:t>
      </w:r>
      <w:r w:rsidR="000A22E4">
        <w:rPr>
          <w:rFonts w:ascii="Garamond" w:hAnsi="Garamond"/>
        </w:rPr>
        <w:t>, has included more than 7</w:t>
      </w:r>
      <w:r w:rsidR="00673F46">
        <w:rPr>
          <w:rFonts w:ascii="Garamond" w:hAnsi="Garamond"/>
        </w:rPr>
        <w:t>,</w:t>
      </w:r>
      <w:r w:rsidR="000A22E4">
        <w:rPr>
          <w:rFonts w:ascii="Garamond" w:hAnsi="Garamond"/>
        </w:rPr>
        <w:t>000 patients across more than 20 countries from different regions</w:t>
      </w:r>
      <w:r w:rsidR="00675E5C">
        <w:rPr>
          <w:rFonts w:ascii="Garamond" w:hAnsi="Garamond"/>
        </w:rPr>
        <w:t xml:space="preserve"> of the world</w:t>
      </w:r>
      <w:r w:rsidR="000A22E4">
        <w:rPr>
          <w:rFonts w:ascii="Garamond" w:hAnsi="Garamond"/>
        </w:rPr>
        <w:t xml:space="preserve"> and is the largest trial that can</w:t>
      </w:r>
      <w:r w:rsidR="00675E5C">
        <w:rPr>
          <w:rFonts w:ascii="Garamond" w:hAnsi="Garamond"/>
        </w:rPr>
        <w:t xml:space="preserve"> now</w:t>
      </w:r>
      <w:r w:rsidR="000A22E4">
        <w:rPr>
          <w:rFonts w:ascii="Garamond" w:hAnsi="Garamond"/>
        </w:rPr>
        <w:t xml:space="preserve"> follow the pandemic where it is </w:t>
      </w:r>
      <w:r w:rsidR="00675E5C">
        <w:rPr>
          <w:rFonts w:ascii="Garamond" w:hAnsi="Garamond"/>
        </w:rPr>
        <w:t xml:space="preserve">globally </w:t>
      </w:r>
      <w:r w:rsidR="000A22E4">
        <w:rPr>
          <w:rFonts w:ascii="Garamond" w:hAnsi="Garamond"/>
        </w:rPr>
        <w:t xml:space="preserve">most active. </w:t>
      </w:r>
    </w:p>
    <w:p w14:paraId="043F79B7" w14:textId="610C511A" w:rsidR="00CE0952" w:rsidRPr="004C5C6C" w:rsidRDefault="008F4A1B" w:rsidP="004F5E95">
      <w:pPr>
        <w:rPr>
          <w:rFonts w:ascii="Garamond" w:hAnsi="Garamond"/>
        </w:rPr>
      </w:pPr>
      <w:r>
        <w:rPr>
          <w:rFonts w:ascii="Garamond" w:hAnsi="Garamond"/>
        </w:rPr>
        <w:tab/>
        <w:t xml:space="preserve">However, </w:t>
      </w:r>
      <w:r w:rsidRPr="00BA04B1">
        <w:rPr>
          <w:rFonts w:ascii="Garamond" w:hAnsi="Garamond"/>
        </w:rPr>
        <w:t xml:space="preserve">efforts </w:t>
      </w:r>
      <w:r>
        <w:rPr>
          <w:rFonts w:ascii="Garamond" w:hAnsi="Garamond"/>
        </w:rPr>
        <w:t>to date</w:t>
      </w:r>
      <w:r w:rsidRPr="00BA04B1">
        <w:rPr>
          <w:rFonts w:ascii="Garamond" w:hAnsi="Garamond"/>
        </w:rPr>
        <w:t xml:space="preserve"> </w:t>
      </w:r>
      <w:r>
        <w:rPr>
          <w:rFonts w:ascii="Garamond" w:hAnsi="Garamond"/>
        </w:rPr>
        <w:t xml:space="preserve">have not managed to avoid </w:t>
      </w:r>
      <w:r w:rsidRPr="007F62C1">
        <w:rPr>
          <w:rFonts w:ascii="Garamond" w:hAnsi="Garamond"/>
        </w:rPr>
        <w:t>research wast</w:t>
      </w:r>
      <w:r>
        <w:rPr>
          <w:rFonts w:ascii="Garamond" w:hAnsi="Garamond"/>
        </w:rPr>
        <w:t xml:space="preserve">e and ensure that all relevant studies contribute </w:t>
      </w:r>
      <w:r w:rsidRPr="007F62C1">
        <w:rPr>
          <w:rFonts w:ascii="Garamond" w:hAnsi="Garamond"/>
        </w:rPr>
        <w:t>to the formulation of guidance and decisions in practice and policy.</w:t>
      </w:r>
      <w:r w:rsidRPr="007F62C1">
        <w:rPr>
          <w:rFonts w:ascii="Garamond" w:hAnsi="Garamond"/>
        </w:rPr>
        <w:fldChar w:fldCharType="begin"/>
      </w:r>
      <w:r>
        <w:rPr>
          <w:rFonts w:ascii="Garamond" w:hAnsi="Garamond"/>
        </w:rPr>
        <w:instrText xml:space="preserve"> ADDIN ZOTERO_ITEM CSL_CITATION {"citationID":"yfX3e5DZ","properties":{"formattedCitation":"\\super 25\\nosupersub{}","plainCitation":"25","noteIndex":0},"citationItems":[{"id":531,"uris":["http://zotero.org/users/local/LpXke84i/items/BNRDBSMQ"],"uri":["http://zotero.org/users/local/LpXke84i/items/BNRDBSMQ"],"itemData":{"id":531,"type":"article-journal","container-title":"The Lancet","DOI":"10.1016/S0140-6736(13)62227-8","ISSN":"0140-6736","issue":"9912","page":"166-175","title":"Increasing value and reducing waste in research design, conduct, and analysis","volume":"383","author":[{"family":"Ioannidis","given":"John P A"},{"family":"Greenland","given":"Sander"},{"family":"Hlatky","given":"Mark A"},{"family":"Khoury","given":"Muin J"},{"family":"Macleod","given":"Malcolm R"},{"family":"Moher","given":"David"},{"family":"Schulz","given":"Kenneth F"},{"family":"Tibshirani","given":"Robert"}],"issued":{"date-parts":[["2014",1,11]]}}}],"schema":"https://github.com/citation-style-language/schema/raw/master/csl-citation.json"} </w:instrText>
      </w:r>
      <w:r w:rsidRPr="007F62C1">
        <w:rPr>
          <w:rFonts w:ascii="Garamond" w:hAnsi="Garamond"/>
        </w:rPr>
        <w:fldChar w:fldCharType="separate"/>
      </w:r>
      <w:r w:rsidRPr="008F4A1B">
        <w:rPr>
          <w:rFonts w:ascii="Garamond" w:hAnsi="Garamond"/>
          <w:vertAlign w:val="superscript"/>
        </w:rPr>
        <w:t>25</w:t>
      </w:r>
      <w:r w:rsidRPr="007F62C1">
        <w:rPr>
          <w:rFonts w:ascii="Garamond" w:hAnsi="Garamond"/>
        </w:rPr>
        <w:fldChar w:fldCharType="end"/>
      </w:r>
      <w:r>
        <w:rPr>
          <w:rFonts w:ascii="Garamond" w:hAnsi="Garamond"/>
        </w:rPr>
        <w:t xml:space="preserve"> </w:t>
      </w:r>
      <w:r>
        <w:rPr>
          <w:rFonts w:ascii="Garamond" w:hAnsi="Garamond"/>
        </w:rPr>
        <w:lastRenderedPageBreak/>
        <w:t>Most</w:t>
      </w:r>
      <w:r w:rsidR="002F1DAB">
        <w:rPr>
          <w:rFonts w:ascii="Garamond" w:hAnsi="Garamond"/>
        </w:rPr>
        <w:t xml:space="preserve"> studies </w:t>
      </w:r>
      <w:r w:rsidR="00C60857" w:rsidRPr="007F62C1">
        <w:rPr>
          <w:rFonts w:ascii="Garamond" w:hAnsi="Garamond"/>
        </w:rPr>
        <w:t>on COVID-19 treatments</w:t>
      </w:r>
      <w:r w:rsidR="002F1DAB">
        <w:rPr>
          <w:rFonts w:ascii="Garamond" w:hAnsi="Garamond"/>
        </w:rPr>
        <w:t xml:space="preserve"> </w:t>
      </w:r>
      <w:r w:rsidR="00E92CA9">
        <w:rPr>
          <w:rFonts w:ascii="Garamond" w:hAnsi="Garamond"/>
        </w:rPr>
        <w:t xml:space="preserve">suffer from </w:t>
      </w:r>
      <w:r w:rsidR="001C3A51">
        <w:rPr>
          <w:rFonts w:ascii="Garamond" w:hAnsi="Garamond"/>
        </w:rPr>
        <w:t xml:space="preserve">methodological </w:t>
      </w:r>
      <w:r w:rsidR="00E92CA9">
        <w:rPr>
          <w:rFonts w:ascii="Garamond" w:hAnsi="Garamond"/>
        </w:rPr>
        <w:t>limitations</w:t>
      </w:r>
      <w:r w:rsidR="001C3A51">
        <w:rPr>
          <w:rFonts w:ascii="Garamond" w:hAnsi="Garamond"/>
        </w:rPr>
        <w:t xml:space="preserve"> (e.g. small studies, </w:t>
      </w:r>
      <w:r w:rsidR="001C3A51" w:rsidRPr="007F62C1">
        <w:rPr>
          <w:rFonts w:ascii="Garamond" w:hAnsi="Garamond"/>
        </w:rPr>
        <w:t>diverse designs and outcomes</w:t>
      </w:r>
      <w:r w:rsidR="001C3A51">
        <w:rPr>
          <w:rFonts w:ascii="Garamond" w:hAnsi="Garamond"/>
        </w:rPr>
        <w:t>).</w:t>
      </w:r>
      <w:r w:rsidR="004C6267">
        <w:rPr>
          <w:rFonts w:ascii="Garamond" w:hAnsi="Garamond"/>
        </w:rPr>
        <w:fldChar w:fldCharType="begin"/>
      </w:r>
      <w:r>
        <w:rPr>
          <w:rFonts w:ascii="Garamond" w:hAnsi="Garamond"/>
        </w:rPr>
        <w:instrText xml:space="preserve"> ADDIN ZOTERO_ITEM CSL_CITATION {"citationID":"WZ8Y1TVg","properties":{"formattedCitation":"\\super 26\\nosupersub{}","plainCitation":"26","noteIndex":0},"citationItems":[{"id":985,"uris":["http://zotero.org/users/local/LpXke84i/items/DXK2CFXZ"],"uri":["http://zotero.org/users/local/LpXke84i/items/DXK2CFXZ"],"itemData":{"id":985,"type":"article-journal","abstract":"The coronavirus disease 2019 (COVID-19) pandemic has led to a massive activation of clinical research. The methodological strength of these studies is not well characterized but has implications for the quality of evidence produced. We evaluated the characteristics and expected strength of evidence of COVID-19 studies registered on ClinicalTrials.gov.","container-title":"JAMA Internal Medicine","DOI":"10.1001/jamainternmed.2020.2904","ISSN":"2168-6106","journalAbbreviation":"JAMA Internal Medicine","title":"Characteristics and Strength of Evidence of COVID-19 Studies Registered on ClinicalTrials.gov","URL":"https://doi.org/10.1001/jamainternmed.2020.2904","author":[{"family":"Pundi","given":"Krishna"},{"family":"Perino","given":"Alexander C."},{"family":"Harrington","given":"Robert A."},{"family":"Krumholz","given":"Harlan M."},{"family":"Turakhia","given":"Mintu P."}],"accessed":{"date-parts":[["2020",4,8]]},"issued":{"date-parts":[["2020",7,27]]}}}],"schema":"https://github.com/citation-style-language/schema/raw/master/csl-citation.json"} </w:instrText>
      </w:r>
      <w:r w:rsidR="004C6267">
        <w:rPr>
          <w:rFonts w:ascii="Garamond" w:hAnsi="Garamond"/>
        </w:rPr>
        <w:fldChar w:fldCharType="separate"/>
      </w:r>
      <w:r w:rsidRPr="008F4A1B">
        <w:rPr>
          <w:rFonts w:ascii="Garamond" w:hAnsi="Garamond"/>
          <w:vertAlign w:val="superscript"/>
        </w:rPr>
        <w:t>26</w:t>
      </w:r>
      <w:r w:rsidR="004C6267">
        <w:rPr>
          <w:rFonts w:ascii="Garamond" w:hAnsi="Garamond"/>
        </w:rPr>
        <w:fldChar w:fldCharType="end"/>
      </w:r>
      <w:r w:rsidR="001C3A51">
        <w:rPr>
          <w:rFonts w:ascii="Garamond" w:hAnsi="Garamond"/>
        </w:rPr>
        <w:t xml:space="preserve"> </w:t>
      </w:r>
      <w:r w:rsidR="00870CAC">
        <w:rPr>
          <w:rFonts w:ascii="Garamond" w:hAnsi="Garamond"/>
        </w:rPr>
        <w:t xml:space="preserve">Therefore, a sizeable portion of studies </w:t>
      </w:r>
      <w:r w:rsidR="001675E1">
        <w:rPr>
          <w:rFonts w:ascii="Garamond" w:hAnsi="Garamond"/>
        </w:rPr>
        <w:t xml:space="preserve">collectively </w:t>
      </w:r>
      <w:r w:rsidR="00870CAC">
        <w:rPr>
          <w:rFonts w:ascii="Garamond" w:hAnsi="Garamond"/>
        </w:rPr>
        <w:t xml:space="preserve">including </w:t>
      </w:r>
      <w:r w:rsidR="00870CAC" w:rsidRPr="007F62C1">
        <w:rPr>
          <w:rFonts w:ascii="Garamond" w:hAnsi="Garamond"/>
        </w:rPr>
        <w:t>thousands of patients may have little prospect to add to the growing evidence base on efficacy</w:t>
      </w:r>
      <w:r w:rsidR="001C3A51">
        <w:rPr>
          <w:rFonts w:ascii="Garamond" w:hAnsi="Garamond"/>
        </w:rPr>
        <w:t>.</w:t>
      </w:r>
    </w:p>
    <w:p w14:paraId="041E85B2" w14:textId="77777777" w:rsidR="006B0C30" w:rsidRPr="0076365B" w:rsidRDefault="006B0C30" w:rsidP="00CE0952">
      <w:pPr>
        <w:rPr>
          <w:rFonts w:ascii="Garamond" w:hAnsi="Garamond"/>
          <w:b/>
          <w:bCs/>
        </w:rPr>
      </w:pPr>
    </w:p>
    <w:p w14:paraId="75A9113F" w14:textId="4BEEE8B6" w:rsidR="00070612" w:rsidRDefault="00861D87" w:rsidP="004F5E95">
      <w:pPr>
        <w:rPr>
          <w:rFonts w:ascii="Garamond" w:hAnsi="Garamond"/>
          <w:highlight w:val="yellow"/>
        </w:rPr>
      </w:pPr>
      <w:r>
        <w:rPr>
          <w:rFonts w:ascii="Garamond" w:hAnsi="Garamond"/>
          <w:b/>
          <w:bCs/>
        </w:rPr>
        <w:t>Key areas</w:t>
      </w:r>
      <w:r w:rsidR="00070612">
        <w:rPr>
          <w:rFonts w:ascii="Garamond" w:hAnsi="Garamond"/>
          <w:b/>
          <w:bCs/>
        </w:rPr>
        <w:t xml:space="preserve"> for improvement </w:t>
      </w:r>
    </w:p>
    <w:p w14:paraId="325D1AAC" w14:textId="6579F42B" w:rsidR="00617E8A" w:rsidRDefault="000E618D" w:rsidP="00745323">
      <w:pPr>
        <w:ind w:firstLine="720"/>
        <w:rPr>
          <w:rFonts w:ascii="Garamond" w:hAnsi="Garamond"/>
        </w:rPr>
      </w:pPr>
      <w:r>
        <w:rPr>
          <w:rFonts w:ascii="Garamond" w:hAnsi="Garamond"/>
        </w:rPr>
        <w:t>Determining the comparative effectiveness of</w:t>
      </w:r>
      <w:r w:rsidR="00DF4AD0">
        <w:rPr>
          <w:rFonts w:ascii="Garamond" w:hAnsi="Garamond"/>
        </w:rPr>
        <w:t xml:space="preserve"> drugs</w:t>
      </w:r>
      <w:r w:rsidR="00070612" w:rsidRPr="004F5E95">
        <w:rPr>
          <w:rFonts w:ascii="Garamond" w:hAnsi="Garamond"/>
        </w:rPr>
        <w:t xml:space="preserve"> </w:t>
      </w:r>
      <w:r w:rsidR="007A4100">
        <w:rPr>
          <w:rFonts w:ascii="Garamond" w:hAnsi="Garamond"/>
        </w:rPr>
        <w:t>requires</w:t>
      </w:r>
      <w:r w:rsidR="00070612" w:rsidRPr="004F5E95">
        <w:rPr>
          <w:rFonts w:ascii="Garamond" w:hAnsi="Garamond"/>
        </w:rPr>
        <w:t xml:space="preserve"> </w:t>
      </w:r>
      <w:r w:rsidR="00EB047F">
        <w:rPr>
          <w:rFonts w:ascii="Garamond" w:hAnsi="Garamond"/>
        </w:rPr>
        <w:t xml:space="preserve">streamlining </w:t>
      </w:r>
      <w:r w:rsidR="007A4100">
        <w:rPr>
          <w:rFonts w:ascii="Garamond" w:hAnsi="Garamond"/>
        </w:rPr>
        <w:t xml:space="preserve">the </w:t>
      </w:r>
      <w:r w:rsidR="00EB047F">
        <w:rPr>
          <w:rFonts w:ascii="Garamond" w:hAnsi="Garamond"/>
        </w:rPr>
        <w:t>design, analysis, reporting and data sharing practices of clinical studies</w:t>
      </w:r>
      <w:r w:rsidR="00070612" w:rsidRPr="004F5E95">
        <w:rPr>
          <w:rFonts w:ascii="Garamond" w:hAnsi="Garamond"/>
        </w:rPr>
        <w:t>.</w:t>
      </w:r>
      <w:r w:rsidR="00EB4F10" w:rsidRPr="004F5E95">
        <w:rPr>
          <w:rFonts w:ascii="Garamond" w:hAnsi="Garamond"/>
        </w:rPr>
        <w:t xml:space="preserve"> </w:t>
      </w:r>
      <w:r w:rsidR="00617E8A" w:rsidRPr="00EB4F10">
        <w:rPr>
          <w:rFonts w:ascii="Garamond" w:hAnsi="Garamond"/>
        </w:rPr>
        <w:t xml:space="preserve">These </w:t>
      </w:r>
      <w:r w:rsidR="00EB4F10" w:rsidRPr="004F5E95">
        <w:rPr>
          <w:rFonts w:ascii="Garamond" w:hAnsi="Garamond"/>
        </w:rPr>
        <w:t xml:space="preserve">objectives </w:t>
      </w:r>
      <w:r w:rsidR="00617E8A" w:rsidRPr="00EB4F10">
        <w:rPr>
          <w:rFonts w:ascii="Garamond" w:hAnsi="Garamond"/>
        </w:rPr>
        <w:t>are not new</w:t>
      </w:r>
      <w:r w:rsidR="001C3A51">
        <w:rPr>
          <w:rFonts w:ascii="Garamond" w:hAnsi="Garamond"/>
        </w:rPr>
        <w:t xml:space="preserve"> b</w:t>
      </w:r>
      <w:r w:rsidR="001C3A51" w:rsidRPr="005456EA">
        <w:rPr>
          <w:rFonts w:ascii="Garamond" w:hAnsi="Garamond"/>
        </w:rPr>
        <w:t xml:space="preserve">ut </w:t>
      </w:r>
      <w:r w:rsidR="001C3A51" w:rsidRPr="00EB4F10">
        <w:rPr>
          <w:rFonts w:ascii="Garamond" w:hAnsi="Garamond"/>
        </w:rPr>
        <w:t xml:space="preserve">progress </w:t>
      </w:r>
      <w:r w:rsidR="001C3A51" w:rsidRPr="005456EA">
        <w:rPr>
          <w:rFonts w:ascii="Garamond" w:hAnsi="Garamond"/>
        </w:rPr>
        <w:t xml:space="preserve">towards achieving them </w:t>
      </w:r>
      <w:r w:rsidR="001C3A51" w:rsidRPr="00EB4F10">
        <w:rPr>
          <w:rFonts w:ascii="Garamond" w:hAnsi="Garamond"/>
        </w:rPr>
        <w:t>has been slow</w:t>
      </w:r>
      <w:r w:rsidR="004D78CD">
        <w:rPr>
          <w:rFonts w:ascii="Garamond" w:hAnsi="Garamond"/>
        </w:rPr>
        <w:t>.</w:t>
      </w:r>
      <w:r w:rsidR="00EB4F10" w:rsidRPr="004F5E95">
        <w:rPr>
          <w:rFonts w:ascii="Garamond" w:hAnsi="Garamond"/>
        </w:rPr>
        <w:fldChar w:fldCharType="begin"/>
      </w:r>
      <w:r w:rsidR="008F4A1B">
        <w:rPr>
          <w:rFonts w:ascii="Garamond" w:hAnsi="Garamond"/>
        </w:rPr>
        <w:instrText xml:space="preserve"> ADDIN ZOTERO_ITEM CSL_CITATION {"citationID":"PKuh93Ov","properties":{"formattedCitation":"\\super 25,27,28\\nosupersub{}","plainCitation":"25,27,28","noteIndex":0},"citationItems":[{"id":531,"uris":["http://zotero.org/users/local/LpXke84i/items/BNRDBSMQ"],"uri":["http://zotero.org/users/local/LpXke84i/items/BNRDBSMQ"],"itemData":{"id":531,"type":"article-journal","container-title":"The Lancet","DOI":"10.1016/S0140-6736(13)62227-8","ISSN":"0140-6736","issue":"9912","page":"166-175","title":"Increasing value and reducing waste in research design, conduct, and analysis","volume":"383","author":[{"family":"Ioannidis","given":"John P A"},{"family":"Greenland","given":"Sander"},{"family":"Hlatky","given":"Mark A"},{"family":"Khoury","given":"Muin J"},{"family":"Macleod","given":"Malcolm R"},{"family":"Moher","given":"David"},{"family":"Schulz","given":"Kenneth F"},{"family":"Tibshirani","given":"Robert"}],"issued":{"date-parts":[["2014",1,11]]}}},{"id":497,"uris":["http://zotero.org/users/local/LpXke84i/items/L7GA48DH"],"uri":["http://zotero.org/users/local/LpXke84i/items/L7GA48DH"],"itemData":{"id":497,"type":"article-journal","container-title":"The Lancet","issue":"9683","page":"86-89","title":"Avoidable waste in the production and reporting of research evidence","volume":"374","author":[{"family":"Chalmers","given":"Iain"},{"family":"Glasziou","given":"Paul"}],"issued":{"date-parts":[["2009"]]}}},{"id":533,"uris":["http://zotero.org/users/local/LpXke84i/items/YVSVYUWP"],"uri":["http://zotero.org/users/local/LpXke84i/items/YVSVYUWP"],"itemData":{"id":533,"type":"article-journal","container-title":"The Lancet","DOI":"10.1016/S0140-6736(13)62297-7","ISSN":"0140-6736","issue":"9912","page":"176-185","title":"Increasing value and reducing waste in biomedical research regulation and management","volume":"383","author":[{"family":"Salman","given":"Rustam Al-Shahi"},{"family":"Beller","given":"Elaine"},{"family":"Kagan","given":"Jonathan"},{"family":"Hemminki","given":"Elina"},{"family":"Phillips","given":"Robert S"},{"family":"Savulescu","given":"Julian"},{"family":"Macleod","given":"Malcolm"},{"family":"Wisely","given":"Janet"},{"family":"Chalmers","given":"Iain"}],"issued":{"date-parts":[["2014",1,11]]}}}],"schema":"https://github.com/citation-style-language/schema/raw/master/csl-citation.json"} </w:instrText>
      </w:r>
      <w:r w:rsidR="00EB4F10" w:rsidRPr="004F5E95">
        <w:rPr>
          <w:rFonts w:ascii="Garamond" w:hAnsi="Garamond"/>
        </w:rPr>
        <w:fldChar w:fldCharType="separate"/>
      </w:r>
      <w:r w:rsidR="008F4A1B" w:rsidRPr="008F4A1B">
        <w:rPr>
          <w:rFonts w:ascii="Garamond" w:hAnsi="Garamond"/>
          <w:vertAlign w:val="superscript"/>
        </w:rPr>
        <w:t>25,27,28</w:t>
      </w:r>
      <w:r w:rsidR="00EB4F10" w:rsidRPr="004F5E95">
        <w:rPr>
          <w:rFonts w:ascii="Garamond" w:hAnsi="Garamond"/>
        </w:rPr>
        <w:fldChar w:fldCharType="end"/>
      </w:r>
      <w:r w:rsidR="00EB4F10" w:rsidRPr="004F5E95">
        <w:rPr>
          <w:rFonts w:ascii="Garamond" w:hAnsi="Garamond"/>
        </w:rPr>
        <w:t xml:space="preserve"> </w:t>
      </w:r>
      <w:r w:rsidR="00112783">
        <w:rPr>
          <w:rFonts w:ascii="Garamond" w:hAnsi="Garamond"/>
        </w:rPr>
        <w:t>Despite the availability of several large multi-arm trials, most research on COVID-19 therapeutics is not fit for generating comparative evidence</w:t>
      </w:r>
      <w:r w:rsidR="00116773">
        <w:rPr>
          <w:rFonts w:ascii="Garamond" w:hAnsi="Garamond"/>
        </w:rPr>
        <w:t xml:space="preserve">. </w:t>
      </w:r>
      <w:r w:rsidR="00112783">
        <w:rPr>
          <w:rFonts w:ascii="Garamond" w:hAnsi="Garamond"/>
        </w:rPr>
        <w:t xml:space="preserve">We </w:t>
      </w:r>
      <w:r>
        <w:rPr>
          <w:rFonts w:ascii="Garamond" w:hAnsi="Garamond"/>
        </w:rPr>
        <w:t>outline</w:t>
      </w:r>
      <w:r w:rsidR="00112783">
        <w:rPr>
          <w:rFonts w:ascii="Garamond" w:hAnsi="Garamond"/>
        </w:rPr>
        <w:t xml:space="preserve"> </w:t>
      </w:r>
      <w:r w:rsidR="00861D87">
        <w:rPr>
          <w:rFonts w:ascii="Garamond" w:hAnsi="Garamond"/>
        </w:rPr>
        <w:t xml:space="preserve">five </w:t>
      </w:r>
      <w:r w:rsidR="00112783">
        <w:rPr>
          <w:rFonts w:ascii="Garamond" w:hAnsi="Garamond"/>
        </w:rPr>
        <w:t>priority</w:t>
      </w:r>
      <w:r w:rsidR="00861D87">
        <w:rPr>
          <w:rFonts w:ascii="Garamond" w:hAnsi="Garamond"/>
        </w:rPr>
        <w:t xml:space="preserve"> areas</w:t>
      </w:r>
      <w:r w:rsidR="00112783">
        <w:rPr>
          <w:rFonts w:ascii="Garamond" w:hAnsi="Garamond"/>
        </w:rPr>
        <w:t xml:space="preserve"> for </w:t>
      </w:r>
      <w:r w:rsidR="00760DCE">
        <w:rPr>
          <w:rFonts w:ascii="Garamond" w:hAnsi="Garamond"/>
        </w:rPr>
        <w:t xml:space="preserve">greater </w:t>
      </w:r>
      <w:r w:rsidR="00112783">
        <w:rPr>
          <w:rFonts w:ascii="Garamond" w:hAnsi="Garamond"/>
        </w:rPr>
        <w:t>collaboration and coordination</w:t>
      </w:r>
      <w:r w:rsidR="00D93E10">
        <w:rPr>
          <w:rFonts w:ascii="Garamond" w:hAnsi="Garamond"/>
        </w:rPr>
        <w:t xml:space="preserve"> </w:t>
      </w:r>
      <w:r w:rsidR="00870CAC">
        <w:rPr>
          <w:rFonts w:ascii="Garamond" w:hAnsi="Garamond"/>
        </w:rPr>
        <w:t>among</w:t>
      </w:r>
      <w:r>
        <w:rPr>
          <w:rFonts w:ascii="Garamond" w:hAnsi="Garamond"/>
        </w:rPr>
        <w:t xml:space="preserve"> </w:t>
      </w:r>
      <w:r w:rsidR="00870CAC">
        <w:rPr>
          <w:rFonts w:ascii="Garamond" w:hAnsi="Garamond"/>
        </w:rPr>
        <w:t xml:space="preserve">trialists, meta-analysts, </w:t>
      </w:r>
      <w:r w:rsidR="004F5E95">
        <w:rPr>
          <w:rFonts w:ascii="Garamond" w:hAnsi="Garamond"/>
        </w:rPr>
        <w:t xml:space="preserve">guideline developers </w:t>
      </w:r>
      <w:r w:rsidR="00870CAC">
        <w:rPr>
          <w:rFonts w:ascii="Garamond" w:hAnsi="Garamond"/>
        </w:rPr>
        <w:t>and other stakeholders</w:t>
      </w:r>
      <w:r>
        <w:rPr>
          <w:rFonts w:ascii="Garamond" w:hAnsi="Garamond"/>
        </w:rPr>
        <w:t xml:space="preserve"> to facilitate producing and using trustworthy comparative evidence</w:t>
      </w:r>
      <w:r w:rsidR="001C3A51">
        <w:rPr>
          <w:rFonts w:ascii="Garamond" w:hAnsi="Garamond"/>
        </w:rPr>
        <w:t xml:space="preserve"> and guidance</w:t>
      </w:r>
      <w:r w:rsidR="00EB4F10" w:rsidRPr="004F5E95">
        <w:rPr>
          <w:rFonts w:ascii="Garamond" w:hAnsi="Garamond"/>
        </w:rPr>
        <w:t xml:space="preserve">. </w:t>
      </w:r>
      <w:r w:rsidR="001B3DE9">
        <w:rPr>
          <w:rFonts w:ascii="Garamond" w:hAnsi="Garamond"/>
        </w:rPr>
        <w:t xml:space="preserve">These are </w:t>
      </w:r>
      <w:r w:rsidR="00062E7F">
        <w:rPr>
          <w:rFonts w:ascii="Garamond" w:hAnsi="Garamond"/>
        </w:rPr>
        <w:t xml:space="preserve">also </w:t>
      </w:r>
      <w:r w:rsidR="001B3DE9">
        <w:rPr>
          <w:rFonts w:ascii="Garamond" w:hAnsi="Garamond"/>
        </w:rPr>
        <w:t xml:space="preserve">relevant to studies evaluating other types of interventions including supportive care and non-drug interventions. </w:t>
      </w:r>
    </w:p>
    <w:p w14:paraId="1F99FC25" w14:textId="77777777" w:rsidR="00FF583E" w:rsidRPr="0076365B" w:rsidRDefault="00FF583E" w:rsidP="00EF1564">
      <w:pPr>
        <w:rPr>
          <w:rFonts w:ascii="Garamond" w:hAnsi="Garamond"/>
        </w:rPr>
      </w:pPr>
    </w:p>
    <w:p w14:paraId="55FA8D40" w14:textId="26703960" w:rsidR="00C4330A" w:rsidRPr="005308CA" w:rsidRDefault="001E1DB2" w:rsidP="00C4330A">
      <w:pPr>
        <w:pStyle w:val="ListParagraph"/>
        <w:numPr>
          <w:ilvl w:val="0"/>
          <w:numId w:val="3"/>
        </w:numPr>
        <w:rPr>
          <w:rFonts w:ascii="Garamond" w:hAnsi="Garamond"/>
          <w:i/>
          <w:iCs/>
        </w:rPr>
      </w:pPr>
      <w:r w:rsidRPr="0076365B">
        <w:rPr>
          <w:rFonts w:ascii="Garamond" w:hAnsi="Garamond"/>
          <w:i/>
          <w:iCs/>
        </w:rPr>
        <w:t>Selecting</w:t>
      </w:r>
      <w:r w:rsidR="00EF1564" w:rsidRPr="0076365B">
        <w:rPr>
          <w:rFonts w:ascii="Garamond" w:hAnsi="Garamond"/>
          <w:i/>
          <w:iCs/>
        </w:rPr>
        <w:t xml:space="preserve"> treatments </w:t>
      </w:r>
      <w:r w:rsidR="00F1354B" w:rsidRPr="0076365B">
        <w:rPr>
          <w:rFonts w:ascii="Garamond" w:hAnsi="Garamond"/>
          <w:i/>
          <w:iCs/>
        </w:rPr>
        <w:t xml:space="preserve">to include </w:t>
      </w:r>
      <w:r w:rsidR="00EF1564" w:rsidRPr="00435491">
        <w:rPr>
          <w:rFonts w:ascii="Garamond" w:hAnsi="Garamond"/>
          <w:i/>
          <w:iCs/>
        </w:rPr>
        <w:t xml:space="preserve">in </w:t>
      </w:r>
      <w:r w:rsidR="00F1354B" w:rsidRPr="00435491">
        <w:rPr>
          <w:rFonts w:ascii="Garamond" w:hAnsi="Garamond"/>
          <w:i/>
          <w:iCs/>
        </w:rPr>
        <w:t xml:space="preserve">large </w:t>
      </w:r>
      <w:r w:rsidR="00EF1564" w:rsidRPr="005308CA">
        <w:rPr>
          <w:rFonts w:ascii="Garamond" w:hAnsi="Garamond"/>
          <w:i/>
          <w:iCs/>
        </w:rPr>
        <w:t>trials</w:t>
      </w:r>
    </w:p>
    <w:p w14:paraId="367F1DF3" w14:textId="05820899" w:rsidR="00703292" w:rsidRDefault="00312894" w:rsidP="00703292">
      <w:pPr>
        <w:ind w:firstLine="720"/>
        <w:rPr>
          <w:rFonts w:ascii="Garamond" w:hAnsi="Garamond"/>
        </w:rPr>
      </w:pPr>
      <w:r w:rsidRPr="005308CA">
        <w:rPr>
          <w:rFonts w:ascii="Garamond" w:hAnsi="Garamond"/>
        </w:rPr>
        <w:t>K</w:t>
      </w:r>
      <w:r w:rsidR="00A244DC" w:rsidRPr="005308CA">
        <w:rPr>
          <w:rFonts w:ascii="Garamond" w:hAnsi="Garamond"/>
        </w:rPr>
        <w:t>ey</w:t>
      </w:r>
      <w:r w:rsidR="00617E8A">
        <w:rPr>
          <w:rFonts w:ascii="Garamond" w:hAnsi="Garamond"/>
        </w:rPr>
        <w:t xml:space="preserve"> </w:t>
      </w:r>
      <w:r w:rsidR="00E6562B" w:rsidRPr="0076365B">
        <w:rPr>
          <w:rFonts w:ascii="Garamond" w:hAnsi="Garamond"/>
        </w:rPr>
        <w:t>trials</w:t>
      </w:r>
      <w:r w:rsidR="00F1354B" w:rsidRPr="0076365B">
        <w:rPr>
          <w:rFonts w:ascii="Garamond" w:hAnsi="Garamond"/>
        </w:rPr>
        <w:t xml:space="preserve"> </w:t>
      </w:r>
      <w:r w:rsidR="00253E03">
        <w:rPr>
          <w:rFonts w:ascii="Garamond" w:hAnsi="Garamond"/>
        </w:rPr>
        <w:t>differ</w:t>
      </w:r>
      <w:r w:rsidRPr="0076365B">
        <w:rPr>
          <w:rFonts w:ascii="Garamond" w:hAnsi="Garamond"/>
        </w:rPr>
        <w:t xml:space="preserve"> in which treatments they include</w:t>
      </w:r>
      <w:r w:rsidR="00253E03">
        <w:rPr>
          <w:rFonts w:ascii="Garamond" w:hAnsi="Garamond"/>
        </w:rPr>
        <w:t>d</w:t>
      </w:r>
      <w:r w:rsidR="00F1354B" w:rsidRPr="004C5C6C">
        <w:rPr>
          <w:rFonts w:ascii="Garamond" w:hAnsi="Garamond"/>
        </w:rPr>
        <w:t xml:space="preserve"> (</w:t>
      </w:r>
      <w:r w:rsidR="00D17CE3" w:rsidRPr="0076365B">
        <w:rPr>
          <w:rFonts w:ascii="Garamond" w:hAnsi="Garamond"/>
          <w:b/>
          <w:bCs/>
        </w:rPr>
        <w:t>Table</w:t>
      </w:r>
      <w:r w:rsidR="00F1354B" w:rsidRPr="0076365B">
        <w:rPr>
          <w:rFonts w:ascii="Garamond" w:hAnsi="Garamond"/>
        </w:rPr>
        <w:t xml:space="preserve">), reflecting </w:t>
      </w:r>
      <w:r w:rsidR="008F62A8" w:rsidRPr="0076365B">
        <w:rPr>
          <w:rFonts w:ascii="Garamond" w:hAnsi="Garamond"/>
        </w:rPr>
        <w:t>a</w:t>
      </w:r>
      <w:r w:rsidR="00F1354B" w:rsidRPr="0076365B">
        <w:rPr>
          <w:rFonts w:ascii="Garamond" w:hAnsi="Garamond"/>
        </w:rPr>
        <w:t xml:space="preserve"> lack of consensus on the most promising therapeutic </w:t>
      </w:r>
      <w:r w:rsidR="00B8500F" w:rsidRPr="00435491">
        <w:rPr>
          <w:rFonts w:ascii="Garamond" w:hAnsi="Garamond"/>
        </w:rPr>
        <w:t>candid</w:t>
      </w:r>
      <w:r w:rsidR="00B8500F" w:rsidRPr="005308CA">
        <w:rPr>
          <w:rFonts w:ascii="Garamond" w:hAnsi="Garamond"/>
        </w:rPr>
        <w:t>ates</w:t>
      </w:r>
      <w:r w:rsidR="00F1354B" w:rsidRPr="005308CA">
        <w:rPr>
          <w:rFonts w:ascii="Garamond" w:hAnsi="Garamond"/>
        </w:rPr>
        <w:t xml:space="preserve">. </w:t>
      </w:r>
      <w:r w:rsidR="00D3222B">
        <w:rPr>
          <w:rFonts w:ascii="Garamond" w:hAnsi="Garamond"/>
        </w:rPr>
        <w:t xml:space="preserve">Therefore, treatment selection </w:t>
      </w:r>
      <w:r w:rsidR="00F13C77">
        <w:rPr>
          <w:rFonts w:ascii="Garamond" w:hAnsi="Garamond"/>
        </w:rPr>
        <w:t xml:space="preserve">even </w:t>
      </w:r>
      <w:r w:rsidR="00D3222B">
        <w:rPr>
          <w:rFonts w:ascii="Garamond" w:hAnsi="Garamond"/>
        </w:rPr>
        <w:t xml:space="preserve">in large trials </w:t>
      </w:r>
      <w:r w:rsidR="0076365B">
        <w:rPr>
          <w:rFonts w:ascii="Garamond" w:hAnsi="Garamond"/>
        </w:rPr>
        <w:t>has</w:t>
      </w:r>
      <w:r w:rsidR="00D3222B">
        <w:rPr>
          <w:rFonts w:ascii="Garamond" w:hAnsi="Garamond"/>
        </w:rPr>
        <w:t xml:space="preserve"> not </w:t>
      </w:r>
      <w:r w:rsidR="0076365B">
        <w:rPr>
          <w:rFonts w:ascii="Garamond" w:hAnsi="Garamond"/>
        </w:rPr>
        <w:t>been f</w:t>
      </w:r>
      <w:r w:rsidR="00D3222B">
        <w:rPr>
          <w:rFonts w:ascii="Garamond" w:hAnsi="Garamond"/>
        </w:rPr>
        <w:t xml:space="preserve">ully complementary. </w:t>
      </w:r>
      <w:r w:rsidR="00AB1C7A" w:rsidRPr="0076365B">
        <w:rPr>
          <w:rFonts w:ascii="Garamond" w:hAnsi="Garamond"/>
        </w:rPr>
        <w:t xml:space="preserve">For example, </w:t>
      </w:r>
      <w:r w:rsidR="00703292">
        <w:rPr>
          <w:rFonts w:ascii="Garamond" w:hAnsi="Garamond"/>
        </w:rPr>
        <w:t xml:space="preserve">hydroxychloroquine was included in both RECOVERY and SOLIDARITY. </w:t>
      </w:r>
      <w:r w:rsidR="00B86646">
        <w:rPr>
          <w:rFonts w:ascii="Garamond" w:hAnsi="Garamond"/>
        </w:rPr>
        <w:t>By</w:t>
      </w:r>
      <w:r w:rsidR="00070612">
        <w:rPr>
          <w:rFonts w:ascii="Garamond" w:hAnsi="Garamond"/>
        </w:rPr>
        <w:t xml:space="preserve"> contrast, d</w:t>
      </w:r>
      <w:r w:rsidR="00AB1C7A" w:rsidRPr="0076365B">
        <w:rPr>
          <w:rFonts w:ascii="Garamond" w:hAnsi="Garamond"/>
        </w:rPr>
        <w:t xml:space="preserve">examethasone, the first agent that demonstrated a </w:t>
      </w:r>
      <w:r w:rsidR="00AB1C7A" w:rsidRPr="00435491">
        <w:rPr>
          <w:rFonts w:ascii="Garamond" w:hAnsi="Garamond"/>
        </w:rPr>
        <w:t xml:space="preserve">convincing survival benefit </w:t>
      </w:r>
      <w:r w:rsidR="00B8500F" w:rsidRPr="00435491">
        <w:rPr>
          <w:rFonts w:ascii="Garamond" w:hAnsi="Garamond"/>
        </w:rPr>
        <w:t>among</w:t>
      </w:r>
      <w:r w:rsidR="00AB1C7A" w:rsidRPr="005308CA">
        <w:rPr>
          <w:rFonts w:ascii="Garamond" w:hAnsi="Garamond"/>
        </w:rPr>
        <w:t xml:space="preserve"> </w:t>
      </w:r>
      <w:r w:rsidR="00055DCB" w:rsidRPr="005308CA">
        <w:rPr>
          <w:rFonts w:ascii="Garamond" w:hAnsi="Garamond"/>
        </w:rPr>
        <w:t xml:space="preserve">hospitalised </w:t>
      </w:r>
      <w:r w:rsidR="00AB1C7A" w:rsidRPr="005308CA">
        <w:rPr>
          <w:rFonts w:ascii="Garamond" w:hAnsi="Garamond"/>
        </w:rPr>
        <w:t>patients</w:t>
      </w:r>
      <w:r w:rsidR="00B8500F" w:rsidRPr="005308CA">
        <w:rPr>
          <w:rFonts w:ascii="Garamond" w:hAnsi="Garamond"/>
        </w:rPr>
        <w:t xml:space="preserve"> in the RECOVERY trial</w:t>
      </w:r>
      <w:r w:rsidR="00AB1C7A" w:rsidRPr="005308CA">
        <w:rPr>
          <w:rFonts w:ascii="Garamond" w:hAnsi="Garamond"/>
        </w:rPr>
        <w:t xml:space="preserve">, was </w:t>
      </w:r>
      <w:r w:rsidR="00B8500F" w:rsidRPr="005308CA">
        <w:rPr>
          <w:rFonts w:ascii="Garamond" w:hAnsi="Garamond"/>
        </w:rPr>
        <w:t xml:space="preserve">not </w:t>
      </w:r>
      <w:r w:rsidR="00AB1C7A" w:rsidRPr="005308CA">
        <w:rPr>
          <w:rFonts w:ascii="Garamond" w:hAnsi="Garamond"/>
        </w:rPr>
        <w:t xml:space="preserve">included in </w:t>
      </w:r>
      <w:r w:rsidR="00234F52">
        <w:rPr>
          <w:rFonts w:ascii="Garamond" w:hAnsi="Garamond"/>
        </w:rPr>
        <w:t xml:space="preserve">some </w:t>
      </w:r>
      <w:r w:rsidR="00AB1C7A" w:rsidRPr="005308CA">
        <w:rPr>
          <w:rFonts w:ascii="Garamond" w:hAnsi="Garamond"/>
        </w:rPr>
        <w:t xml:space="preserve">other </w:t>
      </w:r>
      <w:r w:rsidR="00307895">
        <w:rPr>
          <w:rFonts w:ascii="Garamond" w:hAnsi="Garamond"/>
        </w:rPr>
        <w:t>‘</w:t>
      </w:r>
      <w:r w:rsidR="00AB1C7A" w:rsidRPr="004C5C6C">
        <w:rPr>
          <w:rFonts w:ascii="Garamond" w:hAnsi="Garamond"/>
        </w:rPr>
        <w:t>meg</w:t>
      </w:r>
      <w:r w:rsidR="00AB1C7A" w:rsidRPr="0076365B">
        <w:rPr>
          <w:rFonts w:ascii="Garamond" w:hAnsi="Garamond"/>
        </w:rPr>
        <w:t>a</w:t>
      </w:r>
      <w:r w:rsidR="00307895">
        <w:rPr>
          <w:rFonts w:ascii="Garamond" w:hAnsi="Garamond"/>
        </w:rPr>
        <w:t>’</w:t>
      </w:r>
      <w:r w:rsidR="00AB1C7A" w:rsidRPr="004C5C6C">
        <w:rPr>
          <w:rFonts w:ascii="Garamond" w:hAnsi="Garamond"/>
        </w:rPr>
        <w:t xml:space="preserve"> tria</w:t>
      </w:r>
      <w:r w:rsidR="00AB1C7A" w:rsidRPr="0076365B">
        <w:rPr>
          <w:rFonts w:ascii="Garamond" w:hAnsi="Garamond"/>
        </w:rPr>
        <w:t xml:space="preserve">ls. </w:t>
      </w:r>
    </w:p>
    <w:p w14:paraId="5112B144" w14:textId="7257DF2F" w:rsidR="0001346C" w:rsidRPr="0076365B" w:rsidRDefault="00A14441" w:rsidP="007E1050">
      <w:pPr>
        <w:ind w:firstLine="720"/>
        <w:rPr>
          <w:rFonts w:ascii="Garamond" w:hAnsi="Garamond"/>
        </w:rPr>
      </w:pPr>
      <w:r w:rsidRPr="0076365B">
        <w:rPr>
          <w:rFonts w:ascii="Garamond" w:hAnsi="Garamond"/>
        </w:rPr>
        <w:t>E</w:t>
      </w:r>
      <w:r w:rsidR="00E43797" w:rsidRPr="0076365B">
        <w:rPr>
          <w:rFonts w:ascii="Garamond" w:hAnsi="Garamond"/>
        </w:rPr>
        <w:t xml:space="preserve">vidence-based </w:t>
      </w:r>
      <w:r w:rsidR="00E6562B" w:rsidRPr="0076365B">
        <w:rPr>
          <w:rFonts w:ascii="Garamond" w:hAnsi="Garamond"/>
        </w:rPr>
        <w:t xml:space="preserve">approaches </w:t>
      </w:r>
      <w:r w:rsidR="00AB1C7A" w:rsidRPr="0076365B">
        <w:rPr>
          <w:rFonts w:ascii="Garamond" w:hAnsi="Garamond"/>
        </w:rPr>
        <w:t xml:space="preserve">to select treatments </w:t>
      </w:r>
      <w:r w:rsidR="00307895">
        <w:rPr>
          <w:rFonts w:ascii="Garamond" w:hAnsi="Garamond"/>
        </w:rPr>
        <w:t>are emerging</w:t>
      </w:r>
      <w:r w:rsidR="00E6562B" w:rsidRPr="0076365B">
        <w:rPr>
          <w:rFonts w:ascii="Garamond" w:hAnsi="Garamond"/>
        </w:rPr>
        <w:t xml:space="preserve">. For example, </w:t>
      </w:r>
      <w:r w:rsidR="00AB1C7A" w:rsidRPr="0076365B">
        <w:rPr>
          <w:rFonts w:ascii="Garamond" w:hAnsi="Garamond"/>
        </w:rPr>
        <w:t xml:space="preserve">UK has launched </w:t>
      </w:r>
      <w:r w:rsidR="00E6562B" w:rsidRPr="0076365B">
        <w:rPr>
          <w:rFonts w:ascii="Garamond" w:hAnsi="Garamond"/>
        </w:rPr>
        <w:t>ACCORD</w:t>
      </w:r>
      <w:r w:rsidR="00D3222B">
        <w:rPr>
          <w:rFonts w:ascii="Garamond" w:hAnsi="Garamond"/>
        </w:rPr>
        <w:t xml:space="preserve"> (Accelerating Covid-19 Research and Development)</w:t>
      </w:r>
      <w:r w:rsidR="00AB1C7A" w:rsidRPr="0076365B">
        <w:rPr>
          <w:rFonts w:ascii="Garamond" w:hAnsi="Garamond"/>
        </w:rPr>
        <w:t xml:space="preserve">, which is </w:t>
      </w:r>
      <w:r w:rsidR="00E6562B" w:rsidRPr="0076365B">
        <w:rPr>
          <w:rFonts w:ascii="Garamond" w:hAnsi="Garamond"/>
        </w:rPr>
        <w:t xml:space="preserve">an adaptive platform study comprising </w:t>
      </w:r>
      <w:r w:rsidR="00312894" w:rsidRPr="00435491">
        <w:rPr>
          <w:rFonts w:ascii="Garamond" w:hAnsi="Garamond"/>
        </w:rPr>
        <w:t>almost</w:t>
      </w:r>
      <w:r w:rsidR="00E6562B" w:rsidRPr="00435491">
        <w:rPr>
          <w:rFonts w:ascii="Garamond" w:hAnsi="Garamond"/>
        </w:rPr>
        <w:t xml:space="preserve"> 50 small </w:t>
      </w:r>
      <w:r w:rsidR="00717B55" w:rsidRPr="00435491">
        <w:rPr>
          <w:rFonts w:ascii="Garamond" w:hAnsi="Garamond"/>
        </w:rPr>
        <w:t>RCTs</w:t>
      </w:r>
      <w:r w:rsidR="00E6562B" w:rsidRPr="005308CA">
        <w:rPr>
          <w:rFonts w:ascii="Garamond" w:hAnsi="Garamond"/>
        </w:rPr>
        <w:t xml:space="preserve"> of candidate agents for </w:t>
      </w:r>
      <w:r w:rsidR="008F62A8" w:rsidRPr="005308CA">
        <w:rPr>
          <w:rFonts w:ascii="Garamond" w:hAnsi="Garamond"/>
        </w:rPr>
        <w:t>further testing</w:t>
      </w:r>
      <w:r w:rsidR="00E6562B" w:rsidRPr="005308CA">
        <w:rPr>
          <w:rFonts w:ascii="Garamond" w:hAnsi="Garamond"/>
        </w:rPr>
        <w:t xml:space="preserve"> i</w:t>
      </w:r>
      <w:r w:rsidR="00E43797" w:rsidRPr="005308CA">
        <w:rPr>
          <w:rFonts w:ascii="Garamond" w:hAnsi="Garamond"/>
        </w:rPr>
        <w:t>n</w:t>
      </w:r>
      <w:r w:rsidR="00E6562B" w:rsidRPr="005308CA">
        <w:rPr>
          <w:rFonts w:ascii="Garamond" w:hAnsi="Garamond"/>
        </w:rPr>
        <w:t xml:space="preserve"> RECOVERY.</w:t>
      </w:r>
      <w:r w:rsidR="00AB1C7A" w:rsidRPr="005308CA">
        <w:rPr>
          <w:rFonts w:ascii="Garamond" w:hAnsi="Garamond"/>
        </w:rPr>
        <w:t xml:space="preserve"> </w:t>
      </w:r>
      <w:r w:rsidR="00E6562B" w:rsidRPr="005308CA">
        <w:rPr>
          <w:rFonts w:ascii="Garamond" w:hAnsi="Garamond"/>
        </w:rPr>
        <w:t>In addition to conducting</w:t>
      </w:r>
      <w:r w:rsidR="00221AF6" w:rsidRPr="005308CA">
        <w:rPr>
          <w:rFonts w:ascii="Garamond" w:hAnsi="Garamond"/>
        </w:rPr>
        <w:t xml:space="preserve"> </w:t>
      </w:r>
      <w:r w:rsidR="00970FE5">
        <w:rPr>
          <w:rFonts w:ascii="Garamond" w:hAnsi="Garamond"/>
        </w:rPr>
        <w:t xml:space="preserve">such </w:t>
      </w:r>
      <w:r w:rsidR="00E6562B" w:rsidRPr="005308CA">
        <w:rPr>
          <w:rFonts w:ascii="Garamond" w:hAnsi="Garamond"/>
          <w:i/>
          <w:iCs/>
        </w:rPr>
        <w:t>de novo</w:t>
      </w:r>
      <w:r w:rsidR="00E6562B" w:rsidRPr="005308CA">
        <w:rPr>
          <w:rFonts w:ascii="Garamond" w:hAnsi="Garamond"/>
        </w:rPr>
        <w:t xml:space="preserve"> trials, </w:t>
      </w:r>
      <w:r w:rsidR="00970FE5">
        <w:rPr>
          <w:rFonts w:ascii="Garamond" w:hAnsi="Garamond"/>
        </w:rPr>
        <w:t>evidence synthesis methods</w:t>
      </w:r>
      <w:r w:rsidR="00E6562B" w:rsidRPr="005308CA">
        <w:rPr>
          <w:rFonts w:ascii="Garamond" w:hAnsi="Garamond"/>
        </w:rPr>
        <w:t xml:space="preserve"> </w:t>
      </w:r>
      <w:r w:rsidR="00312894" w:rsidRPr="005308CA">
        <w:rPr>
          <w:rFonts w:ascii="Garamond" w:hAnsi="Garamond"/>
        </w:rPr>
        <w:t>would</w:t>
      </w:r>
      <w:r w:rsidR="00221AF6" w:rsidRPr="005308CA">
        <w:rPr>
          <w:rFonts w:ascii="Garamond" w:hAnsi="Garamond"/>
        </w:rPr>
        <w:t xml:space="preserve"> provide an opportunity to learn from </w:t>
      </w:r>
      <w:r w:rsidR="00970FE5">
        <w:rPr>
          <w:rFonts w:ascii="Garamond" w:hAnsi="Garamond"/>
        </w:rPr>
        <w:t>a fast-evolving body</w:t>
      </w:r>
      <w:r w:rsidR="00221AF6" w:rsidRPr="005308CA">
        <w:rPr>
          <w:rFonts w:ascii="Garamond" w:hAnsi="Garamond"/>
        </w:rPr>
        <w:t xml:space="preserve"> of </w:t>
      </w:r>
      <w:r w:rsidR="00970FE5">
        <w:rPr>
          <w:rFonts w:ascii="Garamond" w:hAnsi="Garamond"/>
        </w:rPr>
        <w:t>research</w:t>
      </w:r>
      <w:r w:rsidR="00861D87">
        <w:rPr>
          <w:rFonts w:ascii="Garamond" w:hAnsi="Garamond"/>
        </w:rPr>
        <w:t>. Using network meta-analyses</w:t>
      </w:r>
      <w:r w:rsidR="00060BD5" w:rsidRPr="005308CA">
        <w:rPr>
          <w:rFonts w:ascii="Garamond" w:hAnsi="Garamond"/>
        </w:rPr>
        <w:t xml:space="preserve"> </w:t>
      </w:r>
      <w:r w:rsidR="00861D87">
        <w:rPr>
          <w:rFonts w:ascii="Garamond" w:hAnsi="Garamond"/>
        </w:rPr>
        <w:t>could</w:t>
      </w:r>
      <w:r w:rsidR="00861D87" w:rsidRPr="005308CA">
        <w:rPr>
          <w:rFonts w:ascii="Garamond" w:hAnsi="Garamond"/>
        </w:rPr>
        <w:t xml:space="preserve"> </w:t>
      </w:r>
      <w:r w:rsidR="00354CE4" w:rsidRPr="005308CA">
        <w:rPr>
          <w:rFonts w:ascii="Garamond" w:hAnsi="Garamond"/>
        </w:rPr>
        <w:t xml:space="preserve">reach conclusions </w:t>
      </w:r>
      <w:r w:rsidR="00A37E72" w:rsidRPr="005308CA">
        <w:rPr>
          <w:rFonts w:ascii="Garamond" w:hAnsi="Garamond"/>
        </w:rPr>
        <w:t xml:space="preserve">on which treatments to test in larger trials </w:t>
      </w:r>
      <w:r w:rsidR="00354CE4" w:rsidRPr="005308CA">
        <w:rPr>
          <w:rFonts w:ascii="Garamond" w:hAnsi="Garamond"/>
        </w:rPr>
        <w:t>more efficiently than other approaches.</w:t>
      </w:r>
      <w:r w:rsidR="00354CE4" w:rsidRPr="0076365B">
        <w:rPr>
          <w:rFonts w:ascii="Garamond" w:hAnsi="Garamond"/>
        </w:rPr>
        <w:fldChar w:fldCharType="begin"/>
      </w:r>
      <w:r w:rsidR="004C6267">
        <w:rPr>
          <w:rFonts w:ascii="Garamond" w:hAnsi="Garamond"/>
        </w:rPr>
        <w:instrText xml:space="preserve"> ADDIN ZOTERO_ITEM CSL_CITATION {"citationID":"IkDtC1i1","properties":{"formattedCitation":"\\super 29\\nosupersub{}","plainCitation":"29","noteIndex":0},"citationItems":[{"id":706,"uris":["http://zotero.org/users/local/LpXke84i/items/3B7J6A9X"],"uri":["http://zotero.org/users/local/LpXke84i/items/3B7J6A9X"],"itemData":{"id":706,"type":"article-journal","abstract":"Objective To examine whether the continuous updating of networks of prospectively planned randomised controlled trials (RCTs) (“living” network meta-analysis) provides strong evidence against the null hypothesis in comparative effectiveness of medical interventions earlier than the updating of conventional, pairwise meta-analysis.Design Empirical study of the accumulating evidence about the comparative effectiveness of clinical interventions.Data sources Database of network meta-analyses of RCTs identified through searches of Medline, Embase, and the Cochrane Database of Systematic Reviews until 14 April 2015.Eligibility criteria for study selection Network meta-analyses published after January 2012 that compared at least five treatments and included at least 20 RCTs. Clinical experts were asked to identify in each network the treatment comparison of greatest clinical interest. Comparisons were excluded for which direct and indirect evidence disagreed, based on side, or node, splitting test (P&amp;lt;0.10).Outcomes and analysis Cumulative pairwise and network meta-analyses were performed for each selected comparison. Monitoring boundaries of statistical significance were constructed and the evidence against the null hypothesis was considered to be strong when the monitoring boundaries were crossed. A significance level was defined as α=5%, power of 90% (β=10%), and an anticipated treatment effect to detect equal to the final estimate from the network meta-analysis. The frequency and time to strong evidence was compared against the null hypothesis between pairwise and network meta-analyses.Results 49 comparisons of interest from 44 networks were included; most (n=39, 80%) were between active drugs, mainly from the specialties of cardiology, endocrinology, psychiatry, and rheumatology. 29 comparisons were informed by both direct and indirect evidence (59%), 13 by indirect evidence (27%), and 7 by direct evidence (14%). Both network and pairwise meta-analysis provided strong evidence against the null hypothesis for seven comparisons, but for an additional 10 comparisons only network meta-analysis provided strong evidence against the null hypothesis (P=0.002). The median time to strong evidence against the null hypothesis was 19 years with living network meta-analysis and 23 years with living pairwise meta-analysis (hazard ratio 2.78, 95% confidence interval 1.00 to 7.72, P=0.05). Studies directly comparing the treatments of interest continued to be published for eight comparisons after strong evidence had become evident in network meta-analysis.Conclusions In comparative effectiveness research, prospectively planned living network meta-analyses produced strong evidence against the null hypothesis more often and earlier than conventional, pairwise meta-analyses.","container-title":"BMJ","page":"k585","title":"Living network meta-analysis compared with pairwise meta-analysis in comparative effectiveness research: empirical study","volume":"360","author":[{"family":"Nikolakopoulou","given":"Adriani"},{"family":"Mavridis","given":"Dimitris"},{"family":"Furukawa","given":"Toshi A."},{"family":"Cipriani","given":"Andrea"},{"family":"Tricco","given":"Andrea C."},{"family":"Straus","given":"Sharon E."},{"family":"Siontis","given":"George C. M."},{"family":"Egger","given":"Matthias"},{"family":"Salanti","given":"Georgia"}],"issued":{"date-parts":[["2018"]]}}}],"schema":"https://github.com/citation-style-language/schema/raw/master/csl-citation.json"} </w:instrText>
      </w:r>
      <w:r w:rsidR="00354CE4" w:rsidRPr="0076365B">
        <w:rPr>
          <w:rFonts w:ascii="Garamond" w:hAnsi="Garamond"/>
        </w:rPr>
        <w:fldChar w:fldCharType="separate"/>
      </w:r>
      <w:r w:rsidR="004C6267" w:rsidRPr="004C6267">
        <w:rPr>
          <w:rFonts w:ascii="Garamond" w:hAnsi="Garamond"/>
          <w:vertAlign w:val="superscript"/>
        </w:rPr>
        <w:t>29</w:t>
      </w:r>
      <w:r w:rsidR="00354CE4" w:rsidRPr="0076365B">
        <w:rPr>
          <w:rFonts w:ascii="Garamond" w:hAnsi="Garamond"/>
        </w:rPr>
        <w:fldChar w:fldCharType="end"/>
      </w:r>
      <w:r w:rsidR="00354CE4" w:rsidRPr="004C5C6C">
        <w:rPr>
          <w:rFonts w:ascii="Garamond" w:hAnsi="Garamond"/>
        </w:rPr>
        <w:t xml:space="preserve"> </w:t>
      </w:r>
      <w:r w:rsidR="004C1E9D" w:rsidRPr="0076365B">
        <w:rPr>
          <w:rFonts w:ascii="Garamond" w:hAnsi="Garamond"/>
        </w:rPr>
        <w:t xml:space="preserve">Network meta-analyses </w:t>
      </w:r>
      <w:r w:rsidR="00E6562B" w:rsidRPr="0076365B">
        <w:rPr>
          <w:rFonts w:ascii="Garamond" w:hAnsi="Garamond"/>
        </w:rPr>
        <w:t xml:space="preserve">could also be used to compare the safety of </w:t>
      </w:r>
      <w:r w:rsidR="00C03383" w:rsidRPr="0076365B">
        <w:rPr>
          <w:rFonts w:ascii="Garamond" w:hAnsi="Garamond"/>
        </w:rPr>
        <w:t xml:space="preserve">many </w:t>
      </w:r>
      <w:r w:rsidR="00E6562B" w:rsidRPr="00435491">
        <w:rPr>
          <w:rFonts w:ascii="Garamond" w:hAnsi="Garamond"/>
        </w:rPr>
        <w:t xml:space="preserve">repurposed products based on </w:t>
      </w:r>
      <w:r w:rsidR="00451B2F" w:rsidRPr="00435491">
        <w:rPr>
          <w:rFonts w:ascii="Garamond" w:hAnsi="Garamond"/>
        </w:rPr>
        <w:t xml:space="preserve">their historical </w:t>
      </w:r>
      <w:r w:rsidR="00E6562B" w:rsidRPr="005308CA">
        <w:rPr>
          <w:rFonts w:ascii="Garamond" w:hAnsi="Garamond"/>
        </w:rPr>
        <w:t>data</w:t>
      </w:r>
      <w:r w:rsidR="00E43797" w:rsidRPr="005308CA">
        <w:rPr>
          <w:rFonts w:ascii="Garamond" w:hAnsi="Garamond"/>
        </w:rPr>
        <w:t xml:space="preserve"> in other conditions</w:t>
      </w:r>
      <w:r w:rsidR="00E6562B" w:rsidRPr="005308CA">
        <w:rPr>
          <w:rFonts w:ascii="Garamond" w:hAnsi="Garamond"/>
        </w:rPr>
        <w:t xml:space="preserve">. </w:t>
      </w:r>
      <w:r w:rsidR="00451B2F" w:rsidRPr="005308CA">
        <w:rPr>
          <w:rFonts w:ascii="Garamond" w:hAnsi="Garamond"/>
        </w:rPr>
        <w:t xml:space="preserve">For example, safety of </w:t>
      </w:r>
      <w:r w:rsidR="004C1E9D" w:rsidRPr="005308CA">
        <w:rPr>
          <w:rFonts w:ascii="Garamond" w:hAnsi="Garamond"/>
        </w:rPr>
        <w:t>r</w:t>
      </w:r>
      <w:r w:rsidR="00E50E8E" w:rsidRPr="005308CA">
        <w:rPr>
          <w:rFonts w:ascii="Garamond" w:hAnsi="Garamond"/>
        </w:rPr>
        <w:t>emdesivir</w:t>
      </w:r>
      <w:r w:rsidR="00451B2F" w:rsidRPr="005308CA">
        <w:rPr>
          <w:rFonts w:ascii="Garamond" w:hAnsi="Garamond"/>
        </w:rPr>
        <w:t xml:space="preserve"> was evaluated during the Ebola outbreak.</w:t>
      </w:r>
      <w:r w:rsidR="00312894" w:rsidRPr="0076365B">
        <w:rPr>
          <w:rFonts w:ascii="Garamond" w:hAnsi="Garamond"/>
        </w:rPr>
        <w:fldChar w:fldCharType="begin"/>
      </w:r>
      <w:r w:rsidR="004C6267">
        <w:rPr>
          <w:rFonts w:ascii="Garamond" w:hAnsi="Garamond"/>
        </w:rPr>
        <w:instrText xml:space="preserve"> ADDIN ZOTERO_ITEM CSL_CITATION {"citationID":"hFlRZlyS","properties":{"formattedCitation":"\\super 30\\nosupersub{}","plainCitation":"30","noteIndex":0},"citationItems":[{"id":913,"uris":["http://zotero.org/users/local/LpXke84i/items/U3VDU6WD"],"uri":["http://zotero.org/users/local/LpXke84i/items/U3VDU6WD"],"itemData":{"id":913,"type":"article-journal","container-title":"New England Journal of Medicine","DOI":"10.1056/NEJMoa1910993","ISSN":"0028-4793","issue":"24","journalAbbreviation":"N Engl J Med","note":"publisher: Massachusetts Medical Society","page":"2293-2303","title":"A Randomized, Controlled Trial of Ebola Virus Disease Therapeutics","volume":"381","author":[{"family":"Mulangu","given":"Sabue"},{"family":"Dodd","given":"Lori E."},{"family":"Davey","given":"Richard T."},{"family":"Tshiani Mbaya","given":"Olivier"},{"family":"Proschan","given":"Michael"},{"family":"Mukadi","given":"Daniel"},{"family":"Lusakibanza Manzo","given":"Mariano"},{"family":"Nzolo","given":"Didier"},{"family":"Tshomba Oloma","given":"Antoine"},{"family":"Ibanda","given":"Augustin"},{"family":"Ali","given":"Rosine"},{"family":"Coulibaly","given":"Sinaré"},{"family":"Levine","given":"Adam C."},{"family":"Grais","given":"Rebecca"},{"family":"Diaz","given":"Janet"},{"family":"Lane","given":"H. Clifford"},{"family":"Muyembe-Tamfum","given":"Jean-Jacques"},{"literal":"the PALM Writing Group"}],"issued":{"date-parts":[["2019",11,27]]}}}],"schema":"https://github.com/citation-style-language/schema/raw/master/csl-citation.json"} </w:instrText>
      </w:r>
      <w:r w:rsidR="00312894" w:rsidRPr="0076365B">
        <w:rPr>
          <w:rFonts w:ascii="Garamond" w:hAnsi="Garamond"/>
        </w:rPr>
        <w:fldChar w:fldCharType="separate"/>
      </w:r>
      <w:r w:rsidR="004C6267" w:rsidRPr="004C6267">
        <w:rPr>
          <w:rFonts w:ascii="Garamond" w:hAnsi="Garamond"/>
          <w:vertAlign w:val="superscript"/>
        </w:rPr>
        <w:t>30</w:t>
      </w:r>
      <w:r w:rsidR="00312894" w:rsidRPr="0076365B">
        <w:rPr>
          <w:rFonts w:ascii="Garamond" w:hAnsi="Garamond"/>
        </w:rPr>
        <w:fldChar w:fldCharType="end"/>
      </w:r>
      <w:r w:rsidR="00451B2F" w:rsidRPr="004C5C6C">
        <w:rPr>
          <w:rFonts w:ascii="Garamond" w:hAnsi="Garamond"/>
        </w:rPr>
        <w:t xml:space="preserve"> </w:t>
      </w:r>
      <w:r w:rsidR="00B8500F" w:rsidRPr="0076365B">
        <w:rPr>
          <w:rFonts w:ascii="Garamond" w:hAnsi="Garamond"/>
        </w:rPr>
        <w:t xml:space="preserve">Using aggregate, trial-level data </w:t>
      </w:r>
      <w:r w:rsidR="00307895">
        <w:rPr>
          <w:rFonts w:ascii="Garamond" w:hAnsi="Garamond"/>
        </w:rPr>
        <w:t xml:space="preserve">in network meta-analyses </w:t>
      </w:r>
      <w:r w:rsidR="00B8500F" w:rsidRPr="004C5C6C">
        <w:rPr>
          <w:rFonts w:ascii="Garamond" w:hAnsi="Garamond"/>
        </w:rPr>
        <w:t xml:space="preserve">would </w:t>
      </w:r>
      <w:r w:rsidR="00B8500F" w:rsidRPr="0076365B">
        <w:rPr>
          <w:rFonts w:ascii="Garamond" w:hAnsi="Garamond"/>
        </w:rPr>
        <w:t>provide sufficiently valid resul</w:t>
      </w:r>
      <w:r w:rsidR="00B8500F" w:rsidRPr="00435491">
        <w:rPr>
          <w:rFonts w:ascii="Garamond" w:hAnsi="Garamond"/>
        </w:rPr>
        <w:t xml:space="preserve">ts when prioritising which </w:t>
      </w:r>
      <w:r w:rsidR="00B8500F" w:rsidRPr="005308CA">
        <w:rPr>
          <w:rFonts w:ascii="Garamond" w:hAnsi="Garamond"/>
        </w:rPr>
        <w:t>treatment candidates to pursue in larger studies.</w:t>
      </w:r>
      <w:r w:rsidR="00B8500F" w:rsidRPr="0076365B">
        <w:rPr>
          <w:rFonts w:ascii="Garamond" w:hAnsi="Garamond"/>
        </w:rPr>
        <w:fldChar w:fldCharType="begin"/>
      </w:r>
      <w:r w:rsidR="004C6267">
        <w:rPr>
          <w:rFonts w:ascii="Garamond" w:hAnsi="Garamond"/>
        </w:rPr>
        <w:instrText xml:space="preserve"> ADDIN ZOTERO_ITEM CSL_CITATION {"citationID":"KH4tvyQJ","properties":{"formattedCitation":"\\super 31\\nosupersub{}","plainCitation":"31","noteIndex":0},"citationItems":[{"id":962,"uris":["http://zotero.org/users/local/LpXke84i/items/U6I5BKS6"],"uri":["http://zotero.org/users/local/LpXke84i/items/U6I5BKS6"],"itemData":{"id":962,"type":"article-journal","abstract":"Network meta-analysis (NMA) is a common approach to summarizing relative treatment effects from randomized trials with different treatment comparisons. Most NMAs are based on published aggregate data (AD) and have limited possibilities for investigating the extent of network consistency and between-study heterogeneity. Given that individual participant data (IPD) are considered the gold standard in evidence synthesis, we explored statistical methods for IPD-NMA and investigated their potential advantages and limitations, compared with AD-NMA. We discuss several one-stage random-effects NMA models that account for within-trial imbalances, treatment effect modifiers, missing response data and longitudinal responses. We illustrate all models in a case study of 18 antidepressant trials with a continuous endpoint (the Hamilton Depression Score). All trials suffered from drop-out; missingness of longitudinal responses ranged from 21 to 41% after 6 weeks follow-up. Our results indicate that NMA based on IPD may lead to increased precision of estimated treatment effects. Furthermore, it can help to improve network consistency and explain between-study heterogeneity by adjusting for participant-level effect modifiers and adopting more advanced models for dealing with missing response data. We conclude that implementation of IPD-NMA should be considered when trials are affected by substantial drop-out rate, and when treatment effects are potentially influenced by participant-level covariates.","container-title":"Statistical Methods in Medical Research","DOI":"10.1177/0962280216660741","ISSN":"0962-2802","issue":"5","journalAbbreviation":"Stat Methods Med Res","note":"publisher: SAGE Publications Ltd STM","page":"1351-1364","title":"An overview of methods for network meta-analysis using individual participant data: when do benefits arise?","volume":"27","author":[{"family":"Debray","given":"Thomas PA"},{"family":"Schuit","given":"Ewoud"},{"family":"Efthimiou","given":"Orestis"},{"family":"Reitsma","given":"Johannes B"},{"family":"Ioannidis","given":"John PA"},{"family":"Salanti","given":"Georgia"},{"family":"Moons","given":"Karel GM"}],"issued":{"date-parts":[["2016",8,11]]}}}],"schema":"https://github.com/citation-style-language/schema/raw/master/csl-citation.json"} </w:instrText>
      </w:r>
      <w:r w:rsidR="00B8500F" w:rsidRPr="0076365B">
        <w:rPr>
          <w:rFonts w:ascii="Garamond" w:hAnsi="Garamond"/>
        </w:rPr>
        <w:fldChar w:fldCharType="separate"/>
      </w:r>
      <w:r w:rsidR="004C6267" w:rsidRPr="004C6267">
        <w:rPr>
          <w:rFonts w:ascii="Garamond" w:hAnsi="Garamond"/>
          <w:vertAlign w:val="superscript"/>
        </w:rPr>
        <w:t>31</w:t>
      </w:r>
      <w:r w:rsidR="00B8500F" w:rsidRPr="0076365B">
        <w:rPr>
          <w:rFonts w:ascii="Garamond" w:hAnsi="Garamond"/>
        </w:rPr>
        <w:fldChar w:fldCharType="end"/>
      </w:r>
      <w:r w:rsidR="00B8500F" w:rsidRPr="004C5C6C">
        <w:rPr>
          <w:rFonts w:ascii="Garamond" w:hAnsi="Garamond"/>
        </w:rPr>
        <w:t xml:space="preserve"> </w:t>
      </w:r>
      <w:r w:rsidR="00221AF6" w:rsidRPr="0076365B">
        <w:rPr>
          <w:rFonts w:ascii="Garamond" w:hAnsi="Garamond"/>
        </w:rPr>
        <w:t xml:space="preserve">As a first step, </w:t>
      </w:r>
      <w:r w:rsidR="00E6562B" w:rsidRPr="0076365B">
        <w:rPr>
          <w:rFonts w:ascii="Garamond" w:hAnsi="Garamond"/>
        </w:rPr>
        <w:t>WHO</w:t>
      </w:r>
      <w:r w:rsidR="00C03383" w:rsidRPr="0076365B">
        <w:rPr>
          <w:rFonts w:ascii="Garamond" w:hAnsi="Garamond"/>
        </w:rPr>
        <w:t xml:space="preserve">’s </w:t>
      </w:r>
      <w:r w:rsidR="00E6562B" w:rsidRPr="0076365B">
        <w:rPr>
          <w:rFonts w:ascii="Garamond" w:hAnsi="Garamond"/>
        </w:rPr>
        <w:t>therapeutic landscape analysis</w:t>
      </w:r>
      <w:r w:rsidR="00C03383" w:rsidRPr="0076365B">
        <w:rPr>
          <w:rFonts w:ascii="Garamond" w:hAnsi="Garamond"/>
        </w:rPr>
        <w:t xml:space="preserve"> </w:t>
      </w:r>
      <w:r w:rsidR="00E6562B" w:rsidRPr="00435491">
        <w:rPr>
          <w:rFonts w:ascii="Garamond" w:hAnsi="Garamond"/>
        </w:rPr>
        <w:t xml:space="preserve">could </w:t>
      </w:r>
      <w:r w:rsidR="0001346C" w:rsidRPr="00435491">
        <w:rPr>
          <w:rFonts w:ascii="Garamond" w:hAnsi="Garamond"/>
        </w:rPr>
        <w:t>serve as a central</w:t>
      </w:r>
      <w:r w:rsidR="0001346C" w:rsidRPr="005308CA">
        <w:rPr>
          <w:rFonts w:ascii="Garamond" w:hAnsi="Garamond"/>
        </w:rPr>
        <w:t xml:space="preserve">ised global repository of </w:t>
      </w:r>
      <w:r w:rsidR="00675E5C">
        <w:rPr>
          <w:rFonts w:ascii="Garamond" w:hAnsi="Garamond"/>
        </w:rPr>
        <w:t xml:space="preserve">the </w:t>
      </w:r>
      <w:r w:rsidR="001745CE">
        <w:rPr>
          <w:rFonts w:ascii="Garamond" w:hAnsi="Garamond"/>
        </w:rPr>
        <w:t>most promising</w:t>
      </w:r>
      <w:r w:rsidR="0001346C" w:rsidRPr="004C5C6C">
        <w:rPr>
          <w:rFonts w:ascii="Garamond" w:hAnsi="Garamond"/>
        </w:rPr>
        <w:t xml:space="preserve"> </w:t>
      </w:r>
      <w:r w:rsidR="0001346C" w:rsidRPr="0076365B">
        <w:rPr>
          <w:rFonts w:ascii="Garamond" w:hAnsi="Garamond"/>
        </w:rPr>
        <w:t xml:space="preserve">molecules, and could </w:t>
      </w:r>
      <w:r w:rsidR="00E43797" w:rsidRPr="0076365B">
        <w:rPr>
          <w:rFonts w:ascii="Garamond" w:hAnsi="Garamond"/>
        </w:rPr>
        <w:t xml:space="preserve">be </w:t>
      </w:r>
      <w:r w:rsidR="00E6562B" w:rsidRPr="0076365B">
        <w:rPr>
          <w:rFonts w:ascii="Garamond" w:hAnsi="Garamond"/>
        </w:rPr>
        <w:t xml:space="preserve">complemented with </w:t>
      </w:r>
      <w:r w:rsidR="004C1E9D" w:rsidRPr="0076365B">
        <w:rPr>
          <w:rFonts w:ascii="Garamond" w:hAnsi="Garamond"/>
        </w:rPr>
        <w:t xml:space="preserve">network meta-analyses </w:t>
      </w:r>
      <w:r w:rsidR="00E6562B" w:rsidRPr="0076365B">
        <w:rPr>
          <w:rFonts w:ascii="Garamond" w:hAnsi="Garamond"/>
        </w:rPr>
        <w:t>o</w:t>
      </w:r>
      <w:r w:rsidR="00E75D7D" w:rsidRPr="00435491">
        <w:rPr>
          <w:rFonts w:ascii="Garamond" w:hAnsi="Garamond"/>
        </w:rPr>
        <w:t xml:space="preserve">f available data to guide rational </w:t>
      </w:r>
      <w:r w:rsidR="00451B2F" w:rsidRPr="00435491">
        <w:rPr>
          <w:rFonts w:ascii="Garamond" w:hAnsi="Garamond"/>
        </w:rPr>
        <w:t>prioritisation</w:t>
      </w:r>
      <w:r w:rsidR="00E75D7D" w:rsidRPr="00435491">
        <w:rPr>
          <w:rFonts w:ascii="Garamond" w:hAnsi="Garamond"/>
        </w:rPr>
        <w:t xml:space="preserve"> of </w:t>
      </w:r>
      <w:r w:rsidR="00451B2F" w:rsidRPr="005308CA">
        <w:rPr>
          <w:rFonts w:ascii="Garamond" w:hAnsi="Garamond"/>
        </w:rPr>
        <w:t xml:space="preserve">candidate </w:t>
      </w:r>
      <w:r w:rsidR="00E75D7D" w:rsidRPr="005308CA">
        <w:rPr>
          <w:rFonts w:ascii="Garamond" w:hAnsi="Garamond"/>
        </w:rPr>
        <w:t>treatments</w:t>
      </w:r>
      <w:r w:rsidR="00E6562B" w:rsidRPr="005308CA">
        <w:rPr>
          <w:rFonts w:ascii="Garamond" w:hAnsi="Garamond"/>
        </w:rPr>
        <w:t>.</w:t>
      </w:r>
      <w:r w:rsidR="00354CE4" w:rsidRPr="0076365B">
        <w:rPr>
          <w:rFonts w:ascii="Garamond" w:hAnsi="Garamond"/>
        </w:rPr>
        <w:fldChar w:fldCharType="begin"/>
      </w:r>
      <w:r w:rsidR="004C6267">
        <w:rPr>
          <w:rFonts w:ascii="Garamond" w:hAnsi="Garamond"/>
        </w:rPr>
        <w:instrText xml:space="preserve"> ADDIN ZOTERO_ITEM CSL_CITATION {"citationID":"67GOR44h","properties":{"formattedCitation":"\\super 32\\nosupersub{}","plainCitation":"32","noteIndex":0},"citationItems":[{"id":683,"uris":["http://zotero.org/users/local/LpXke84i/items/3LISYUGC"],"uri":["http://zotero.org/users/local/LpXke84i/items/3LISYUGC"],"itemData":{"id":683,"type":"article-journal","abstract":"BACKGROUND: The important role of network meta-analysis of randomized clinical trials in health technology assessment and guideline development is increasingly  recognized. This approach has the potential to obtain conclusive results earlier  than with new standalone trials or conventional, pairwise meta-analyses. METHODS: Network meta-analyses can also be used to plan future trials. We introduce a four-step framework that aims to identify the optimal design for a new trial that will update the existing evidence while minimizing the required sample size. The  new trial designed within this framework does not need to include all competing interventions and comparisons of interest and can contribute direct and indirect  evidence to the updated network meta-analysis. We present the method by virtually planning a new trial to compare biologics in rheumatoid arthritis and a new trial to compare two drugs for relapsing-remitting multiple sclerosis. RESULTS: A trial design based on updating the evidence from a network meta-analysis of relevant previous trials may require a considerably smaller sample size to reach the same  conclusion compared with a trial designed and analyzed in isolation. Challenges of the approach include the complexity of the methodology and the need for a coherent network meta-analysis of previous trials with little heterogeneity. CONCLUSIONS: When used judiciously, conditional trial design could significantly  reduce the required resources for a new study and prevent experimentation with an unnecessarily large number of participants.","container-title":"Trials","issue":"1","journalAbbreviation":"Trials","language":"eng","page":"365","title":"Planning a future randomized clinical trial based on a network of relevant past trials.","volume":"19","author":[{"family":"Salanti","given":"Georgia"},{"family":"Nikolakopoulou","given":"Adriani"},{"family":"Sutton","given":"Alex J."},{"family":"Reichenbach","given":"Stephan"},{"family":"Trelle","given":"Sven"},{"family":"Naci","given":"Huseyin"},{"family":"Egger","given":"Matthias"}],"issued":{"date-parts":[["2018",7,11]]}}}],"schema":"https://github.com/citation-style-language/schema/raw/master/csl-citation.json"} </w:instrText>
      </w:r>
      <w:r w:rsidR="00354CE4" w:rsidRPr="0076365B">
        <w:rPr>
          <w:rFonts w:ascii="Garamond" w:hAnsi="Garamond"/>
        </w:rPr>
        <w:fldChar w:fldCharType="separate"/>
      </w:r>
      <w:r w:rsidR="004C6267" w:rsidRPr="004C6267">
        <w:rPr>
          <w:rFonts w:ascii="Garamond" w:hAnsi="Garamond"/>
          <w:vertAlign w:val="superscript"/>
        </w:rPr>
        <w:t>32</w:t>
      </w:r>
      <w:r w:rsidR="00354CE4" w:rsidRPr="0076365B">
        <w:rPr>
          <w:rFonts w:ascii="Garamond" w:hAnsi="Garamond"/>
        </w:rPr>
        <w:fldChar w:fldCharType="end"/>
      </w:r>
      <w:r w:rsidR="00E43797" w:rsidRPr="004C5C6C">
        <w:rPr>
          <w:rFonts w:ascii="Garamond" w:hAnsi="Garamond"/>
        </w:rPr>
        <w:t xml:space="preserve"> </w:t>
      </w:r>
    </w:p>
    <w:p w14:paraId="4DED2A91" w14:textId="77777777" w:rsidR="00854FD9" w:rsidRPr="0076365B" w:rsidRDefault="00854FD9" w:rsidP="00F1354B">
      <w:pPr>
        <w:rPr>
          <w:rFonts w:ascii="Garamond" w:hAnsi="Garamond"/>
        </w:rPr>
      </w:pPr>
    </w:p>
    <w:p w14:paraId="08016EFB" w14:textId="7347B8D0" w:rsidR="00EF1564" w:rsidRPr="00435491" w:rsidRDefault="00EF1564" w:rsidP="00EF1564">
      <w:pPr>
        <w:pStyle w:val="ListParagraph"/>
        <w:numPr>
          <w:ilvl w:val="0"/>
          <w:numId w:val="3"/>
        </w:numPr>
        <w:rPr>
          <w:rFonts w:ascii="Garamond" w:hAnsi="Garamond"/>
          <w:i/>
          <w:iCs/>
        </w:rPr>
      </w:pPr>
      <w:r w:rsidRPr="0076365B">
        <w:rPr>
          <w:rFonts w:ascii="Garamond" w:hAnsi="Garamond"/>
          <w:i/>
          <w:iCs/>
        </w:rPr>
        <w:t xml:space="preserve">Streamlining </w:t>
      </w:r>
      <w:r w:rsidR="005E1AB1" w:rsidRPr="0076365B">
        <w:rPr>
          <w:rFonts w:ascii="Garamond" w:hAnsi="Garamond"/>
          <w:i/>
          <w:iCs/>
        </w:rPr>
        <w:t>trial designs</w:t>
      </w:r>
    </w:p>
    <w:p w14:paraId="3C330B29" w14:textId="03140846" w:rsidR="003257ED" w:rsidRPr="004C5C6C" w:rsidRDefault="00833DDA" w:rsidP="003257ED">
      <w:pPr>
        <w:ind w:firstLine="720"/>
        <w:rPr>
          <w:rFonts w:ascii="Garamond" w:hAnsi="Garamond"/>
        </w:rPr>
      </w:pPr>
      <w:r w:rsidRPr="00435491">
        <w:rPr>
          <w:rFonts w:ascii="Garamond" w:hAnsi="Garamond"/>
        </w:rPr>
        <w:t>Harmonising</w:t>
      </w:r>
      <w:r w:rsidR="00177875" w:rsidRPr="005308CA">
        <w:rPr>
          <w:rFonts w:ascii="Garamond" w:hAnsi="Garamond"/>
        </w:rPr>
        <w:t xml:space="preserve"> </w:t>
      </w:r>
      <w:r w:rsidR="00717B55" w:rsidRPr="005308CA">
        <w:rPr>
          <w:rFonts w:ascii="Garamond" w:hAnsi="Garamond"/>
        </w:rPr>
        <w:t xml:space="preserve">RCTs </w:t>
      </w:r>
      <w:r w:rsidR="00177875" w:rsidRPr="005308CA">
        <w:rPr>
          <w:rFonts w:ascii="Garamond" w:hAnsi="Garamond"/>
        </w:rPr>
        <w:t xml:space="preserve">in terms of </w:t>
      </w:r>
      <w:r w:rsidR="00EA5EF2" w:rsidRPr="005308CA">
        <w:rPr>
          <w:rFonts w:ascii="Garamond" w:hAnsi="Garamond"/>
        </w:rPr>
        <w:t xml:space="preserve">their </w:t>
      </w:r>
      <w:r w:rsidR="00177875" w:rsidRPr="005308CA">
        <w:rPr>
          <w:rFonts w:ascii="Garamond" w:hAnsi="Garamond"/>
        </w:rPr>
        <w:t>outcome measures</w:t>
      </w:r>
      <w:r w:rsidR="00E43797" w:rsidRPr="005308CA">
        <w:rPr>
          <w:rFonts w:ascii="Garamond" w:hAnsi="Garamond"/>
        </w:rPr>
        <w:t xml:space="preserve"> is </w:t>
      </w:r>
      <w:r w:rsidR="00177875" w:rsidRPr="005308CA">
        <w:rPr>
          <w:rFonts w:ascii="Garamond" w:hAnsi="Garamond"/>
        </w:rPr>
        <w:t>a prerequisite</w:t>
      </w:r>
      <w:r w:rsidR="00E43797" w:rsidRPr="005308CA">
        <w:rPr>
          <w:rFonts w:ascii="Garamond" w:hAnsi="Garamond"/>
        </w:rPr>
        <w:t xml:space="preserve"> </w:t>
      </w:r>
      <w:r w:rsidR="00177875" w:rsidRPr="005308CA">
        <w:rPr>
          <w:rFonts w:ascii="Garamond" w:hAnsi="Garamond"/>
        </w:rPr>
        <w:t>for their inclusion</w:t>
      </w:r>
      <w:r w:rsidR="00E43797" w:rsidRPr="005308CA">
        <w:rPr>
          <w:rFonts w:ascii="Garamond" w:hAnsi="Garamond"/>
        </w:rPr>
        <w:t xml:space="preserve"> in </w:t>
      </w:r>
      <w:r w:rsidR="00EB1C0F">
        <w:rPr>
          <w:rFonts w:ascii="Garamond" w:hAnsi="Garamond"/>
        </w:rPr>
        <w:t>comparative effectiveness assessments</w:t>
      </w:r>
      <w:r w:rsidR="00EA5EF2" w:rsidRPr="005308CA">
        <w:rPr>
          <w:rFonts w:ascii="Garamond" w:hAnsi="Garamond"/>
        </w:rPr>
        <w:t>.</w:t>
      </w:r>
      <w:r w:rsidR="00300297" w:rsidRPr="005308CA">
        <w:rPr>
          <w:rFonts w:ascii="Garamond" w:hAnsi="Garamond"/>
        </w:rPr>
        <w:t xml:space="preserve"> </w:t>
      </w:r>
      <w:r w:rsidR="00745323">
        <w:rPr>
          <w:rFonts w:ascii="Garamond" w:hAnsi="Garamond"/>
        </w:rPr>
        <w:t xml:space="preserve">Users of evidence have a key role in defining and prioritising outcome measures. </w:t>
      </w:r>
      <w:r w:rsidR="00307895">
        <w:rPr>
          <w:rFonts w:ascii="Garamond" w:hAnsi="Garamond"/>
        </w:rPr>
        <w:t>There is some</w:t>
      </w:r>
      <w:r w:rsidR="005308CA">
        <w:rPr>
          <w:rFonts w:ascii="Garamond" w:hAnsi="Garamond"/>
        </w:rPr>
        <w:t xml:space="preserve"> </w:t>
      </w:r>
      <w:r w:rsidR="00484CD4" w:rsidRPr="0076365B">
        <w:rPr>
          <w:rFonts w:ascii="Garamond" w:hAnsi="Garamond"/>
        </w:rPr>
        <w:t>consensus</w:t>
      </w:r>
      <w:r w:rsidR="009B40FA" w:rsidRPr="0076365B">
        <w:rPr>
          <w:rFonts w:ascii="Garamond" w:hAnsi="Garamond"/>
        </w:rPr>
        <w:t xml:space="preserve"> </w:t>
      </w:r>
      <w:r w:rsidR="00484CD4" w:rsidRPr="00435491">
        <w:rPr>
          <w:rFonts w:ascii="Garamond" w:hAnsi="Garamond"/>
        </w:rPr>
        <w:t xml:space="preserve">that all-cause mortality and respiratory support use are the preferred core outcomes </w:t>
      </w:r>
      <w:r w:rsidR="0076365B">
        <w:rPr>
          <w:rFonts w:ascii="Garamond" w:hAnsi="Garamond"/>
        </w:rPr>
        <w:t>in the</w:t>
      </w:r>
      <w:r w:rsidR="0076365B" w:rsidRPr="0076365B">
        <w:rPr>
          <w:rFonts w:ascii="Garamond" w:hAnsi="Garamond"/>
        </w:rPr>
        <w:t xml:space="preserve"> </w:t>
      </w:r>
      <w:r w:rsidR="00307895">
        <w:rPr>
          <w:rFonts w:ascii="Garamond" w:hAnsi="Garamond"/>
        </w:rPr>
        <w:t xml:space="preserve">severe stages </w:t>
      </w:r>
      <w:r w:rsidR="00A33E14">
        <w:rPr>
          <w:rFonts w:ascii="Garamond" w:hAnsi="Garamond"/>
        </w:rPr>
        <w:t xml:space="preserve">of </w:t>
      </w:r>
      <w:r w:rsidR="00EB1C0F">
        <w:rPr>
          <w:rFonts w:ascii="Garamond" w:hAnsi="Garamond"/>
        </w:rPr>
        <w:t>COVID-19</w:t>
      </w:r>
      <w:r w:rsidR="00484CD4" w:rsidRPr="004C5C6C">
        <w:rPr>
          <w:rFonts w:ascii="Garamond" w:hAnsi="Garamond"/>
        </w:rPr>
        <w:t>.</w:t>
      </w:r>
      <w:r w:rsidR="00944104" w:rsidRPr="0076365B">
        <w:rPr>
          <w:rFonts w:ascii="Garamond" w:hAnsi="Garamond"/>
        </w:rPr>
        <w:fldChar w:fldCharType="begin"/>
      </w:r>
      <w:r w:rsidR="004C6267">
        <w:rPr>
          <w:rFonts w:ascii="Garamond" w:hAnsi="Garamond"/>
        </w:rPr>
        <w:instrText xml:space="preserve"> ADDIN ZOTERO_ITEM CSL_CITATION {"citationID":"YH6qMAfH","properties":{"formattedCitation":"\\super 33\\nosupersub{}","plainCitation":"33","noteIndex":0},"citationItems":[{"id":926,"uris":["http://zotero.org/users/local/LpXke84i/items/A66XLVZX"],"uri":["http://zotero.org/users/local/LpXke84i/items/A66XLVZX"],"itemData":{"id":926,"type":"report","title":"Core outcome set developers’ response to COVID-19 (15th April 2020)","URL":"http://www.comet-initiative.org/Studies/Details/1538","author":[{"literal":"Core Outcome Measures in Effectiveness Trials"}],"accessed":{"date-parts":[["2020",5,3]]},"issued":{"date-parts":[["2020",4,15]]}}}],"schema":"https://github.com/citation-style-language/schema/raw/master/csl-citation.json"} </w:instrText>
      </w:r>
      <w:r w:rsidR="00944104" w:rsidRPr="0076365B">
        <w:rPr>
          <w:rFonts w:ascii="Garamond" w:hAnsi="Garamond"/>
        </w:rPr>
        <w:fldChar w:fldCharType="separate"/>
      </w:r>
      <w:r w:rsidR="004C6267" w:rsidRPr="004C6267">
        <w:rPr>
          <w:rFonts w:ascii="Garamond" w:hAnsi="Garamond"/>
          <w:vertAlign w:val="superscript"/>
        </w:rPr>
        <w:t>33</w:t>
      </w:r>
      <w:r w:rsidR="00944104" w:rsidRPr="0076365B">
        <w:rPr>
          <w:rFonts w:ascii="Garamond" w:hAnsi="Garamond"/>
        </w:rPr>
        <w:fldChar w:fldCharType="end"/>
      </w:r>
      <w:r w:rsidR="005308CA">
        <w:rPr>
          <w:rFonts w:ascii="Garamond" w:hAnsi="Garamond"/>
        </w:rPr>
        <w:t xml:space="preserve"> </w:t>
      </w:r>
      <w:r w:rsidR="005308CA" w:rsidRPr="004C5C6C">
        <w:rPr>
          <w:rFonts w:ascii="Garamond" w:hAnsi="Garamond"/>
        </w:rPr>
        <w:t>However</w:t>
      </w:r>
      <w:r w:rsidR="005308CA" w:rsidRPr="0076365B">
        <w:rPr>
          <w:rFonts w:ascii="Garamond" w:hAnsi="Garamond"/>
        </w:rPr>
        <w:t xml:space="preserve">, </w:t>
      </w:r>
      <w:r w:rsidR="00307895">
        <w:rPr>
          <w:rFonts w:ascii="Garamond" w:hAnsi="Garamond"/>
        </w:rPr>
        <w:t xml:space="preserve">the availability of </w:t>
      </w:r>
      <w:r w:rsidR="005308CA" w:rsidRPr="004C5C6C">
        <w:rPr>
          <w:rFonts w:ascii="Garamond" w:hAnsi="Garamond"/>
        </w:rPr>
        <w:t>several co</w:t>
      </w:r>
      <w:r w:rsidR="005308CA" w:rsidRPr="0076365B">
        <w:rPr>
          <w:rFonts w:ascii="Garamond" w:hAnsi="Garamond"/>
        </w:rPr>
        <w:t xml:space="preserve">re outcome sets </w:t>
      </w:r>
      <w:r w:rsidR="0076365B">
        <w:rPr>
          <w:rFonts w:ascii="Garamond" w:hAnsi="Garamond"/>
        </w:rPr>
        <w:t>has</w:t>
      </w:r>
      <w:r w:rsidR="00307895" w:rsidRPr="004F5E95">
        <w:rPr>
          <w:rFonts w:ascii="Garamond" w:hAnsi="Garamond"/>
        </w:rPr>
        <w:t xml:space="preserve"> complicat</w:t>
      </w:r>
      <w:r w:rsidR="00307895">
        <w:rPr>
          <w:rFonts w:ascii="Garamond" w:hAnsi="Garamond"/>
        </w:rPr>
        <w:t>ed</w:t>
      </w:r>
      <w:r w:rsidR="00307895" w:rsidRPr="004F5E95">
        <w:rPr>
          <w:rFonts w:ascii="Garamond" w:hAnsi="Garamond"/>
        </w:rPr>
        <w:t xml:space="preserve"> efforts to streamline trial designs</w:t>
      </w:r>
      <w:r w:rsidR="005308CA" w:rsidRPr="004C5C6C">
        <w:rPr>
          <w:rFonts w:ascii="Garamond" w:hAnsi="Garamond"/>
        </w:rPr>
        <w:t>.</w:t>
      </w:r>
      <w:r w:rsidR="0076365B">
        <w:rPr>
          <w:rFonts w:ascii="Garamond" w:hAnsi="Garamond"/>
        </w:rPr>
        <w:fldChar w:fldCharType="begin"/>
      </w:r>
      <w:r w:rsidR="004C6267">
        <w:rPr>
          <w:rFonts w:ascii="Garamond" w:hAnsi="Garamond"/>
        </w:rPr>
        <w:instrText xml:space="preserve"> ADDIN ZOTERO_ITEM CSL_CITATION {"citationID":"1Ge39rMP","properties":{"formattedCitation":"\\super 34\\nosupersub{}","plainCitation":"34","noteIndex":0},"citationItems":[{"id":966,"uris":["http://zotero.org/users/local/LpXke84i/items/SR2MS8FH"],"uri":["http://zotero.org/users/local/LpXke84i/items/SR2MS8FH"],"itemData":{"id":966,"type":"article-journal","abstract":"Since its outbreak in December 2019, a series of clinical trials on Coronavirus  Disease 2019 (COVID-19) have been registered or carried out. However, the  significant heterogeneity and less critical outcomes of such trials may be leading  to a waste of research resources. This study aimed to develop a core outcome set  (COS) for clinical trials on COVID-19 in order to tackle the outcome issues. The  study was conducted according to the Core Outcome Measures in Effectiveness Trials  (COMET) handbook (version 1.0), a guideline for COS development. A research group  was set up that included experts in respiratory and critical medicine, traditional  Chinese medicine, evidence-based medicine, clinical pharmacology, and statistics, in  addition to medical journal editors. Clinical trial registry websites (chictr.org.cn  and clinicaltrials.gov) were searched to retrieve clinical trial protocols and  outcomes in order to form an outcome pool. A total of 78 clinical trial protocols on","container-title":"Engineering (Beijing, China)","DOI":"10.1016/j.eng.2020.03.002","ISSN":"2095-8099 2096-0026 2095-8099","journalAbbreviation":"Engineering (Beijing)","language":"eng","note":"PMID: 32292626 \nPMCID: PMC7102592","title":"Core Outcome Set for Clinical Trials on Coronavirus Disease 2019 (COS-COVID).","author":[{"family":"Jin","given":"Xinyao"},{"family":"Pang","given":"Bo"},{"family":"Zhang","given":"Junhua"},{"family":"Liu","given":"Qingquan"},{"family":"Yang","given":"Zhongqi"},{"family":"Feng","given":"Jihong"},{"family":"Liu","given":"Xuezheng"},{"family":"Zhang","given":"Lei"},{"family":"Wang","given":"Baohe"},{"family":"Huang","given":"Yuhong"},{"family":"Josephine Fauci","given":"Alice"},{"family":"Ma","given":"Yuling"},{"family":"Soo Lee","given":"Myeong"},{"family":"Yuan","given":"Wei'an"},{"family":"Xie","given":"Yanming"},{"family":"Tang","given":"Jianyuan"},{"family":"Gao","given":"Rui"},{"family":"Du","given":"Liang"},{"family":"Zhang","given":"Shuo"},{"family":"Qi","given":"Hanmei"},{"family":"Sun","given":"Yu"},{"family":"Zheng","given":"Wenke"},{"family":"Yang","given":"Fengwen"},{"family":"Chua","given":"Huizi"},{"family":"Wang","given":"Keyi"},{"family":"Ou","given":"Yi"},{"family":"Huang","given":"Ming"},{"family":"Zhu","given":"Yan"},{"family":"Yu","given":"Jiajie"},{"family":"Tian","given":"Jinhui"},{"family":"Zhao","given":"Min"},{"family":"Hu","given":"Jingqing"},{"family":"Yao","given":"Chen"},{"family":"Li","given":"Youping"},{"family":"Zhang","given":"Boli"}],"issued":{"date-parts":[["2020",3,18]]}}}],"schema":"https://github.com/citation-style-language/schema/raw/master/csl-citation.json"} </w:instrText>
      </w:r>
      <w:r w:rsidR="0076365B">
        <w:rPr>
          <w:rFonts w:ascii="Garamond" w:hAnsi="Garamond"/>
        </w:rPr>
        <w:fldChar w:fldCharType="separate"/>
      </w:r>
      <w:r w:rsidR="004C6267" w:rsidRPr="004C6267">
        <w:rPr>
          <w:rFonts w:ascii="Garamond" w:hAnsi="Garamond"/>
          <w:vertAlign w:val="superscript"/>
        </w:rPr>
        <w:t>34</w:t>
      </w:r>
      <w:r w:rsidR="0076365B">
        <w:rPr>
          <w:rFonts w:ascii="Garamond" w:hAnsi="Garamond"/>
        </w:rPr>
        <w:fldChar w:fldCharType="end"/>
      </w:r>
      <w:r w:rsidR="00307895">
        <w:rPr>
          <w:rFonts w:ascii="Garamond" w:hAnsi="Garamond"/>
        </w:rPr>
        <w:t xml:space="preserve"> </w:t>
      </w:r>
    </w:p>
    <w:p w14:paraId="4E8EB271" w14:textId="533EB93E" w:rsidR="001A43A9" w:rsidRPr="001A43A9" w:rsidRDefault="00451B2F" w:rsidP="001A43A9">
      <w:pPr>
        <w:ind w:firstLine="720"/>
        <w:rPr>
          <w:rFonts w:ascii="Garamond" w:hAnsi="Garamond"/>
        </w:rPr>
      </w:pPr>
      <w:r w:rsidRPr="0076365B">
        <w:rPr>
          <w:rFonts w:ascii="Garamond" w:hAnsi="Garamond"/>
        </w:rPr>
        <w:t xml:space="preserve">Ensuring that future trials collect data on </w:t>
      </w:r>
      <w:r w:rsidR="00307895">
        <w:rPr>
          <w:rFonts w:ascii="Garamond" w:hAnsi="Garamond"/>
        </w:rPr>
        <w:t>o</w:t>
      </w:r>
      <w:r w:rsidR="00546C3C">
        <w:rPr>
          <w:rFonts w:ascii="Garamond" w:hAnsi="Garamond"/>
        </w:rPr>
        <w:t>ne set of</w:t>
      </w:r>
      <w:r w:rsidR="00307895" w:rsidRPr="004C5C6C">
        <w:rPr>
          <w:rFonts w:ascii="Garamond" w:hAnsi="Garamond"/>
        </w:rPr>
        <w:t xml:space="preserve"> </w:t>
      </w:r>
      <w:r w:rsidRPr="0076365B">
        <w:rPr>
          <w:rFonts w:ascii="Garamond" w:hAnsi="Garamond"/>
        </w:rPr>
        <w:t xml:space="preserve">core outcomes </w:t>
      </w:r>
      <w:r w:rsidR="00E50E8E" w:rsidRPr="0076365B">
        <w:rPr>
          <w:rFonts w:ascii="Garamond" w:hAnsi="Garamond"/>
        </w:rPr>
        <w:t xml:space="preserve">will depend on </w:t>
      </w:r>
      <w:r w:rsidR="003257ED" w:rsidRPr="0076365B">
        <w:rPr>
          <w:rFonts w:ascii="Garamond" w:hAnsi="Garamond"/>
        </w:rPr>
        <w:t>collaboration from</w:t>
      </w:r>
      <w:r w:rsidR="00E50E8E" w:rsidRPr="0076365B">
        <w:rPr>
          <w:rFonts w:ascii="Garamond" w:hAnsi="Garamond"/>
        </w:rPr>
        <w:t xml:space="preserve"> diverse stakeholders</w:t>
      </w:r>
      <w:r w:rsidRPr="0076365B">
        <w:rPr>
          <w:rFonts w:ascii="Garamond" w:hAnsi="Garamond"/>
        </w:rPr>
        <w:t xml:space="preserve">. </w:t>
      </w:r>
      <w:r w:rsidR="00A37E72" w:rsidRPr="00435491">
        <w:rPr>
          <w:rFonts w:ascii="Garamond" w:hAnsi="Garamond"/>
        </w:rPr>
        <w:t xml:space="preserve">WHO has </w:t>
      </w:r>
      <w:r w:rsidR="00435491">
        <w:rPr>
          <w:rFonts w:ascii="Garamond" w:hAnsi="Garamond"/>
        </w:rPr>
        <w:t>played an</w:t>
      </w:r>
      <w:r w:rsidR="00435491" w:rsidRPr="00435491">
        <w:rPr>
          <w:rFonts w:ascii="Garamond" w:hAnsi="Garamond"/>
        </w:rPr>
        <w:t xml:space="preserve"> </w:t>
      </w:r>
      <w:r w:rsidR="00A37E72" w:rsidRPr="00435491">
        <w:rPr>
          <w:rFonts w:ascii="Garamond" w:hAnsi="Garamond"/>
        </w:rPr>
        <w:t>important role by convening experts for the development of model protocols</w:t>
      </w:r>
      <w:r w:rsidR="00546C3C">
        <w:rPr>
          <w:rFonts w:ascii="Garamond" w:hAnsi="Garamond"/>
        </w:rPr>
        <w:t xml:space="preserve">, </w:t>
      </w:r>
      <w:r w:rsidR="00C20744" w:rsidRPr="0076365B">
        <w:rPr>
          <w:rFonts w:ascii="Garamond" w:hAnsi="Garamond"/>
        </w:rPr>
        <w:t>clinical reporting forms</w:t>
      </w:r>
      <w:r w:rsidR="00546C3C">
        <w:rPr>
          <w:rFonts w:ascii="Garamond" w:hAnsi="Garamond"/>
        </w:rPr>
        <w:t xml:space="preserve">, and endorsing a set of core outcomes </w:t>
      </w:r>
      <w:r w:rsidR="00435491">
        <w:rPr>
          <w:rFonts w:ascii="Garamond" w:hAnsi="Garamond"/>
        </w:rPr>
        <w:t>that are relevant</w:t>
      </w:r>
      <w:r w:rsidR="00546C3C">
        <w:rPr>
          <w:rFonts w:ascii="Garamond" w:hAnsi="Garamond"/>
        </w:rPr>
        <w:t xml:space="preserve"> </w:t>
      </w:r>
      <w:r w:rsidR="001A43A9">
        <w:rPr>
          <w:rFonts w:ascii="Garamond" w:hAnsi="Garamond"/>
        </w:rPr>
        <w:t xml:space="preserve">to </w:t>
      </w:r>
      <w:r w:rsidR="00546C3C">
        <w:rPr>
          <w:rFonts w:ascii="Garamond" w:hAnsi="Garamond"/>
        </w:rPr>
        <w:t>different stages of the disease (pre-exposure prophylaxis, post-exposure prophylaxis, early treatment, hospitalisation, intensive care</w:t>
      </w:r>
      <w:r w:rsidR="001A43A9">
        <w:rPr>
          <w:rFonts w:ascii="Garamond" w:hAnsi="Garamond"/>
        </w:rPr>
        <w:t>, post-hospitalisation</w:t>
      </w:r>
      <w:r w:rsidR="00546C3C">
        <w:rPr>
          <w:rFonts w:ascii="Garamond" w:hAnsi="Garamond"/>
        </w:rPr>
        <w:t>)</w:t>
      </w:r>
      <w:r w:rsidR="00435491">
        <w:rPr>
          <w:rFonts w:ascii="Garamond" w:hAnsi="Garamond"/>
        </w:rPr>
        <w:fldChar w:fldCharType="begin"/>
      </w:r>
      <w:r w:rsidR="004C6267">
        <w:rPr>
          <w:rFonts w:ascii="Garamond" w:hAnsi="Garamond"/>
        </w:rPr>
        <w:instrText xml:space="preserve"> ADDIN ZOTERO_ITEM CSL_CITATION {"citationID":"OvY7mOTD","properties":{"formattedCitation":"\\super 35\\nosupersub{}","plainCitation":"35","noteIndex":0},"citationItems":[{"id":967,"uris":["http://zotero.org/users/local/LpXke84i/items/7KF3WTSS"],"uri":["http://zotero.org/users/local/LpXke84i/items/7KF3WTSS"],"itemData":{"id":967,"type":"article-journal","container-title":"The Lancet Infectious Diseases","DOI":"10.1016/S1473-3099(20)30483-7","ISSN":"1473-3099","note":"publisher: Elsevier","title":"A minimal common outcome measure set for COVID-19 clinical research","URL":"https://doi.org/10.1016/S1473-3099(20)30483-7","author":[{"family":"Marshall","given":"John C"},{"family":"Murthy","given":"Srinivas"},{"family":"Diaz","given":"Janet"},{"family":"Adhikari","given":"Neil"},{"family":"Angus","given":"Derek C"},{"family":"Arabi","given":"Yaseen M"},{"family":"Baillie","given":"Kenneth"},{"family":"Bauer","given":"Michael"},{"family":"Berry","given":"Scott"},{"family":"Blackwood","given":"Bronagh"},{"family":"Bonten","given":"Marc"},{"family":"Bozza","given":"Fernando"},{"family":"Brunkhorst","given":"Frank"},{"family":"Cheng","given":"Allen"},{"family":"Clarke","given":"Mike"},{"family":"Dat","given":"Vu Quoc"},{"family":"Jong","given":"Menno","non-dropping-particle":"de"},{"family":"Denholm","given":"Justin"},{"family":"Derde","given":"Lennie"},{"family":"Dunning","given":"Jake"},{"family":"Feng","given":"Xiaobin"},{"family":"Fletcher","given":"Tom"},{"family":"Foster","given":"Nadine"},{"family":"Fowler","given":"Rob"},{"family":"Gobat","given":"Nina"},{"family":"Gomersall","given":"Charles"},{"family":"Gordon","given":"Anthony"},{"family":"Glueck","given":"Thomas"},{"family":"Harhay","given":"Michael"},{"family":"Hodgson","given":"Carol"},{"family":"Horby","given":"Peter"},{"family":"Kim","given":"YaeJean"},{"family":"Kojan","given":"Richard"},{"family":"Kumar","given":"Bharath"},{"family":"Laffey","given":"John"},{"family":"Malvey","given":"Denis"},{"family":"Martin-Loeches","given":"Ignacio"},{"family":"McArthur","given":"Colin"},{"family":"McAuley","given":"Danny"},{"family":"McBride","given":"Stephen"},{"family":"McGuinness","given":"Shay"},{"family":"Merson","given":"Laura"},{"family":"Morpeth","given":"Susan"},{"family":"Needham","given":"Dale"},{"family":"Netea","given":"Mihai"},{"family":"Oh","given":"Myoung-Don"},{"family":"Phyu","given":"Sabai"},{"family":"Piva","given":"Simone"},{"family":"Qiu","given":"Ruijin"},{"family":"Salisu-Kabara","given":"Halima"},{"family":"Shi","given":"Lei"},{"family":"Shimizu","given":"Naoki"},{"family":"Sinclair","given":"Jorge"},{"family":"Tong","given":"Steven"},{"family":"Turgeon","given":"Alexis"},{"family":"Uyeki","given":"Tim"},{"family":"Veerdonk","given":"Frank","non-dropping-particle":"van de"},{"family":"Webb","given":"Steve"},{"family":"Williamson","given":"Paula"},{"family":"Wolf","given":"Timo"},{"family":"Zhang","given":"Junhua"}],"accessed":{"date-parts":[["2020",7,15]]}}}],"schema":"https://github.com/citation-style-language/schema/raw/master/csl-citation.json"} </w:instrText>
      </w:r>
      <w:r w:rsidR="00435491">
        <w:rPr>
          <w:rFonts w:ascii="Garamond" w:hAnsi="Garamond"/>
        </w:rPr>
        <w:fldChar w:fldCharType="separate"/>
      </w:r>
      <w:r w:rsidR="004C6267" w:rsidRPr="004C6267">
        <w:rPr>
          <w:rFonts w:ascii="Garamond" w:hAnsi="Garamond"/>
          <w:vertAlign w:val="superscript"/>
        </w:rPr>
        <w:t>35</w:t>
      </w:r>
      <w:r w:rsidR="00435491">
        <w:rPr>
          <w:rFonts w:ascii="Garamond" w:hAnsi="Garamond"/>
        </w:rPr>
        <w:fldChar w:fldCharType="end"/>
      </w:r>
      <w:r w:rsidR="001A43A9">
        <w:rPr>
          <w:rFonts w:ascii="Garamond" w:hAnsi="Garamond"/>
        </w:rPr>
        <w:t xml:space="preserve"> and may span across different areas of medicine (for instance, long term effects of COVID-19 include </w:t>
      </w:r>
      <w:r w:rsidR="001A43A9" w:rsidRPr="001A43A9">
        <w:rPr>
          <w:rFonts w:ascii="Garamond" w:hAnsi="Garamond"/>
        </w:rPr>
        <w:t>medical, psychological and rehabilitation needs</w:t>
      </w:r>
      <w:r w:rsidR="001A43A9">
        <w:rPr>
          <w:rFonts w:ascii="Garamond" w:hAnsi="Garamond"/>
        </w:rPr>
        <w:t>).</w:t>
      </w:r>
      <w:r w:rsidR="00B43F66">
        <w:rPr>
          <w:rFonts w:ascii="Garamond" w:hAnsi="Garamond"/>
        </w:rPr>
        <w:fldChar w:fldCharType="begin"/>
      </w:r>
      <w:r w:rsidR="004C6267">
        <w:rPr>
          <w:rFonts w:ascii="Garamond" w:hAnsi="Garamond"/>
        </w:rPr>
        <w:instrText xml:space="preserve"> ADDIN ZOTERO_ITEM CSL_CITATION {"citationID":"G7VQWe2T","properties":{"formattedCitation":"\\super 36\\nosupersub{}","plainCitation":"36","noteIndex":0},"citationItems":[{"id":980,"uris":["http://zotero.org/users/local/LpXke84i/items/PESN8JVH"],"uri":["http://zotero.org/users/local/LpXke84i/items/PESN8JVH"],"itemData":{"id":980,"type":"article-journal","container-title":"BMJ","DOI":"10.1136/bmj.m2815","note":"publisher: BMJ Publishing Group Ltd\n_eprint: https://www.bmj.com/content/370/bmj.m2815.full.pdf","title":"Covid-19: What do we know about “long covid”?","URL":"https://www.bmj.com/content/370/bmj.m2815","volume":"370","author":[{"family":"Mahase","given":"Elisabeth"}],"issued":{"date-parts":[["2020"]]}}}],"schema":"https://github.com/citation-style-language/schema/raw/master/csl-citation.json"} </w:instrText>
      </w:r>
      <w:r w:rsidR="00B43F66">
        <w:rPr>
          <w:rFonts w:ascii="Garamond" w:hAnsi="Garamond"/>
        </w:rPr>
        <w:fldChar w:fldCharType="separate"/>
      </w:r>
      <w:r w:rsidR="004C6267" w:rsidRPr="004C6267">
        <w:rPr>
          <w:rFonts w:ascii="Garamond" w:hAnsi="Garamond"/>
          <w:vertAlign w:val="superscript"/>
        </w:rPr>
        <w:t>36</w:t>
      </w:r>
      <w:r w:rsidR="00B43F66">
        <w:rPr>
          <w:rFonts w:ascii="Garamond" w:hAnsi="Garamond"/>
        </w:rPr>
        <w:fldChar w:fldCharType="end"/>
      </w:r>
    </w:p>
    <w:p w14:paraId="5908F251" w14:textId="1ABE92CF" w:rsidR="00307895" w:rsidRPr="004C5C6C" w:rsidRDefault="00C20744" w:rsidP="007E1050">
      <w:pPr>
        <w:ind w:firstLine="720"/>
        <w:rPr>
          <w:rFonts w:ascii="Garamond" w:hAnsi="Garamond"/>
        </w:rPr>
      </w:pPr>
      <w:r w:rsidRPr="0076365B">
        <w:rPr>
          <w:rFonts w:ascii="Garamond" w:hAnsi="Garamond"/>
        </w:rPr>
        <w:lastRenderedPageBreak/>
        <w:t>R</w:t>
      </w:r>
      <w:r w:rsidR="00E6738C" w:rsidRPr="0076365B">
        <w:rPr>
          <w:rFonts w:ascii="Garamond" w:hAnsi="Garamond"/>
        </w:rPr>
        <w:t>esearch funders</w:t>
      </w:r>
      <w:r w:rsidR="00A33E14">
        <w:rPr>
          <w:rFonts w:ascii="Garamond" w:hAnsi="Garamond"/>
        </w:rPr>
        <w:t>,</w:t>
      </w:r>
      <w:r w:rsidR="00E6738C" w:rsidRPr="0076365B">
        <w:rPr>
          <w:rFonts w:ascii="Garamond" w:hAnsi="Garamond"/>
        </w:rPr>
        <w:t xml:space="preserve"> ethics review boards </w:t>
      </w:r>
      <w:r w:rsidR="00A33E14">
        <w:rPr>
          <w:rFonts w:ascii="Garamond" w:hAnsi="Garamond"/>
        </w:rPr>
        <w:t xml:space="preserve">and clinical trial approval authorities </w:t>
      </w:r>
      <w:r w:rsidR="00312894" w:rsidRPr="0076365B">
        <w:rPr>
          <w:rFonts w:ascii="Garamond" w:hAnsi="Garamond"/>
        </w:rPr>
        <w:t>should</w:t>
      </w:r>
      <w:r w:rsidR="00E6738C" w:rsidRPr="0076365B">
        <w:rPr>
          <w:rFonts w:ascii="Garamond" w:hAnsi="Garamond"/>
        </w:rPr>
        <w:t xml:space="preserve"> </w:t>
      </w:r>
      <w:r w:rsidR="00312894" w:rsidRPr="0076365B">
        <w:rPr>
          <w:rFonts w:ascii="Garamond" w:hAnsi="Garamond"/>
        </w:rPr>
        <w:t>require</w:t>
      </w:r>
      <w:r w:rsidR="00E6738C" w:rsidRPr="0076365B">
        <w:rPr>
          <w:rFonts w:ascii="Garamond" w:hAnsi="Garamond"/>
        </w:rPr>
        <w:t xml:space="preserve"> the adoption of core outcomes</w:t>
      </w:r>
      <w:r w:rsidR="00A37E72" w:rsidRPr="00435491">
        <w:rPr>
          <w:rFonts w:ascii="Garamond" w:hAnsi="Garamond"/>
        </w:rPr>
        <w:t xml:space="preserve"> in protocols</w:t>
      </w:r>
      <w:r w:rsidR="00E6738C" w:rsidRPr="00435491">
        <w:rPr>
          <w:rFonts w:ascii="Garamond" w:hAnsi="Garamond"/>
        </w:rPr>
        <w:t xml:space="preserve">. </w:t>
      </w:r>
      <w:r w:rsidR="00312894" w:rsidRPr="00435491">
        <w:rPr>
          <w:rFonts w:ascii="Garamond" w:hAnsi="Garamond"/>
        </w:rPr>
        <w:t>Streamlining r</w:t>
      </w:r>
      <w:r w:rsidR="00E6738C" w:rsidRPr="00435491">
        <w:rPr>
          <w:rFonts w:ascii="Garamond" w:hAnsi="Garamond"/>
        </w:rPr>
        <w:t xml:space="preserve">egulatory </w:t>
      </w:r>
      <w:r w:rsidR="00745323">
        <w:rPr>
          <w:rFonts w:ascii="Garamond" w:hAnsi="Garamond"/>
        </w:rPr>
        <w:t xml:space="preserve">and health technology assessment </w:t>
      </w:r>
      <w:r w:rsidR="00312894" w:rsidRPr="005308CA">
        <w:rPr>
          <w:rFonts w:ascii="Garamond" w:hAnsi="Garamond"/>
        </w:rPr>
        <w:t>guidance</w:t>
      </w:r>
      <w:r w:rsidR="00E6738C" w:rsidRPr="005308CA">
        <w:rPr>
          <w:rFonts w:ascii="Garamond" w:hAnsi="Garamond"/>
        </w:rPr>
        <w:t xml:space="preserve"> </w:t>
      </w:r>
      <w:r w:rsidR="00312894" w:rsidRPr="005308CA">
        <w:rPr>
          <w:rFonts w:ascii="Garamond" w:hAnsi="Garamond"/>
        </w:rPr>
        <w:t xml:space="preserve">across different settings </w:t>
      </w:r>
      <w:r w:rsidR="00300297" w:rsidRPr="005308CA">
        <w:rPr>
          <w:rFonts w:ascii="Garamond" w:hAnsi="Garamond"/>
        </w:rPr>
        <w:t>would also help</w:t>
      </w:r>
      <w:r w:rsidR="00E6738C" w:rsidRPr="005308CA">
        <w:rPr>
          <w:rFonts w:ascii="Garamond" w:hAnsi="Garamond"/>
        </w:rPr>
        <w:t>.</w:t>
      </w:r>
      <w:r w:rsidR="00312894" w:rsidRPr="005308CA">
        <w:rPr>
          <w:rFonts w:ascii="Garamond" w:hAnsi="Garamond"/>
        </w:rPr>
        <w:t xml:space="preserve"> </w:t>
      </w:r>
      <w:r w:rsidR="00435491">
        <w:rPr>
          <w:rFonts w:ascii="Garamond" w:hAnsi="Garamond"/>
        </w:rPr>
        <w:t xml:space="preserve">In its </w:t>
      </w:r>
      <w:r w:rsidR="00546C3C">
        <w:rPr>
          <w:rFonts w:ascii="Garamond" w:hAnsi="Garamond"/>
        </w:rPr>
        <w:t xml:space="preserve">conditional marketing authorisation </w:t>
      </w:r>
      <w:r w:rsidR="00435491">
        <w:rPr>
          <w:rFonts w:ascii="Garamond" w:hAnsi="Garamond"/>
        </w:rPr>
        <w:t>of</w:t>
      </w:r>
      <w:r w:rsidR="00546C3C">
        <w:rPr>
          <w:rFonts w:ascii="Garamond" w:hAnsi="Garamond"/>
        </w:rPr>
        <w:t xml:space="preserve"> remdesivir in June 2020</w:t>
      </w:r>
      <w:r w:rsidR="00435491">
        <w:rPr>
          <w:rFonts w:ascii="Garamond" w:hAnsi="Garamond"/>
        </w:rPr>
        <w:t>, EMA</w:t>
      </w:r>
      <w:r w:rsidR="00546C3C">
        <w:rPr>
          <w:rFonts w:ascii="Garamond" w:hAnsi="Garamond"/>
        </w:rPr>
        <w:t xml:space="preserve"> acknowledged the lack of “regulatory guidance or precedent specifying a particular preferred primary endpoint” for COVID-19 therapeutics.</w:t>
      </w:r>
      <w:r w:rsidR="00435491">
        <w:rPr>
          <w:rFonts w:ascii="Garamond" w:hAnsi="Garamond"/>
        </w:rPr>
        <w:fldChar w:fldCharType="begin"/>
      </w:r>
      <w:r w:rsidR="00234F52">
        <w:rPr>
          <w:rFonts w:ascii="Garamond" w:hAnsi="Garamond"/>
        </w:rPr>
        <w:instrText xml:space="preserve"> ADDIN ZOTERO_ITEM CSL_CITATION {"citationID":"i763iQD1","properties":{"formattedCitation":"\\super 19\\nosupersub{}","plainCitation":"19","noteIndex":0},"citationItems":[{"id":969,"uris":["http://zotero.org/users/local/LpXke84i/items/KXATZ2IV"],"uri":["http://zotero.org/users/local/LpXke84i/items/KXATZ2IV"],"itemData":{"id":969,"type":"report","title":"Assessment report: Veklury. Procedure No. EMEA/H/C/005622/0000","URL":"https://www.ema.europa.eu/en/documents/assessment-report/veklury-epar-public-assessment-report_en.pdf","author":[{"family":"European Medicines Agency","given":""}],"issued":{"date-parts":[["2020",6,25]]}}}],"schema":"https://github.com/citation-style-language/schema/raw/master/csl-citation.json"} </w:instrText>
      </w:r>
      <w:r w:rsidR="00435491">
        <w:rPr>
          <w:rFonts w:ascii="Garamond" w:hAnsi="Garamond"/>
        </w:rPr>
        <w:fldChar w:fldCharType="separate"/>
      </w:r>
      <w:r w:rsidR="00234F52" w:rsidRPr="00234F52">
        <w:rPr>
          <w:rFonts w:ascii="Garamond" w:hAnsi="Garamond"/>
          <w:vertAlign w:val="superscript"/>
        </w:rPr>
        <w:t>19</w:t>
      </w:r>
      <w:r w:rsidR="00435491">
        <w:rPr>
          <w:rFonts w:ascii="Garamond" w:hAnsi="Garamond"/>
        </w:rPr>
        <w:fldChar w:fldCharType="end"/>
      </w:r>
      <w:r w:rsidR="00546C3C">
        <w:rPr>
          <w:rFonts w:ascii="Garamond" w:hAnsi="Garamond"/>
        </w:rPr>
        <w:t xml:space="preserve"> </w:t>
      </w:r>
      <w:r w:rsidR="00C03383" w:rsidRPr="004C5C6C">
        <w:rPr>
          <w:rFonts w:ascii="Garamond" w:hAnsi="Garamond"/>
        </w:rPr>
        <w:t>FDA</w:t>
      </w:r>
      <w:r w:rsidR="00745323">
        <w:rPr>
          <w:rFonts w:ascii="Garamond" w:hAnsi="Garamond"/>
        </w:rPr>
        <w:t xml:space="preserve">, </w:t>
      </w:r>
      <w:r w:rsidR="00C03383" w:rsidRPr="004C5C6C">
        <w:rPr>
          <w:rFonts w:ascii="Garamond" w:hAnsi="Garamond"/>
        </w:rPr>
        <w:t>EMA</w:t>
      </w:r>
      <w:r w:rsidR="00745323">
        <w:rPr>
          <w:rFonts w:ascii="Garamond" w:hAnsi="Garamond"/>
        </w:rPr>
        <w:t xml:space="preserve">, and health technology assessment bodies </w:t>
      </w:r>
      <w:r w:rsidR="00312894" w:rsidRPr="0076365B">
        <w:rPr>
          <w:rFonts w:ascii="Garamond" w:hAnsi="Garamond"/>
        </w:rPr>
        <w:t>should</w:t>
      </w:r>
      <w:r w:rsidR="00EA5EF2" w:rsidRPr="0076365B">
        <w:rPr>
          <w:rFonts w:ascii="Garamond" w:hAnsi="Garamond"/>
        </w:rPr>
        <w:t xml:space="preserve"> </w:t>
      </w:r>
      <w:r w:rsidR="00546C3C">
        <w:rPr>
          <w:rFonts w:ascii="Garamond" w:hAnsi="Garamond"/>
        </w:rPr>
        <w:t xml:space="preserve">produce </w:t>
      </w:r>
      <w:r w:rsidR="00255FF0">
        <w:rPr>
          <w:rFonts w:ascii="Garamond" w:hAnsi="Garamond"/>
        </w:rPr>
        <w:t xml:space="preserve">joint </w:t>
      </w:r>
      <w:r w:rsidR="00546C3C">
        <w:rPr>
          <w:rFonts w:ascii="Garamond" w:hAnsi="Garamond"/>
        </w:rPr>
        <w:t xml:space="preserve">guidance and </w:t>
      </w:r>
      <w:r w:rsidR="00451B2F" w:rsidRPr="004C5C6C">
        <w:rPr>
          <w:rFonts w:ascii="Garamond" w:hAnsi="Garamond"/>
        </w:rPr>
        <w:t>provide parallel</w:t>
      </w:r>
      <w:r w:rsidR="00C03383" w:rsidRPr="0076365B">
        <w:rPr>
          <w:rFonts w:ascii="Garamond" w:hAnsi="Garamond"/>
        </w:rPr>
        <w:t xml:space="preserve"> advice on </w:t>
      </w:r>
      <w:r w:rsidR="003E2542" w:rsidRPr="0076365B">
        <w:rPr>
          <w:rFonts w:ascii="Garamond" w:hAnsi="Garamond"/>
        </w:rPr>
        <w:t xml:space="preserve">the </w:t>
      </w:r>
      <w:r w:rsidR="00C03383" w:rsidRPr="0076365B">
        <w:rPr>
          <w:rFonts w:ascii="Garamond" w:hAnsi="Garamond"/>
        </w:rPr>
        <w:t xml:space="preserve">trial protocols of candidate therapeutics. </w:t>
      </w:r>
    </w:p>
    <w:p w14:paraId="3E04EFAF" w14:textId="77777777" w:rsidR="00E6562B" w:rsidRPr="0076365B" w:rsidRDefault="00E6562B" w:rsidP="00F1354B">
      <w:pPr>
        <w:rPr>
          <w:rFonts w:ascii="Garamond" w:hAnsi="Garamond"/>
        </w:rPr>
      </w:pPr>
    </w:p>
    <w:p w14:paraId="3A0B4982" w14:textId="7DE5C7FB" w:rsidR="00EF1564" w:rsidRPr="0076365B" w:rsidRDefault="001E1DB2" w:rsidP="00EF1564">
      <w:pPr>
        <w:pStyle w:val="ListParagraph"/>
        <w:numPr>
          <w:ilvl w:val="0"/>
          <w:numId w:val="3"/>
        </w:numPr>
        <w:rPr>
          <w:rFonts w:ascii="Garamond" w:hAnsi="Garamond"/>
          <w:i/>
          <w:iCs/>
        </w:rPr>
      </w:pPr>
      <w:r w:rsidRPr="0076365B">
        <w:rPr>
          <w:rFonts w:ascii="Garamond" w:hAnsi="Garamond"/>
          <w:i/>
          <w:iCs/>
        </w:rPr>
        <w:t>Sharing data</w:t>
      </w:r>
    </w:p>
    <w:p w14:paraId="61F1E598" w14:textId="47B30936" w:rsidR="00F30A5E" w:rsidRPr="004F5E95" w:rsidRDefault="00255FF0" w:rsidP="00206DA8">
      <w:pPr>
        <w:ind w:firstLine="720"/>
      </w:pPr>
      <w:r>
        <w:rPr>
          <w:rFonts w:ascii="Garamond" w:hAnsi="Garamond"/>
        </w:rPr>
        <w:t xml:space="preserve">Benefits of </w:t>
      </w:r>
      <w:r w:rsidR="00E70856">
        <w:rPr>
          <w:rFonts w:ascii="Garamond" w:hAnsi="Garamond"/>
        </w:rPr>
        <w:t xml:space="preserve">timely access to </w:t>
      </w:r>
      <w:r w:rsidR="00E34150" w:rsidRPr="0076365B">
        <w:rPr>
          <w:rFonts w:ascii="Garamond" w:hAnsi="Garamond"/>
        </w:rPr>
        <w:t xml:space="preserve">data </w:t>
      </w:r>
      <w:r>
        <w:rPr>
          <w:rFonts w:ascii="Garamond" w:hAnsi="Garamond"/>
        </w:rPr>
        <w:t xml:space="preserve">from clinical trials are widely accepted. </w:t>
      </w:r>
      <w:r w:rsidR="00300297" w:rsidRPr="0076365B">
        <w:rPr>
          <w:rFonts w:ascii="Garamond" w:hAnsi="Garamond"/>
        </w:rPr>
        <w:t xml:space="preserve">Such data could be </w:t>
      </w:r>
      <w:r w:rsidR="00D436D2">
        <w:rPr>
          <w:rFonts w:ascii="Garamond" w:hAnsi="Garamond"/>
        </w:rPr>
        <w:t xml:space="preserve">re-analysed </w:t>
      </w:r>
      <w:r>
        <w:rPr>
          <w:rFonts w:ascii="Garamond" w:hAnsi="Garamond"/>
        </w:rPr>
        <w:t>and</w:t>
      </w:r>
      <w:r w:rsidR="008D70F9">
        <w:rPr>
          <w:rFonts w:ascii="Garamond" w:hAnsi="Garamond"/>
        </w:rPr>
        <w:t xml:space="preserve"> </w:t>
      </w:r>
      <w:r>
        <w:rPr>
          <w:rFonts w:ascii="Garamond" w:hAnsi="Garamond"/>
        </w:rPr>
        <w:t>combined</w:t>
      </w:r>
      <w:r w:rsidR="008D70F9">
        <w:rPr>
          <w:rFonts w:ascii="Garamond" w:hAnsi="Garamond"/>
        </w:rPr>
        <w:t xml:space="preserve"> with data from other studies</w:t>
      </w:r>
      <w:r w:rsidR="00EB1C0F">
        <w:rPr>
          <w:rFonts w:ascii="Garamond" w:hAnsi="Garamond"/>
        </w:rPr>
        <w:t xml:space="preserve"> to determine comparative effectiveness</w:t>
      </w:r>
      <w:r w:rsidR="001745CE">
        <w:rPr>
          <w:rFonts w:ascii="Garamond" w:hAnsi="Garamond"/>
        </w:rPr>
        <w:t xml:space="preserve">. Individual participant data could also </w:t>
      </w:r>
      <w:r w:rsidR="00300297" w:rsidRPr="004C5C6C">
        <w:rPr>
          <w:rFonts w:ascii="Garamond" w:hAnsi="Garamond"/>
        </w:rPr>
        <w:t>identify subgroups of pa</w:t>
      </w:r>
      <w:r w:rsidR="00300297" w:rsidRPr="0076365B">
        <w:rPr>
          <w:rFonts w:ascii="Garamond" w:hAnsi="Garamond"/>
        </w:rPr>
        <w:t>tients with differential response</w:t>
      </w:r>
      <w:r w:rsidR="003257ED" w:rsidRPr="0076365B">
        <w:rPr>
          <w:rFonts w:ascii="Garamond" w:hAnsi="Garamond"/>
        </w:rPr>
        <w:t>s</w:t>
      </w:r>
      <w:r w:rsidR="00300297" w:rsidRPr="0076365B">
        <w:rPr>
          <w:rFonts w:ascii="Garamond" w:hAnsi="Garamond"/>
        </w:rPr>
        <w:t xml:space="preserve"> to treatments, exploring characteristics that modify effectiveness and thus explain contradictory findings. </w:t>
      </w:r>
      <w:r w:rsidR="001E1DB2" w:rsidRPr="0076365B">
        <w:rPr>
          <w:rFonts w:ascii="Garamond" w:hAnsi="Garamond"/>
        </w:rPr>
        <w:t xml:space="preserve">While data sharing </w:t>
      </w:r>
      <w:r w:rsidR="00782281" w:rsidRPr="0076365B">
        <w:rPr>
          <w:rFonts w:ascii="Garamond" w:hAnsi="Garamond"/>
        </w:rPr>
        <w:t xml:space="preserve">after </w:t>
      </w:r>
      <w:r w:rsidR="001E1DB2" w:rsidRPr="0076365B">
        <w:rPr>
          <w:rFonts w:ascii="Garamond" w:hAnsi="Garamond"/>
        </w:rPr>
        <w:t xml:space="preserve">trial completion is becoming more common, </w:t>
      </w:r>
      <w:r w:rsidR="00E12206" w:rsidRPr="00435491">
        <w:rPr>
          <w:rFonts w:ascii="Garamond" w:hAnsi="Garamond"/>
        </w:rPr>
        <w:t xml:space="preserve">and several funders of health research are committed to </w:t>
      </w:r>
      <w:r w:rsidR="00FD5460" w:rsidRPr="00435491">
        <w:rPr>
          <w:rFonts w:ascii="Garamond" w:hAnsi="Garamond"/>
        </w:rPr>
        <w:t>this goal</w:t>
      </w:r>
      <w:r w:rsidR="00E12206" w:rsidRPr="00435491">
        <w:rPr>
          <w:rFonts w:ascii="Garamond" w:hAnsi="Garamond"/>
        </w:rPr>
        <w:t>,</w:t>
      </w:r>
      <w:r w:rsidR="00E12206" w:rsidRPr="0076365B">
        <w:rPr>
          <w:rFonts w:ascii="Garamond" w:hAnsi="Garamond"/>
        </w:rPr>
        <w:fldChar w:fldCharType="begin"/>
      </w:r>
      <w:r w:rsidR="004C6267">
        <w:rPr>
          <w:rFonts w:ascii="Garamond" w:hAnsi="Garamond"/>
        </w:rPr>
        <w:instrText xml:space="preserve"> ADDIN ZOTERO_ITEM CSL_CITATION {"citationID":"wRbHak9J","properties":{"formattedCitation":"\\super 37\\nosupersub{}","plainCitation":"37","noteIndex":0},"citationItems":[{"id":934,"uris":["http://zotero.org/users/local/LpXke84i/items/F87XM5PW"],"uri":["http://zotero.org/users/local/LpXke84i/items/F87XM5PW"],"itemData":{"id":934,"type":"report","title":"Sharing research data to improve public health: full joint statement by funders of health research","URL":"https://wellcome.ac.uk/what-we-do/our-work/sharing-research-data-improve-public-health-full-joint-statement-funders-health","author":[{"literal":"Wellcome Trust"}],"accessed":{"date-parts":[["2020",5,23]]}}}],"schema":"https://github.com/citation-style-language/schema/raw/master/csl-citation.json"} </w:instrText>
      </w:r>
      <w:r w:rsidR="00E12206" w:rsidRPr="0076365B">
        <w:rPr>
          <w:rFonts w:ascii="Garamond" w:hAnsi="Garamond"/>
        </w:rPr>
        <w:fldChar w:fldCharType="separate"/>
      </w:r>
      <w:r w:rsidR="004C6267" w:rsidRPr="004C6267">
        <w:rPr>
          <w:rFonts w:ascii="Garamond" w:hAnsi="Garamond"/>
          <w:vertAlign w:val="superscript"/>
        </w:rPr>
        <w:t>37</w:t>
      </w:r>
      <w:r w:rsidR="00E12206" w:rsidRPr="0076365B">
        <w:rPr>
          <w:rFonts w:ascii="Garamond" w:hAnsi="Garamond"/>
        </w:rPr>
        <w:fldChar w:fldCharType="end"/>
      </w:r>
      <w:r w:rsidR="00E12206" w:rsidRPr="004C5C6C">
        <w:rPr>
          <w:rFonts w:ascii="Garamond" w:hAnsi="Garamond"/>
        </w:rPr>
        <w:t xml:space="preserve"> </w:t>
      </w:r>
      <w:r w:rsidR="00FD5460" w:rsidRPr="0076365B">
        <w:rPr>
          <w:rFonts w:ascii="Garamond" w:hAnsi="Garamond"/>
        </w:rPr>
        <w:t xml:space="preserve">data sharing </w:t>
      </w:r>
      <w:r w:rsidR="001E1DB2" w:rsidRPr="0076365B">
        <w:rPr>
          <w:rFonts w:ascii="Garamond" w:hAnsi="Garamond"/>
        </w:rPr>
        <w:t xml:space="preserve">practices are still not the norm. </w:t>
      </w:r>
      <w:r w:rsidR="00E34150" w:rsidRPr="0076365B">
        <w:rPr>
          <w:rFonts w:ascii="Garamond" w:hAnsi="Garamond"/>
        </w:rPr>
        <w:t>According to</w:t>
      </w:r>
      <w:r w:rsidR="001E1DB2" w:rsidRPr="0076365B">
        <w:rPr>
          <w:rFonts w:ascii="Garamond" w:hAnsi="Garamond"/>
        </w:rPr>
        <w:t xml:space="preserve"> </w:t>
      </w:r>
      <w:r w:rsidR="00782281" w:rsidRPr="0076365B">
        <w:rPr>
          <w:rFonts w:ascii="Garamond" w:hAnsi="Garamond"/>
        </w:rPr>
        <w:t>C</w:t>
      </w:r>
      <w:r w:rsidR="001E1DB2" w:rsidRPr="00435491">
        <w:rPr>
          <w:rFonts w:ascii="Garamond" w:hAnsi="Garamond"/>
        </w:rPr>
        <w:t>linical</w:t>
      </w:r>
      <w:r w:rsidR="00782281" w:rsidRPr="00435491">
        <w:rPr>
          <w:rFonts w:ascii="Garamond" w:hAnsi="Garamond"/>
        </w:rPr>
        <w:t>T</w:t>
      </w:r>
      <w:r w:rsidR="001E1DB2" w:rsidRPr="00435491">
        <w:rPr>
          <w:rFonts w:ascii="Garamond" w:hAnsi="Garamond"/>
        </w:rPr>
        <w:t>rials.gov</w:t>
      </w:r>
      <w:r w:rsidR="00E34150" w:rsidRPr="00435491">
        <w:rPr>
          <w:rFonts w:ascii="Garamond" w:hAnsi="Garamond"/>
        </w:rPr>
        <w:t xml:space="preserve">, </w:t>
      </w:r>
      <w:r w:rsidR="001E1DB2" w:rsidRPr="005308CA">
        <w:rPr>
          <w:rFonts w:ascii="Garamond" w:hAnsi="Garamond"/>
        </w:rPr>
        <w:t>Gilead</w:t>
      </w:r>
      <w:r w:rsidR="00E34150" w:rsidRPr="005308CA">
        <w:rPr>
          <w:rFonts w:ascii="Garamond" w:hAnsi="Garamond"/>
        </w:rPr>
        <w:t xml:space="preserve"> has no plans to release data from its </w:t>
      </w:r>
      <w:r w:rsidR="00680ADD">
        <w:rPr>
          <w:rFonts w:ascii="Garamond" w:hAnsi="Garamond"/>
        </w:rPr>
        <w:t>phase 3</w:t>
      </w:r>
      <w:r w:rsidR="00680ADD" w:rsidRPr="005308CA">
        <w:rPr>
          <w:rFonts w:ascii="Garamond" w:hAnsi="Garamond"/>
        </w:rPr>
        <w:t xml:space="preserve"> </w:t>
      </w:r>
      <w:r w:rsidR="00E34150" w:rsidRPr="005308CA">
        <w:rPr>
          <w:rFonts w:ascii="Garamond" w:hAnsi="Garamond"/>
        </w:rPr>
        <w:t>trials of</w:t>
      </w:r>
      <w:r w:rsidR="001E1DB2" w:rsidRPr="005308CA">
        <w:rPr>
          <w:rFonts w:ascii="Garamond" w:hAnsi="Garamond"/>
        </w:rPr>
        <w:t xml:space="preserve"> </w:t>
      </w:r>
      <w:r w:rsidR="004C1E9D" w:rsidRPr="005308CA">
        <w:rPr>
          <w:rFonts w:ascii="Garamond" w:hAnsi="Garamond"/>
        </w:rPr>
        <w:t>r</w:t>
      </w:r>
      <w:r w:rsidR="001E1DB2" w:rsidRPr="005308CA">
        <w:rPr>
          <w:rFonts w:ascii="Garamond" w:hAnsi="Garamond"/>
        </w:rPr>
        <w:t>emdesivir</w:t>
      </w:r>
      <w:r w:rsidR="00680ADD">
        <w:rPr>
          <w:rFonts w:ascii="Garamond" w:hAnsi="Garamond"/>
        </w:rPr>
        <w:t xml:space="preserve"> (</w:t>
      </w:r>
      <w:r w:rsidR="00680ADD" w:rsidRPr="004F5E95">
        <w:rPr>
          <w:rFonts w:ascii="Garamond" w:hAnsi="Garamond"/>
        </w:rPr>
        <w:t>NCT04292730 and NCT04292899)</w:t>
      </w:r>
      <w:r w:rsidR="00F30A5E">
        <w:rPr>
          <w:rFonts w:ascii="Garamond" w:hAnsi="Garamond"/>
        </w:rPr>
        <w:t xml:space="preserve">. </w:t>
      </w:r>
    </w:p>
    <w:p w14:paraId="2CAE361A" w14:textId="690F63A4" w:rsidR="00312894" w:rsidRPr="0076365B" w:rsidRDefault="00680ADD" w:rsidP="00944104">
      <w:pPr>
        <w:ind w:firstLine="720"/>
        <w:rPr>
          <w:rFonts w:ascii="Garamond" w:hAnsi="Garamond"/>
        </w:rPr>
      </w:pPr>
      <w:r>
        <w:rPr>
          <w:rFonts w:ascii="Garamond" w:hAnsi="Garamond"/>
        </w:rPr>
        <w:t>Sponsors’ transparency and data sharing practices should be periodically monitored and publicly reported.</w:t>
      </w:r>
      <w:r>
        <w:rPr>
          <w:rFonts w:ascii="Garamond" w:hAnsi="Garamond"/>
        </w:rPr>
        <w:fldChar w:fldCharType="begin"/>
      </w:r>
      <w:r w:rsidR="004C6267">
        <w:rPr>
          <w:rFonts w:ascii="Garamond" w:hAnsi="Garamond"/>
        </w:rPr>
        <w:instrText xml:space="preserve"> ADDIN ZOTERO_ITEM CSL_CITATION {"citationID":"q5bZKHEm","properties":{"formattedCitation":"\\super 38\\nosupersub{}","plainCitation":"38","noteIndex":0},"citationItems":[{"id":731,"uris":["http://zotero.org/users/local/LpXke84i/items/PRH2JPKJ"],"uri":["http://zotero.org/users/local/LpXke84i/items/PRH2JPKJ"],"itemData":{"id":731,"type":"article-journal","abstract":"Objectives To develop and pilot a tool to measure and improve pharmaceutical companies’ clinical trial data sharing policies and practices.Design Cross sectional descriptive analysis.Setting Large pharmaceutical companies with novel drugs approved by the US Food and Drug Administration in 2015.Data sources Data sharing measures were adapted from 10 prominent data sharing guidelines from expert bodies and refined through a multi-stakeholder deliberative process engaging patients, industry, academics, regulators, and others. Data sharing practices and policies were assessed using data from ClinicalTrials.gov, Drugs@FDA, corporate websites, data sharing platforms and registries (eg, the Yale Open Data Access (YODA) Project and Clinical Study Data Request (CSDR)), and personal communication with drug companies.Main outcome measures Company level, multicomponent measure of accessibility of participant level clinical trial data (eg, analysis ready dataset and metadata); drug and trial level measures of registration, results reporting, and publication; company level overall transparency rankings; and feasibility of the measures and ranking tool to improve company data sharing policies and practices.Results Only 25% of large pharmaceutical companies fully met the data sharing measure. The median company data sharing score was 63% (interquartile range 58-85%). Given feedback and a chance to improve their policies to meet this measure, three companies made amendments, raising the percentage of companies in full compliance to 33% and the median company data sharing score to 80% (73-100%). The most common reasons companies did not initially satisfy the data sharing measure were failure to share data by the specified deadline (75%) and failure to report the number and outcome of their data requests. Across new drug applications, a median of 100% (interquartile range 91-100%) of trials in patients were registered, 65% (36-96%) reported results, 45% (30-84%) were published, and 95% (69-100%) were publicly available in some form by six months after FDA drug approval. When examining results on the drug level, less than half (42%) of reviewed drugs had results for all their new drug applications trials in patients publicly available in some form by six months after FDA approval.Conclusions It was feasible to develop a tool to measure data sharing policies and practices among large companies and have an impact in improving company practices. Among large companies, 25% made participant level trial data accessible to external investigators for new drug approvals in accordance with the current study’s measures; this proportion improved to 33% after applying the ranking tool. Other measures of trial transparency were higher. Some companies, however, have substantial room for improvement on transparency and data sharing of clinical trials.","container-title":"BMJ","page":"l4217","title":"Sharing of clinical trial data and results reporting practices among large pharmaceutical companies: cross sectional descriptive study and pilot of a tool to improve company practices","volume":"366","author":[{"family":"Miller","given":"Jennifer"},{"family":"Ross","given":"Joseph S."},{"family":"Wilenzick","given":"Marc"},{"family":"Mello","given":"Michelle M."}],"issued":{"date-parts":[["2019"]]}}}],"schema":"https://github.com/citation-style-language/schema/raw/master/csl-citation.json"} </w:instrText>
      </w:r>
      <w:r>
        <w:rPr>
          <w:rFonts w:ascii="Garamond" w:hAnsi="Garamond"/>
        </w:rPr>
        <w:fldChar w:fldCharType="separate"/>
      </w:r>
      <w:r w:rsidR="004C6267" w:rsidRPr="004C6267">
        <w:rPr>
          <w:rFonts w:ascii="Garamond" w:hAnsi="Garamond"/>
          <w:vertAlign w:val="superscript"/>
        </w:rPr>
        <w:t>38</w:t>
      </w:r>
      <w:r>
        <w:rPr>
          <w:rFonts w:ascii="Garamond" w:hAnsi="Garamond"/>
        </w:rPr>
        <w:fldChar w:fldCharType="end"/>
      </w:r>
      <w:r>
        <w:rPr>
          <w:rFonts w:ascii="Garamond" w:hAnsi="Garamond"/>
        </w:rPr>
        <w:t xml:space="preserve"> </w:t>
      </w:r>
      <w:r w:rsidR="00691763">
        <w:rPr>
          <w:rFonts w:ascii="Garamond" w:hAnsi="Garamond"/>
        </w:rPr>
        <w:t>Academic institutions should make data sharing an explicit criterion for promotion and tenure.</w:t>
      </w:r>
      <w:r w:rsidR="00691763">
        <w:rPr>
          <w:rFonts w:ascii="Garamond" w:hAnsi="Garamond"/>
        </w:rPr>
        <w:fldChar w:fldCharType="begin"/>
      </w:r>
      <w:r w:rsidR="004C6267">
        <w:rPr>
          <w:rFonts w:ascii="Garamond" w:hAnsi="Garamond"/>
        </w:rPr>
        <w:instrText xml:space="preserve"> ADDIN ZOTERO_ITEM CSL_CITATION {"citationID":"1YZwsTwc","properties":{"formattedCitation":"\\super 39\\nosupersub{}","plainCitation":"39","noteIndex":0},"citationItems":[{"id":964,"uris":["http://zotero.org/users/local/LpXke84i/items/6E2T7XH2"],"uri":["http://zotero.org/users/local/LpXke84i/items/6E2T7XH2"],"itemData":{"id":964,"type":"article-journal","abstract":"Objective To determine the presence of a set of pre-specified traditional and non-traditional criteria used to assess scientists for promotion and tenure in faculties of biomedical sciences among universities worldwide.Design Cross sectional study.Setting International sample of universities.Participants 170 randomly selected universities from the Leiden ranking of world universities list.Main outcome measure Presence of five traditional (for example, number of publications) and seven non-traditional (for example, data sharing) criteria in guidelines for assessing assistant professors, associate professors, and professors and the granting of tenure in institutions with biomedical faculties.Results A total of 146 institutions had faculties of biomedical sciences, and 92 had eligible guidelines available for review. Traditional criteria of peer reviewed publications, authorship order, journal impact factor, grant funding, and national or international reputation were mentioned in 95% (n=87), 37% (34), 28% (26), 67% (62), and 48% (44) of the guidelines, respectively. Conversely, among non-traditional criteria, only citations (any mention in 26%; n=24) and accommodations for employment leave (37%; 34) were relatively commonly mentioned. Mention of alternative metrics for sharing research (3%; n=3) and data sharing (1%; 1) was rare, and three criteria (publishing in open access mediums, registering research, and adhering to reporting guidelines) were not found in any guidelines reviewed. Among guidelines for assessing promotion to full professor, traditional criteria were more commonly reported than non-traditional criteria (traditional criteria 54.2%, non-traditional items 9.5%; mean difference 44.8%, 95% confidence interval 39.6% to 50.0%; P=0.001). Notable differences were observed across continents in whether guidelines were accessible (Australia 100% (6/6), North America 97% (28/29), Europe 50% (27/54), Asia 58% (29/50), South America 17% (1/6)), with more subtle differences in the use of specific criteria.Conclusions This study shows that the evaluation of scientists emphasises traditional criteria as opposed to non-traditional criteria. This may reinforce research practices that are known to be problematic while insufficiently supporting the conduct of better quality research and open science. Institutions should consider incentivising non-traditional criteria.Study registration Open Science Framework (https://osf.io/26ucp/?view_only=b80d2bc7416543639f577c1b8f756e44).","container-title":"BMJ","DOI":"10.1136/bmj.m2081","note":"publisher: BMJ Publishing Group Ltd\n_eprint: https://www.bmj.com/content/369/bmj.m2081.full.pdf","title":"Academic criteria for promotion and tenure in biomedical sciences faculties: cross sectional analysis of international sample of universities","URL":"https://www.bmj.com/content/369/bmj.m2081","volume":"369","author":[{"family":"Rice","given":"Danielle B"},{"family":"Raffoul","given":"Hana"},{"family":"Ioannidis","given":"John P A"},{"family":"Moher","given":"David"}],"issued":{"date-parts":[["2020"]]}}}],"schema":"https://github.com/citation-style-language/schema/raw/master/csl-citation.json"} </w:instrText>
      </w:r>
      <w:r w:rsidR="00691763">
        <w:rPr>
          <w:rFonts w:ascii="Garamond" w:hAnsi="Garamond"/>
        </w:rPr>
        <w:fldChar w:fldCharType="separate"/>
      </w:r>
      <w:r w:rsidR="004C6267" w:rsidRPr="004C6267">
        <w:rPr>
          <w:rFonts w:ascii="Garamond" w:hAnsi="Garamond"/>
          <w:vertAlign w:val="superscript"/>
        </w:rPr>
        <w:t>39</w:t>
      </w:r>
      <w:r w:rsidR="00691763">
        <w:rPr>
          <w:rFonts w:ascii="Garamond" w:hAnsi="Garamond"/>
        </w:rPr>
        <w:fldChar w:fldCharType="end"/>
      </w:r>
      <w:r w:rsidR="00691763">
        <w:rPr>
          <w:rFonts w:ascii="Garamond" w:hAnsi="Garamond"/>
        </w:rPr>
        <w:t xml:space="preserve"> </w:t>
      </w:r>
      <w:r w:rsidR="00312894" w:rsidRPr="004C5C6C">
        <w:rPr>
          <w:rFonts w:ascii="Garamond" w:hAnsi="Garamond"/>
        </w:rPr>
        <w:t>A</w:t>
      </w:r>
      <w:r w:rsidR="007C664A" w:rsidRPr="0076365B">
        <w:rPr>
          <w:rFonts w:ascii="Garamond" w:hAnsi="Garamond"/>
        </w:rPr>
        <w:t>ll trial</w:t>
      </w:r>
      <w:r w:rsidR="00E34150" w:rsidRPr="0076365B">
        <w:rPr>
          <w:rFonts w:ascii="Garamond" w:hAnsi="Garamond"/>
        </w:rPr>
        <w:t xml:space="preserve"> sponsors</w:t>
      </w:r>
      <w:r w:rsidR="00F36069">
        <w:rPr>
          <w:rFonts w:ascii="Garamond" w:hAnsi="Garamond"/>
        </w:rPr>
        <w:t>, including industry,</w:t>
      </w:r>
      <w:r w:rsidR="00E34150" w:rsidRPr="004C5C6C">
        <w:rPr>
          <w:rFonts w:ascii="Garamond" w:hAnsi="Garamond"/>
        </w:rPr>
        <w:t xml:space="preserve"> should pledge to share data rapidly</w:t>
      </w:r>
      <w:r w:rsidR="007C664A" w:rsidRPr="0076365B">
        <w:rPr>
          <w:rFonts w:ascii="Garamond" w:hAnsi="Garamond"/>
        </w:rPr>
        <w:t xml:space="preserve"> </w:t>
      </w:r>
      <w:r w:rsidR="00312894" w:rsidRPr="0076365B">
        <w:rPr>
          <w:rFonts w:ascii="Garamond" w:hAnsi="Garamond"/>
        </w:rPr>
        <w:t>through</w:t>
      </w:r>
      <w:r w:rsidR="007C664A" w:rsidRPr="0076365B">
        <w:rPr>
          <w:rFonts w:ascii="Garamond" w:hAnsi="Garamond"/>
        </w:rPr>
        <w:t xml:space="preserve"> one of the existing platforms (e.g., </w:t>
      </w:r>
      <w:r w:rsidR="00484CD4" w:rsidRPr="0076365B">
        <w:rPr>
          <w:rFonts w:ascii="Garamond" w:hAnsi="Garamond"/>
        </w:rPr>
        <w:t>Infectious Diseases Data Observatory</w:t>
      </w:r>
      <w:r w:rsidR="007C664A" w:rsidRPr="0076365B">
        <w:rPr>
          <w:rFonts w:ascii="Garamond" w:hAnsi="Garamond"/>
        </w:rPr>
        <w:t xml:space="preserve">). </w:t>
      </w:r>
      <w:r w:rsidR="006036A5" w:rsidRPr="004F5E95">
        <w:rPr>
          <w:rFonts w:ascii="Garamond" w:hAnsi="Garamond"/>
          <w:i/>
          <w:iCs/>
        </w:rPr>
        <w:t>Post</w:t>
      </w:r>
      <w:r w:rsidR="00B86646">
        <w:rPr>
          <w:rFonts w:ascii="Garamond" w:hAnsi="Garamond"/>
          <w:i/>
          <w:iCs/>
        </w:rPr>
        <w:t xml:space="preserve"> </w:t>
      </w:r>
      <w:r w:rsidR="006036A5" w:rsidRPr="004F5E95">
        <w:rPr>
          <w:rFonts w:ascii="Garamond" w:hAnsi="Garamond"/>
          <w:i/>
          <w:iCs/>
        </w:rPr>
        <w:t>hoc</w:t>
      </w:r>
      <w:r w:rsidR="006036A5">
        <w:rPr>
          <w:rFonts w:ascii="Garamond" w:hAnsi="Garamond"/>
        </w:rPr>
        <w:t xml:space="preserve"> requests for data are associated with poor retrieval rates in meta-analyses.</w:t>
      </w:r>
      <w:r w:rsidR="006036A5">
        <w:rPr>
          <w:rFonts w:ascii="Garamond" w:hAnsi="Garamond"/>
        </w:rPr>
        <w:fldChar w:fldCharType="begin"/>
      </w:r>
      <w:r w:rsidR="004C6267">
        <w:rPr>
          <w:rFonts w:ascii="Garamond" w:hAnsi="Garamond"/>
        </w:rPr>
        <w:instrText xml:space="preserve"> ADDIN ZOTERO_ITEM CSL_CITATION {"citationID":"P2YoJbji","properties":{"formattedCitation":"\\super 40\\nosupersub{}","plainCitation":"40","noteIndex":0},"citationItems":[{"id":965,"uris":["http://zotero.org/users/local/LpXke84i/items/7VJ76YW3"],"uri":["http://zotero.org/users/local/LpXke84i/items/7VJ76YW3"],"itemData":{"id":965,"type":"article-journal","abstract":"Objective To investigate whether the success rate of retrieving individual participant data (IPD) for use in IPD meta-analyses has increased over time, and to explore the characteristics associated with IPD retrieval.Design Systematic review of published IPD meta-analyses, supplemented by a reflection of the Cochrane Epilepsy Group’s 20 years’ experience of requesting IPD.Data sources Medline, CENTRAL, Scopus, Web of Science, CINAHL Plus, and PsycINFO.Eligibility criteria for study selection IPD meta-analyses of studies of all designs and all clinical areas published in English.Results 760 IPD meta-analyses which identified studies by systematic methods that had been published between 1987 and 2015 were included. Only 188 (25%) of these IPD meta-analyses retrieved 100% of the eligible IPD for analysis, with 324 (43%) of these IPD meta-analyses retrieving 80% or more of relevant IPD. There is insufficient evidence to suggest that IPD retrieval rates have improved over time. IPD meta-analyses that included only randomised trials, had an authorship policy, included fewer eligible participants, and were conducted outside of the Cochrane Database of Systematic Reviews were associated with a high or complete IPD retrieval rate. There was no association between the source of funding of the IPD meta-analyses and IPD retrieval rate. The IPD retrieval rate of the Cochrane Epilepsy Group has declined from 83% (up to 2005) to 65% (between 2012 and 2015) and the reported reasons for lack of data availability have changed in recent years.Conclusions IPD meta-analyses are considered to be the “gold standard” for the synthesis of data from clinical research studies; however, only 25% of published IPD meta-analyses have had access to all IPD.","container-title":"BMJ","DOI":"10.1136/bmj.j1390","ISSN":"0959-8138","note":"publisher: BMJ Publishing Group Ltd\n_eprint: https://www.bmj.com/content/357/bmj.j1390.full.pdf","title":"Exploring changes over time and characteristics associated with data retrieval across individual participant data meta-analyses: systematic review","URL":"https://www.bmj.com/content/357/bmj.j1390","volume":"357","author":[{"family":"Nevitt","given":"Sarah J"},{"family":"Marson","given":"Anthony G"},{"family":"Davie","given":"Becky"},{"family":"Reynolds","given":"Sally"},{"family":"Williams","given":"Lisa"},{"family":"Smith","given":"Catrin Tudur"}],"issued":{"date-parts":[["2017"]]}}}],"schema":"https://github.com/citation-style-language/schema/raw/master/csl-citation.json"} </w:instrText>
      </w:r>
      <w:r w:rsidR="006036A5">
        <w:rPr>
          <w:rFonts w:ascii="Garamond" w:hAnsi="Garamond"/>
        </w:rPr>
        <w:fldChar w:fldCharType="separate"/>
      </w:r>
      <w:r w:rsidR="004C6267" w:rsidRPr="004C6267">
        <w:rPr>
          <w:rFonts w:ascii="Garamond" w:hAnsi="Garamond"/>
          <w:vertAlign w:val="superscript"/>
        </w:rPr>
        <w:t>40</w:t>
      </w:r>
      <w:r w:rsidR="006036A5">
        <w:rPr>
          <w:rFonts w:ascii="Garamond" w:hAnsi="Garamond"/>
        </w:rPr>
        <w:fldChar w:fldCharType="end"/>
      </w:r>
      <w:r w:rsidR="006036A5">
        <w:rPr>
          <w:rFonts w:ascii="Garamond" w:hAnsi="Garamond"/>
        </w:rPr>
        <w:t xml:space="preserve"> Therefore, d</w:t>
      </w:r>
      <w:r w:rsidR="00E70856">
        <w:rPr>
          <w:rFonts w:ascii="Garamond" w:hAnsi="Garamond"/>
        </w:rPr>
        <w:t xml:space="preserve">ata sharing plans and agreements should be finalised in advance. </w:t>
      </w:r>
      <w:r w:rsidR="00C20744" w:rsidRPr="004C5C6C">
        <w:rPr>
          <w:rFonts w:ascii="Garamond" w:hAnsi="Garamond"/>
        </w:rPr>
        <w:t xml:space="preserve">Ideally </w:t>
      </w:r>
      <w:r w:rsidR="001745CE">
        <w:rPr>
          <w:rFonts w:ascii="Garamond" w:hAnsi="Garamond"/>
        </w:rPr>
        <w:t>data</w:t>
      </w:r>
      <w:r w:rsidR="001745CE" w:rsidRPr="004C5C6C">
        <w:rPr>
          <w:rFonts w:ascii="Garamond" w:hAnsi="Garamond"/>
        </w:rPr>
        <w:t xml:space="preserve"> </w:t>
      </w:r>
      <w:r w:rsidR="00C20744" w:rsidRPr="0076365B">
        <w:rPr>
          <w:rFonts w:ascii="Garamond" w:hAnsi="Garamond"/>
        </w:rPr>
        <w:t xml:space="preserve">sharing should </w:t>
      </w:r>
      <w:r w:rsidR="00691763">
        <w:rPr>
          <w:rFonts w:ascii="Garamond" w:hAnsi="Garamond"/>
        </w:rPr>
        <w:t>accompany trial publication</w:t>
      </w:r>
      <w:r w:rsidR="00C20744" w:rsidRPr="004C5C6C">
        <w:rPr>
          <w:rFonts w:ascii="Garamond" w:hAnsi="Garamond"/>
        </w:rPr>
        <w:t xml:space="preserve">. </w:t>
      </w:r>
      <w:r w:rsidR="00F36069">
        <w:rPr>
          <w:rFonts w:ascii="Garamond" w:hAnsi="Garamond"/>
        </w:rPr>
        <w:t>When this is not feasible, data sharing should be prioritised for groups or institutions with plans to conduct comparative effectiveness assessments.</w:t>
      </w:r>
      <w:r w:rsidR="00E70856">
        <w:rPr>
          <w:rFonts w:ascii="Garamond" w:hAnsi="Garamond"/>
        </w:rPr>
        <w:t xml:space="preserve"> </w:t>
      </w:r>
      <w:r w:rsidR="00312894" w:rsidRPr="004C5C6C">
        <w:rPr>
          <w:rFonts w:ascii="Garamond" w:hAnsi="Garamond"/>
        </w:rPr>
        <w:t>New mode</w:t>
      </w:r>
      <w:r w:rsidR="00312894" w:rsidRPr="0076365B">
        <w:rPr>
          <w:rFonts w:ascii="Garamond" w:hAnsi="Garamond"/>
        </w:rPr>
        <w:t xml:space="preserve">ls of data sharing could </w:t>
      </w:r>
      <w:r w:rsidR="00300297" w:rsidRPr="0076365B">
        <w:rPr>
          <w:rFonts w:ascii="Garamond" w:hAnsi="Garamond"/>
        </w:rPr>
        <w:t xml:space="preserve">also </w:t>
      </w:r>
      <w:r w:rsidR="00312894" w:rsidRPr="0076365B">
        <w:rPr>
          <w:rFonts w:ascii="Garamond" w:hAnsi="Garamond"/>
        </w:rPr>
        <w:t xml:space="preserve">improve </w:t>
      </w:r>
      <w:r w:rsidR="00717B55" w:rsidRPr="0076365B">
        <w:rPr>
          <w:rFonts w:ascii="Garamond" w:hAnsi="Garamond"/>
        </w:rPr>
        <w:t xml:space="preserve">trial </w:t>
      </w:r>
      <w:r w:rsidR="00312894" w:rsidRPr="00435491">
        <w:rPr>
          <w:rFonts w:ascii="Garamond" w:hAnsi="Garamond"/>
        </w:rPr>
        <w:t>efficiency. For example, r</w:t>
      </w:r>
      <w:r w:rsidR="007C664A" w:rsidRPr="00435491">
        <w:rPr>
          <w:rFonts w:ascii="Garamond" w:hAnsi="Garamond"/>
        </w:rPr>
        <w:t xml:space="preserve">eal-time data sharing </w:t>
      </w:r>
      <w:r w:rsidR="00312894" w:rsidRPr="00435491">
        <w:rPr>
          <w:rFonts w:ascii="Garamond" w:hAnsi="Garamond"/>
        </w:rPr>
        <w:t xml:space="preserve">across ongoing trials could </w:t>
      </w:r>
      <w:r w:rsidR="00782281" w:rsidRPr="00435491">
        <w:rPr>
          <w:rFonts w:ascii="Garamond" w:hAnsi="Garamond"/>
        </w:rPr>
        <w:t>provide early identification o</w:t>
      </w:r>
      <w:r w:rsidR="00782281" w:rsidRPr="005308CA">
        <w:rPr>
          <w:rFonts w:ascii="Garamond" w:hAnsi="Garamond"/>
        </w:rPr>
        <w:t xml:space="preserve">f </w:t>
      </w:r>
      <w:r w:rsidR="00312894" w:rsidRPr="005308CA">
        <w:rPr>
          <w:rFonts w:ascii="Garamond" w:hAnsi="Garamond"/>
        </w:rPr>
        <w:t>efficacy and safety signals.</w:t>
      </w:r>
      <w:r w:rsidR="00312894" w:rsidRPr="004C5C6C">
        <w:rPr>
          <w:rFonts w:ascii="Garamond" w:hAnsi="Garamond"/>
        </w:rPr>
        <w:t xml:space="preserve"> </w:t>
      </w:r>
      <w:r w:rsidR="00C20744" w:rsidRPr="0076365B">
        <w:rPr>
          <w:rFonts w:ascii="Garamond" w:hAnsi="Garamond"/>
        </w:rPr>
        <w:t xml:space="preserve">However, such practices may be challenging since they may override the integrity of individual </w:t>
      </w:r>
      <w:proofErr w:type="gramStart"/>
      <w:r w:rsidR="00C20744" w:rsidRPr="0076365B">
        <w:rPr>
          <w:rFonts w:ascii="Garamond" w:hAnsi="Garamond"/>
        </w:rPr>
        <w:t>trials, and</w:t>
      </w:r>
      <w:proofErr w:type="gramEnd"/>
      <w:r w:rsidR="00C20744" w:rsidRPr="0076365B">
        <w:rPr>
          <w:rFonts w:ascii="Garamond" w:hAnsi="Garamond"/>
        </w:rPr>
        <w:t xml:space="preserve"> should therefore be agreed in advance and reflected in protocols. </w:t>
      </w:r>
    </w:p>
    <w:p w14:paraId="07CCC2E6" w14:textId="77777777" w:rsidR="00F1354B" w:rsidRPr="00435491" w:rsidRDefault="00F1354B" w:rsidP="00F1354B">
      <w:pPr>
        <w:rPr>
          <w:rFonts w:ascii="Garamond" w:hAnsi="Garamond"/>
        </w:rPr>
      </w:pPr>
    </w:p>
    <w:p w14:paraId="52B7DA49" w14:textId="2C5988E1" w:rsidR="00C35098" w:rsidRPr="005308CA" w:rsidRDefault="001E1DB2" w:rsidP="00C35098">
      <w:pPr>
        <w:pStyle w:val="ListParagraph"/>
        <w:numPr>
          <w:ilvl w:val="0"/>
          <w:numId w:val="3"/>
        </w:numPr>
        <w:rPr>
          <w:rFonts w:ascii="Garamond" w:hAnsi="Garamond"/>
          <w:i/>
          <w:iCs/>
        </w:rPr>
      </w:pPr>
      <w:r w:rsidRPr="00435491">
        <w:rPr>
          <w:rFonts w:ascii="Garamond" w:hAnsi="Garamond"/>
          <w:i/>
          <w:iCs/>
        </w:rPr>
        <w:t>Assessing</w:t>
      </w:r>
      <w:r w:rsidR="00EF1564" w:rsidRPr="00435491">
        <w:rPr>
          <w:rFonts w:ascii="Garamond" w:hAnsi="Garamond"/>
          <w:i/>
          <w:iCs/>
        </w:rPr>
        <w:t xml:space="preserve"> comparative effectiveness</w:t>
      </w:r>
    </w:p>
    <w:p w14:paraId="4239611E" w14:textId="0267C686" w:rsidR="00B50A58" w:rsidRDefault="00462FCD" w:rsidP="00944104">
      <w:pPr>
        <w:ind w:firstLine="720"/>
        <w:rPr>
          <w:rFonts w:ascii="Garamond" w:hAnsi="Garamond"/>
        </w:rPr>
      </w:pPr>
      <w:r>
        <w:rPr>
          <w:rFonts w:ascii="Garamond" w:hAnsi="Garamond"/>
        </w:rPr>
        <w:t xml:space="preserve">No single RCT can compare the efficacy of all potential candidate therapeutics for COVID-19. </w:t>
      </w:r>
      <w:r w:rsidR="007E1050">
        <w:rPr>
          <w:rFonts w:ascii="Garamond" w:hAnsi="Garamond"/>
        </w:rPr>
        <w:t>Inevitably</w:t>
      </w:r>
      <w:r w:rsidR="00A05CA0">
        <w:rPr>
          <w:rFonts w:ascii="Garamond" w:hAnsi="Garamond"/>
        </w:rPr>
        <w:t>, i</w:t>
      </w:r>
      <w:r>
        <w:rPr>
          <w:rFonts w:ascii="Garamond" w:hAnsi="Garamond"/>
        </w:rPr>
        <w:t xml:space="preserve">ndirect comparisons across trials </w:t>
      </w:r>
      <w:r w:rsidR="007E1050">
        <w:rPr>
          <w:rFonts w:ascii="Garamond" w:hAnsi="Garamond"/>
        </w:rPr>
        <w:t>will</w:t>
      </w:r>
      <w:r>
        <w:rPr>
          <w:rFonts w:ascii="Garamond" w:hAnsi="Garamond"/>
        </w:rPr>
        <w:t xml:space="preserve"> generate evidence on the comparative benefits and harms of different products. </w:t>
      </w:r>
      <w:r w:rsidR="007C664A" w:rsidRPr="005308CA">
        <w:rPr>
          <w:rFonts w:ascii="Garamond" w:hAnsi="Garamond"/>
        </w:rPr>
        <w:t xml:space="preserve">Several groups are </w:t>
      </w:r>
      <w:r w:rsidR="007150C0" w:rsidRPr="005308CA">
        <w:rPr>
          <w:rFonts w:ascii="Garamond" w:hAnsi="Garamond"/>
        </w:rPr>
        <w:t xml:space="preserve">working </w:t>
      </w:r>
      <w:r w:rsidR="00B50A58">
        <w:rPr>
          <w:rFonts w:ascii="Garamond" w:hAnsi="Garamond"/>
        </w:rPr>
        <w:t xml:space="preserve">in parallel </w:t>
      </w:r>
      <w:r w:rsidR="007C664A" w:rsidRPr="005308CA">
        <w:rPr>
          <w:rFonts w:ascii="Garamond" w:hAnsi="Garamond"/>
        </w:rPr>
        <w:t>to</w:t>
      </w:r>
      <w:r w:rsidR="00E6562B" w:rsidRPr="005308CA">
        <w:rPr>
          <w:rFonts w:ascii="Garamond" w:hAnsi="Garamond"/>
        </w:rPr>
        <w:t xml:space="preserve"> </w:t>
      </w:r>
      <w:r w:rsidR="00222682" w:rsidRPr="005308CA">
        <w:rPr>
          <w:rFonts w:ascii="Garamond" w:hAnsi="Garamond"/>
        </w:rPr>
        <w:t>identify trials</w:t>
      </w:r>
      <w:r w:rsidR="00E6562B" w:rsidRPr="005308CA">
        <w:rPr>
          <w:rFonts w:ascii="Garamond" w:hAnsi="Garamond"/>
        </w:rPr>
        <w:t xml:space="preserve"> and pool results</w:t>
      </w:r>
      <w:r w:rsidR="00A244DC" w:rsidRPr="005308CA">
        <w:rPr>
          <w:rFonts w:ascii="Garamond" w:hAnsi="Garamond"/>
        </w:rPr>
        <w:t xml:space="preserve"> </w:t>
      </w:r>
      <w:r w:rsidR="00734A77" w:rsidRPr="005308CA">
        <w:rPr>
          <w:rFonts w:ascii="Garamond" w:hAnsi="Garamond"/>
        </w:rPr>
        <w:t xml:space="preserve">in </w:t>
      </w:r>
      <w:r w:rsidR="004C1E9D" w:rsidRPr="005308CA">
        <w:rPr>
          <w:rFonts w:ascii="Garamond" w:hAnsi="Garamond"/>
        </w:rPr>
        <w:t xml:space="preserve">network meta-analyses </w:t>
      </w:r>
      <w:r w:rsidR="00A244DC" w:rsidRPr="005308CA">
        <w:rPr>
          <w:rFonts w:ascii="Garamond" w:hAnsi="Garamond"/>
        </w:rPr>
        <w:t>as they emerge</w:t>
      </w:r>
      <w:r w:rsidR="00E6562B" w:rsidRPr="005308CA">
        <w:rPr>
          <w:rFonts w:ascii="Garamond" w:hAnsi="Garamond"/>
        </w:rPr>
        <w:t>.</w:t>
      </w:r>
      <w:r w:rsidR="00300297" w:rsidRPr="0076365B">
        <w:rPr>
          <w:rFonts w:ascii="Garamond" w:hAnsi="Garamond"/>
        </w:rPr>
        <w:fldChar w:fldCharType="begin"/>
      </w:r>
      <w:r w:rsidR="008F4A1B">
        <w:rPr>
          <w:rFonts w:ascii="Garamond" w:hAnsi="Garamond"/>
        </w:rPr>
        <w:instrText xml:space="preserve"> ADDIN ZOTERO_ITEM CSL_CITATION {"citationID":"qLLSd4F3","properties":{"formattedCitation":"\\super 41,42\\nosupersub{}","plainCitation":"41,42","noteIndex":0},"citationItems":[{"id":920,"uris":["http://zotero.org/users/local/LpXke84i/items/3I6AWD5W"],"uri":["http://zotero.org/users/local/LpXke84i/items/3I6AWD5W"],"itemData":{"id":920,"type":"report","title":"Living mapping and living systematic review of Covid-19 studies","URL":"https://covid-nma.com/the-project/","accessed":{"date-parts":[["2020",5,1]]}}},{"id":986,"uris":["http://zotero.org/users/local/LpXke84i/items/2VJPFS8S"],"uri":["http://zotero.org/users/local/LpXke84i/items/2VJPFS8S"],"itemData":{"id":986,"type":"article-journal","abstract":"Objective To compare the effects of treatments for coronavirus disease 2019 (covid-19).Design Living systematic review and network meta-analysis.Data sources US Centers for Disease Control and Prevention COVID-19 Research Articles Downloadable Database, which includes 25 electronic databases and six additional Chinese databases to 20 July 2020.Study selection Randomised clinical trials in which people with suspected, probable, or confirmed covid-19 were randomised to drug treatment or to standard care or placebo. Pairs of reviewers independently screened potentially eligible articles.Methods After duplicate data abstraction, a bayesian random effects network meta-analysis was conducted. Risk of bias of the included studies was assessed using a modification of the Cochrane risk of bias 2.0 tool, and the certainty of the evidence using the grading of recommendations assessment, development and evaluation (GRADE) approach. For each outcome, interventions were classified in groups from the most to the least beneficial or harmful following GRADE guidance.Results 23 randomised controlled trials were included in the analysis performed on 26 June 2020. The certainty of the evidence for most comparisons was very low because of risk of bias (lack of blinding) and serious imprecision. Glucocorticoids were the only intervention with evidence for a reduction in death compared with standard care (risk difference 37 fewer per 1000 patients, 95% credible interval 63 fewer to 11 fewer, moderate certainty) and mechanical ventilation (31 fewer per 1000 patients, 47 fewer to 9 fewer, moderate certainty). These estimates are based on direct evidence; network estimates for glucocorticoids compared with standard care were less precise because of network heterogeneity. Three drugs might reduce symptom duration compared with standard care: hydroxychloroquine (mean difference -4.5 days, low certainty), remdesivir (-2.6 days, moderate certainty), and lopinavir-ritonavir (-1.2 days, low certainty). Hydroxychloroquine might increase the risk of adverse events compared with the other interventions, and remdesivir probably does not substantially increase the risk of adverse effects leading to drug discontinuation. No other interventions included enough patients to meaningfully interpret adverse effects leading to drug discontinuation.Conclusion Glucocorticoids probably reduce mortality and mechanical ventilation in patients with covid-19 compared with standard care. The effectiveness of most interventions is uncertain because most of the randomised controlled trials so far have been small and have important study limitations.Systematic review registration This review was not registered. The protocol is included as a supplement.Readers’ note This article is a living systematic review that will be updated to reflect emerging evidence. Updates may occur for up to two years from the date of original publication.","container-title":"BMJ","DOI":"10.1136/bmj.m2980","note":"publisher: BMJ Publishing Group Ltd\n_eprint: https://www.bmj.com/content/370/bmj.m2980.full.pdf","title":"Drug treatments for covid-19: living systematic review and network meta-analysis","URL":"https://www.bmj.com/content/370/bmj.m2980","volume":"370","author":[{"family":"Siemieniuk","given":"Reed AC"},{"family":"Bartoszko","given":"Jessica J"},{"family":"Ge","given":"Long"},{"family":"Zeraatkar","given":"Dena"},{"family":"Izcovich","given":"Ariel"},{"family":"Pardo-Hernandez","given":"Hector"},{"family":"Rochwerg","given":"Bram"},{"family":"Lamontagne","given":"Francois"},{"family":"Han","given":"Mi Ah"},{"family":"Kum","given":"Elena"},{"family":"Liu","given":"Qin"},{"family":"Agarwal","given":"Arnav"},{"family":"Agoritsas","given":"Thomas"},{"family":"Alexander","given":"Paul"},{"family":"Chu","given":"Derek K"},{"family":"Couban","given":"Rachel"},{"family":"Darzi","given":"Andrea"},{"family":"Devji","given":"Tahira"},{"family":"Fang","given":"Bo"},{"family":"Fang","given":"Carmen"},{"family":"Flottorp","given":"Signe Agnes"},{"family":"Foroutan","given":"Farid"},{"family":"Heels-Ansdell","given":"Diane"},{"family":"Honarmand","given":"Kimia"},{"family":"Hou","given":"Liangying"},{"family":"Hou","given":"Xiaorong"},{"family":"Ibrahim","given":"Quazi"},{"family":"Loeb","given":"Mark"},{"family":"Marcucci","given":"Maura"},{"family":"McLeod","given":"Shelley L"},{"family":"Motaghi","given":"Sharhzad"},{"family":"Murthy","given":"Srinivas"},{"family":"Mustafa","given":"Reem A"},{"family":"Neary","given":"John D"},{"family":"Qasim","given":"Anila"},{"family":"Rada","given":"Gabriel"},{"family":"Riaz","given":"Irbaz Bin"},{"family":"Sadeghirad","given":"Behnam"},{"family":"Sekercioglu","given":"Nigar"},{"family":"Sheng","given":"Lulu"},{"family":"Switzer","given":"Charlotte"},{"family":"Tendal","given":"Britta"},{"family":"Thabane","given":"Lehana"},{"family":"Tomlinson","given":"George"},{"family":"Turner","given":"Tari"},{"family":"Vandvik","given":"Per O"},{"family":"Vernooij","given":"Robin WM"},{"family":"Viteri-García","given":"Andrés"},{"family":"Wang","given":"Ying"},{"family":"Yao","given":"Liang"},{"family":"Ye","given":"Zhikang"},{"family":"Guyatt","given":"Gordon H"},{"family":"Brignardello-Petersen","given":"Romina"}],"issued":{"date-parts":[["2020"]]}}}],"schema":"https://github.com/citation-style-language/schema/raw/master/csl-citation.json"} </w:instrText>
      </w:r>
      <w:r w:rsidR="00300297" w:rsidRPr="0076365B">
        <w:rPr>
          <w:rFonts w:ascii="Garamond" w:hAnsi="Garamond"/>
        </w:rPr>
        <w:fldChar w:fldCharType="separate"/>
      </w:r>
      <w:r w:rsidR="008F4A1B" w:rsidRPr="008F4A1B">
        <w:rPr>
          <w:rFonts w:ascii="Garamond" w:hAnsi="Garamond"/>
          <w:vertAlign w:val="superscript"/>
        </w:rPr>
        <w:t>41,42</w:t>
      </w:r>
      <w:r w:rsidR="00300297" w:rsidRPr="0076365B">
        <w:rPr>
          <w:rFonts w:ascii="Garamond" w:hAnsi="Garamond"/>
        </w:rPr>
        <w:fldChar w:fldCharType="end"/>
      </w:r>
      <w:r w:rsidR="00E6562B" w:rsidRPr="004C5C6C">
        <w:rPr>
          <w:rFonts w:ascii="Garamond" w:hAnsi="Garamond"/>
        </w:rPr>
        <w:t xml:space="preserve"> Such ‘living</w:t>
      </w:r>
      <w:r w:rsidR="00300297" w:rsidRPr="0076365B">
        <w:rPr>
          <w:rFonts w:ascii="Garamond" w:hAnsi="Garamond"/>
        </w:rPr>
        <w:t xml:space="preserve">’ syntheses </w:t>
      </w:r>
      <w:r w:rsidR="00B50A58">
        <w:rPr>
          <w:rFonts w:ascii="Garamond" w:hAnsi="Garamond"/>
        </w:rPr>
        <w:t xml:space="preserve">could </w:t>
      </w:r>
      <w:r w:rsidR="00E6562B" w:rsidRPr="0076365B">
        <w:rPr>
          <w:rFonts w:ascii="Garamond" w:hAnsi="Garamond"/>
        </w:rPr>
        <w:t>provide useful evidence</w:t>
      </w:r>
      <w:r w:rsidR="00F72524" w:rsidRPr="0076365B">
        <w:rPr>
          <w:rFonts w:ascii="Garamond" w:hAnsi="Garamond"/>
        </w:rPr>
        <w:t>,</w:t>
      </w:r>
      <w:r w:rsidR="00E6562B" w:rsidRPr="0076365B">
        <w:rPr>
          <w:rFonts w:ascii="Garamond" w:hAnsi="Garamond"/>
        </w:rPr>
        <w:t xml:space="preserve"> but e</w:t>
      </w:r>
      <w:r w:rsidR="00C35098" w:rsidRPr="0076365B">
        <w:rPr>
          <w:rFonts w:ascii="Garamond" w:hAnsi="Garamond"/>
        </w:rPr>
        <w:t xml:space="preserve">ven small differences in </w:t>
      </w:r>
      <w:r w:rsidR="00300297" w:rsidRPr="0076365B">
        <w:rPr>
          <w:rFonts w:ascii="Garamond" w:hAnsi="Garamond"/>
        </w:rPr>
        <w:t xml:space="preserve">study </w:t>
      </w:r>
      <w:r w:rsidR="00C35098" w:rsidRPr="0076365B">
        <w:rPr>
          <w:rFonts w:ascii="Garamond" w:hAnsi="Garamond"/>
        </w:rPr>
        <w:t>eligibility criteria and analytic strate</w:t>
      </w:r>
      <w:r w:rsidR="00C35098" w:rsidRPr="00435491">
        <w:rPr>
          <w:rFonts w:ascii="Garamond" w:hAnsi="Garamond"/>
        </w:rPr>
        <w:t>gies may yield conflicting results</w:t>
      </w:r>
      <w:r w:rsidR="007150C0" w:rsidRPr="00435491">
        <w:rPr>
          <w:rFonts w:ascii="Garamond" w:hAnsi="Garamond"/>
        </w:rPr>
        <w:t>,</w:t>
      </w:r>
      <w:r w:rsidR="00312894" w:rsidRPr="0076365B">
        <w:rPr>
          <w:rFonts w:ascii="Garamond" w:hAnsi="Garamond"/>
        </w:rPr>
        <w:fldChar w:fldCharType="begin"/>
      </w:r>
      <w:r w:rsidR="008F4A1B">
        <w:rPr>
          <w:rFonts w:ascii="Garamond" w:hAnsi="Garamond"/>
        </w:rPr>
        <w:instrText xml:space="preserve"> ADDIN ZOTERO_ITEM CSL_CITATION {"citationID":"Ue5iI8Hr","properties":{"formattedCitation":"\\super 43\\nosupersub{}","plainCitation":"43","noteIndex":0},"citationItems":[{"id":915,"uris":["http://zotero.org/users/local/LpXke84i/items/VSHXY8HR"],"uri":["http://zotero.org/users/local/LpXke84i/items/VSHXY8HR"],"itemData":{"id":915,"type":"article-journal","abstract":"IMPORTANCE: A persistent dilemma when performing meta-analyses is whether all available trials should be included in the meta-analysis. OBJECTIVES: To compare  treatment outcomes estimated by meta-analysis of all trials and several alternative analytic strategies: single most precise trial (ie, trial with the narrowest confidence interval), meta-analysis restricted to the 25% largest trials, limit meta-analysis (a meta-analysis model adjusted for small-study effect), and meta-analysis restricted to trials at low overall risk of bias. DATA SOURCES: One hundred sixty-three meta-analyses published between 2008 and 2010 in high-impact-factor journals and between 2011 and 2013 in the Cochrane Database of Systematic Reviews: 92 (705 randomized clinical trials [RCTs]) with subjective outcomes and 71 (535 RCTs) with objective outcomes. DATA SYNTHESIS: For each meta-analysis, the difference in treatment outcomes between meta-analysis of all  trials and each alternative strategy, expressed as a ratio of odds ratios (ROR),  was assessed considering the dependency between strategies. A difference greater  than 30% was considered substantial. RORs were combined by random-effects meta-analysis models to obtain an average difference across the sample. An ROR greater than 1 indicates larger treatment outcomes with meta-analysis of all trials. Subjective and objective outcomes were analyzed separately. RESULTS: Treatment outcomes were larger in the meta-analysis of all trials than in the single most precise trial (combined ROR, 1.13 [95% CI, 1.07-1.19]) for subjective outcomes and 1.03 (95% CI, 1.01-1.05) for objective outcomes). The difference in  treatment outcomes between these strategies was substantial in 47 of 92 (51%) meta-analyses of subjective outcomes (meta-analysis of all trials showing larger  outcomes in 40/47) and in 28 of 71 (39%) meta-analyses of objective outcomes (meta-analysis of all trials showing larger outcomes in 21/28). The combined ROR  for subjective and objective outcomes was, respectively, 1.08 (95% CI, 1.04-1.13) and 1.03 (95% CI, 1.00-1.06) when comparing meta-analysis of all trials and meta-analysis of the 25% largest trials, 1.17 (95% CI, 1.11-1.22) and 1.13 (95% CI, 0.82-1.55) when comparing meta-analysis of all trials and limit meta-analysis, and 0.94 (95% CI, 0.86-1.04) and 1.03 (95% CI, 1.00-1.06) when comparing meta-analysis of all trials and meta-analysis restricted to trials at low risk of bias. CONCLUSIONS AND RELEVANCE: Estimation of treatment outcomes in  meta-analyses differs depending on the strategy used. This instability in findings can result in major alterations in the conclusions derived from the analysis and underlines the need for systematic sensitivity analyses.","container-title":"JAMA","DOI":"10.1001/jama.2014.8166","ISSN":"1538-3598 0098-7484","issue":"6","journalAbbreviation":"JAMA","language":"eng","note":"publisher-place: United States\nPMID: 25117131","page":"623-630","title":"Association between analytic strategy and estimates of treatment outcomes in meta-analyses.","volume":"312","author":[{"family":"Dechartres","given":"Agnes"},{"family":"Altman","given":"Douglas G."},{"family":"Trinquart","given":"Ludovic"},{"family":"Boutron","given":"Isabelle"},{"family":"Ravaud","given":"Philippe"}],"issued":{"date-parts":[["2014",8,13]]}}}],"schema":"https://github.com/citation-style-language/schema/raw/master/csl-citation.json"} </w:instrText>
      </w:r>
      <w:r w:rsidR="00312894" w:rsidRPr="0076365B">
        <w:rPr>
          <w:rFonts w:ascii="Garamond" w:hAnsi="Garamond"/>
        </w:rPr>
        <w:fldChar w:fldCharType="separate"/>
      </w:r>
      <w:r w:rsidR="008F4A1B" w:rsidRPr="008F4A1B">
        <w:rPr>
          <w:rFonts w:ascii="Garamond" w:hAnsi="Garamond"/>
          <w:vertAlign w:val="superscript"/>
        </w:rPr>
        <w:t>43</w:t>
      </w:r>
      <w:r w:rsidR="00312894" w:rsidRPr="0076365B">
        <w:rPr>
          <w:rFonts w:ascii="Garamond" w:hAnsi="Garamond"/>
        </w:rPr>
        <w:fldChar w:fldCharType="end"/>
      </w:r>
      <w:r w:rsidR="007150C0" w:rsidRPr="004C5C6C">
        <w:rPr>
          <w:rFonts w:ascii="Garamond" w:hAnsi="Garamond"/>
        </w:rPr>
        <w:t xml:space="preserve"> </w:t>
      </w:r>
      <w:r w:rsidR="00451B2F" w:rsidRPr="0076365B">
        <w:rPr>
          <w:rFonts w:ascii="Garamond" w:hAnsi="Garamond"/>
        </w:rPr>
        <w:t>which may delay</w:t>
      </w:r>
      <w:r w:rsidR="007150C0" w:rsidRPr="0076365B">
        <w:rPr>
          <w:rFonts w:ascii="Garamond" w:hAnsi="Garamond"/>
        </w:rPr>
        <w:t xml:space="preserve"> </w:t>
      </w:r>
      <w:r w:rsidR="00451B2F" w:rsidRPr="0076365B">
        <w:rPr>
          <w:rFonts w:ascii="Garamond" w:hAnsi="Garamond"/>
        </w:rPr>
        <w:t xml:space="preserve">the development of </w:t>
      </w:r>
      <w:r w:rsidR="00070729" w:rsidRPr="0076365B">
        <w:rPr>
          <w:rFonts w:ascii="Garamond" w:hAnsi="Garamond"/>
        </w:rPr>
        <w:t xml:space="preserve">trustworthy </w:t>
      </w:r>
      <w:r w:rsidR="007150C0" w:rsidRPr="0076365B">
        <w:rPr>
          <w:rFonts w:ascii="Garamond" w:hAnsi="Garamond"/>
        </w:rPr>
        <w:t xml:space="preserve">guidance. </w:t>
      </w:r>
      <w:r w:rsidR="007C664A" w:rsidRPr="0076365B">
        <w:rPr>
          <w:rFonts w:ascii="Garamond" w:hAnsi="Garamond"/>
        </w:rPr>
        <w:t xml:space="preserve">It is therefore </w:t>
      </w:r>
      <w:r w:rsidR="00C73FBD" w:rsidRPr="0076365B">
        <w:rPr>
          <w:rFonts w:ascii="Garamond" w:hAnsi="Garamond"/>
        </w:rPr>
        <w:t>essential</w:t>
      </w:r>
      <w:r w:rsidR="007C664A" w:rsidRPr="0076365B">
        <w:rPr>
          <w:rFonts w:ascii="Garamond" w:hAnsi="Garamond"/>
        </w:rPr>
        <w:t xml:space="preserve"> to coordinate </w:t>
      </w:r>
      <w:r w:rsidR="00300297" w:rsidRPr="0076365B">
        <w:rPr>
          <w:rFonts w:ascii="Garamond" w:hAnsi="Garamond"/>
        </w:rPr>
        <w:t xml:space="preserve">ongoing </w:t>
      </w:r>
      <w:r w:rsidR="00312894" w:rsidRPr="0076365B">
        <w:rPr>
          <w:rFonts w:ascii="Garamond" w:hAnsi="Garamond"/>
        </w:rPr>
        <w:t>activities</w:t>
      </w:r>
      <w:r w:rsidR="00B50A58">
        <w:rPr>
          <w:rFonts w:ascii="Garamond" w:hAnsi="Garamond"/>
        </w:rPr>
        <w:t xml:space="preserve">, </w:t>
      </w:r>
      <w:r w:rsidR="007C664A" w:rsidRPr="00435491">
        <w:rPr>
          <w:rFonts w:ascii="Garamond" w:hAnsi="Garamond"/>
        </w:rPr>
        <w:t>p</w:t>
      </w:r>
      <w:r w:rsidR="00E6562B" w:rsidRPr="00435491">
        <w:rPr>
          <w:rFonts w:ascii="Garamond" w:hAnsi="Garamond"/>
        </w:rPr>
        <w:t>ool resources across groups</w:t>
      </w:r>
      <w:r w:rsidR="00B50A58">
        <w:rPr>
          <w:rFonts w:ascii="Garamond" w:hAnsi="Garamond"/>
        </w:rPr>
        <w:t>, and minimise duplication</w:t>
      </w:r>
      <w:r w:rsidR="007C664A" w:rsidRPr="00435491">
        <w:rPr>
          <w:rFonts w:ascii="Garamond" w:hAnsi="Garamond"/>
        </w:rPr>
        <w:t xml:space="preserve">. </w:t>
      </w:r>
    </w:p>
    <w:p w14:paraId="1729124C" w14:textId="6CDDD95D" w:rsidR="00B50A58" w:rsidRDefault="00222682" w:rsidP="00112783">
      <w:pPr>
        <w:ind w:firstLine="720"/>
        <w:rPr>
          <w:rFonts w:ascii="Garamond" w:hAnsi="Garamond"/>
        </w:rPr>
      </w:pPr>
      <w:r w:rsidRPr="00435491">
        <w:rPr>
          <w:rFonts w:ascii="Garamond" w:hAnsi="Garamond"/>
        </w:rPr>
        <w:t xml:space="preserve">A consortium </w:t>
      </w:r>
      <w:r w:rsidR="00312894" w:rsidRPr="005308CA">
        <w:rPr>
          <w:rFonts w:ascii="Garamond" w:hAnsi="Garamond"/>
        </w:rPr>
        <w:t>should</w:t>
      </w:r>
      <w:r w:rsidRPr="005308CA">
        <w:rPr>
          <w:rFonts w:ascii="Garamond" w:hAnsi="Garamond"/>
        </w:rPr>
        <w:t xml:space="preserve"> </w:t>
      </w:r>
      <w:r w:rsidR="007150C0" w:rsidRPr="005308CA">
        <w:rPr>
          <w:rFonts w:ascii="Garamond" w:hAnsi="Garamond"/>
        </w:rPr>
        <w:t>coordinate the design</w:t>
      </w:r>
      <w:r w:rsidR="00300297" w:rsidRPr="005308CA">
        <w:rPr>
          <w:rFonts w:ascii="Garamond" w:hAnsi="Garamond"/>
        </w:rPr>
        <w:t xml:space="preserve">, </w:t>
      </w:r>
      <w:r w:rsidR="007150C0" w:rsidRPr="005308CA">
        <w:rPr>
          <w:rFonts w:ascii="Garamond" w:hAnsi="Garamond"/>
        </w:rPr>
        <w:t>implementation</w:t>
      </w:r>
      <w:r w:rsidR="00300297" w:rsidRPr="005308CA">
        <w:rPr>
          <w:rFonts w:ascii="Garamond" w:hAnsi="Garamond"/>
        </w:rPr>
        <w:t>, and replication</w:t>
      </w:r>
      <w:r w:rsidR="007150C0" w:rsidRPr="005308CA">
        <w:rPr>
          <w:rFonts w:ascii="Garamond" w:hAnsi="Garamond"/>
        </w:rPr>
        <w:t xml:space="preserve"> of </w:t>
      </w:r>
      <w:r w:rsidR="00F72524" w:rsidRPr="005308CA">
        <w:rPr>
          <w:rFonts w:ascii="Garamond" w:hAnsi="Garamond"/>
        </w:rPr>
        <w:t>comparative effectiveness assessments</w:t>
      </w:r>
      <w:r w:rsidR="00C20744" w:rsidRPr="005308CA">
        <w:rPr>
          <w:rFonts w:ascii="Garamond" w:hAnsi="Garamond"/>
        </w:rPr>
        <w:t xml:space="preserve"> ideally using individual </w:t>
      </w:r>
      <w:r w:rsidR="00944104" w:rsidRPr="005308CA">
        <w:rPr>
          <w:rFonts w:ascii="Garamond" w:hAnsi="Garamond"/>
        </w:rPr>
        <w:t>participant</w:t>
      </w:r>
      <w:r w:rsidR="00C20744" w:rsidRPr="005308CA">
        <w:rPr>
          <w:rFonts w:ascii="Garamond" w:hAnsi="Garamond"/>
        </w:rPr>
        <w:t xml:space="preserve"> data </w:t>
      </w:r>
      <w:r w:rsidR="004C1E9D" w:rsidRPr="005308CA">
        <w:rPr>
          <w:rFonts w:ascii="Garamond" w:hAnsi="Garamond"/>
        </w:rPr>
        <w:t>network meta-analyses</w:t>
      </w:r>
      <w:r w:rsidR="007150C0" w:rsidRPr="005308CA">
        <w:rPr>
          <w:rFonts w:ascii="Garamond" w:hAnsi="Garamond"/>
        </w:rPr>
        <w:t xml:space="preserve">. </w:t>
      </w:r>
      <w:r w:rsidR="00312894" w:rsidRPr="005308CA">
        <w:rPr>
          <w:rFonts w:ascii="Garamond" w:hAnsi="Garamond"/>
        </w:rPr>
        <w:t xml:space="preserve">A </w:t>
      </w:r>
      <w:r w:rsidR="008C5D80">
        <w:rPr>
          <w:rFonts w:ascii="Garamond" w:hAnsi="Garamond"/>
        </w:rPr>
        <w:t>network</w:t>
      </w:r>
      <w:r w:rsidR="00A05CA0" w:rsidRPr="005308CA">
        <w:rPr>
          <w:rFonts w:ascii="Garamond" w:hAnsi="Garamond"/>
        </w:rPr>
        <w:t xml:space="preserve"> </w:t>
      </w:r>
      <w:r w:rsidR="00312894" w:rsidRPr="005308CA">
        <w:rPr>
          <w:rFonts w:ascii="Garamond" w:hAnsi="Garamond"/>
        </w:rPr>
        <w:t>of</w:t>
      </w:r>
      <w:r w:rsidR="0046318A" w:rsidRPr="005308CA">
        <w:rPr>
          <w:rFonts w:ascii="Garamond" w:hAnsi="Garamond"/>
        </w:rPr>
        <w:t xml:space="preserve"> </w:t>
      </w:r>
      <w:r w:rsidR="00300297" w:rsidRPr="005308CA">
        <w:rPr>
          <w:rFonts w:ascii="Garamond" w:hAnsi="Garamond"/>
        </w:rPr>
        <w:t xml:space="preserve">leading </w:t>
      </w:r>
      <w:r w:rsidR="003E1995">
        <w:rPr>
          <w:rFonts w:ascii="Garamond" w:hAnsi="Garamond"/>
        </w:rPr>
        <w:t xml:space="preserve">independent research </w:t>
      </w:r>
      <w:r w:rsidR="0046318A" w:rsidRPr="005308CA">
        <w:rPr>
          <w:rFonts w:ascii="Garamond" w:hAnsi="Garamond"/>
        </w:rPr>
        <w:t>organi</w:t>
      </w:r>
      <w:r w:rsidR="009B40FA" w:rsidRPr="005308CA">
        <w:rPr>
          <w:rFonts w:ascii="Garamond" w:hAnsi="Garamond"/>
        </w:rPr>
        <w:t>s</w:t>
      </w:r>
      <w:r w:rsidR="0046318A" w:rsidRPr="005308CA">
        <w:rPr>
          <w:rFonts w:ascii="Garamond" w:hAnsi="Garamond"/>
        </w:rPr>
        <w:t>ations</w:t>
      </w:r>
      <w:r w:rsidR="00F30A5E">
        <w:rPr>
          <w:rFonts w:ascii="Garamond" w:hAnsi="Garamond"/>
        </w:rPr>
        <w:t>,</w:t>
      </w:r>
      <w:r w:rsidR="00C64B81">
        <w:rPr>
          <w:rFonts w:ascii="Garamond" w:hAnsi="Garamond"/>
        </w:rPr>
        <w:fldChar w:fldCharType="begin"/>
      </w:r>
      <w:r w:rsidR="008F4A1B">
        <w:rPr>
          <w:rFonts w:ascii="Garamond" w:hAnsi="Garamond"/>
        </w:rPr>
        <w:instrText xml:space="preserve"> ADDIN ZOTERO_ITEM CSL_CITATION {"citationID":"Rd6UxoIN","properties":{"formattedCitation":"\\super 44\\nosupersub{}","plainCitation":"44","noteIndex":0},"citationItems":[{"id":973,"uris":["http://zotero.org/users/local/LpXke84i/items/GS24GAUY"],"uri":["http://zotero.org/users/local/LpXke84i/items/GS24GAUY"],"itemData":{"id":973,"type":"article-journal","container-title":"BMJ","DOI":"10.1136/bmj.m2456","note":"publisher: BMJ Publishing Group Ltd\n_eprint: https://www.bmj.com/content/369/bmj.m2456.full.pdf","title":"Commercial influence and covid-19","URL":"https://www.bmj.com/content/369/bmj.m2456","volume":"369","author":[{"family":"Moynihan","given":"Ray"},{"family":"Macdonald","given":"Helen"},{"family":"Bero","given":"Lisa"},{"family":"Godlee","given":"Fiona"}],"issued":{"date-parts":[["2020"]]}}}],"schema":"https://github.com/citation-style-language/schema/raw/master/csl-citation.json"} </w:instrText>
      </w:r>
      <w:r w:rsidR="00C64B81">
        <w:rPr>
          <w:rFonts w:ascii="Garamond" w:hAnsi="Garamond"/>
        </w:rPr>
        <w:fldChar w:fldCharType="separate"/>
      </w:r>
      <w:r w:rsidR="008F4A1B" w:rsidRPr="008F4A1B">
        <w:rPr>
          <w:rFonts w:ascii="Garamond" w:hAnsi="Garamond"/>
          <w:vertAlign w:val="superscript"/>
        </w:rPr>
        <w:t>44</w:t>
      </w:r>
      <w:r w:rsidR="00C64B81">
        <w:rPr>
          <w:rFonts w:ascii="Garamond" w:hAnsi="Garamond"/>
        </w:rPr>
        <w:fldChar w:fldCharType="end"/>
      </w:r>
      <w:r w:rsidR="00F30A5E">
        <w:rPr>
          <w:rFonts w:ascii="Garamond" w:hAnsi="Garamond"/>
        </w:rPr>
        <w:t xml:space="preserve"> </w:t>
      </w:r>
      <w:r w:rsidR="00112783">
        <w:rPr>
          <w:rFonts w:ascii="Garamond" w:hAnsi="Garamond"/>
        </w:rPr>
        <w:t xml:space="preserve">regulatory agencies, health technology assessment bodies, and payers </w:t>
      </w:r>
      <w:r w:rsidR="00312894" w:rsidRPr="0076365B">
        <w:rPr>
          <w:rFonts w:ascii="Garamond" w:hAnsi="Garamond"/>
        </w:rPr>
        <w:t>could lead this effort</w:t>
      </w:r>
      <w:r w:rsidR="00C20744" w:rsidRPr="0076365B">
        <w:rPr>
          <w:rFonts w:ascii="Garamond" w:hAnsi="Garamond"/>
        </w:rPr>
        <w:t xml:space="preserve"> in collaboration with WHO</w:t>
      </w:r>
      <w:r w:rsidR="00312894" w:rsidRPr="0076365B">
        <w:rPr>
          <w:rFonts w:ascii="Garamond" w:hAnsi="Garamond"/>
        </w:rPr>
        <w:t xml:space="preserve">. </w:t>
      </w:r>
      <w:r w:rsidR="00941D67">
        <w:rPr>
          <w:rFonts w:ascii="Garamond" w:hAnsi="Garamond"/>
        </w:rPr>
        <w:t>A recent health technology assessment of biologic agents for rheumatoid arthritis in Germany has demonstrated the feasibility of this approach. The Institute for Quality and Efficiency in Health Care (</w:t>
      </w:r>
      <w:proofErr w:type="spellStart"/>
      <w:r w:rsidR="00941D67">
        <w:rPr>
          <w:rFonts w:ascii="Garamond" w:hAnsi="Garamond"/>
        </w:rPr>
        <w:t>IQWiG</w:t>
      </w:r>
      <w:proofErr w:type="spellEnd"/>
      <w:r w:rsidR="00941D67">
        <w:rPr>
          <w:rFonts w:ascii="Garamond" w:hAnsi="Garamond"/>
        </w:rPr>
        <w:t>) requested re-analysis of individual participant data from several industry-sponsored RCTs to harmonise patient populations and primary endpoints before findings could be combined in network meta-analyses.</w:t>
      </w:r>
      <w:r w:rsidR="00941D67">
        <w:rPr>
          <w:rFonts w:ascii="Garamond" w:hAnsi="Garamond"/>
        </w:rPr>
        <w:fldChar w:fldCharType="begin"/>
      </w:r>
      <w:r w:rsidR="008F4A1B">
        <w:rPr>
          <w:rFonts w:ascii="Garamond" w:hAnsi="Garamond"/>
        </w:rPr>
        <w:instrText xml:space="preserve"> ADDIN ZOTERO_ITEM CSL_CITATION {"citationID":"6ZtOLZOU","properties":{"formattedCitation":"\\super 45\\nosupersub{}","plainCitation":"45","noteIndex":0},"citationItems":[{"id":972,"uris":["http://zotero.org/users/local/LpXke84i/items/RRYDZZBZ"],"uri":["http://zotero.org/users/local/LpXke84i/items/RRYDZZBZ"],"itemData":{"id":972,"type":"article-journal","abstract":"Objective To assess the comparative effectiveness of biological medicines in rheumatoid arthritis in sufficiently similar patient populations, based on the current definitions of key outcomes.Design Systematic review and network meta-analysis including aggregate results from reanalysed individual patient data.Data sources Clinical study reports and aggregate results from reanalyses of individual patient data on key outcomes for rheumatoid arthritis provided by study sponsors for studies conducted up to 2017, and several databases and registries from inception up to February 2017.Eligibility criteria for selecting studies Randomised controlled trials investigating patient relevant outcomes in adults with rheumatoid arthritis treated with biological medicines in combination with methotrexate after methotrexate failure for at least 24 weeks.Results 45 eligible trials were identified. Combining data from clinical study reports and aggregate results from reanalyses of individual patient data allowed extensive analyses yielding sufficiently similar populations and homogeneous study results for network meta-analyses, including up to 35 studies on eight biological medicines combined with methotrexate. These analyses showed few statistically significant differences between the combination treatments. For example, anakinra showed less benefit than almost all the other seven biological medicines regarding clinical remission or low disease activity (clinical disease activity index &lt;=2.8 or &lt;=10, respectively) and certolizumab pegol showed more harm than the other seven biological medicines regarding serious adverse events or infections. Some outcomes had very wide 95% confidence intervals, potentially implying unidentified differences between the eight biological medicines, but wide 95% confidence intervals were less prominent for low disease activity, serious adverse events, and infections. Owing to a lack of head-to-head trials, results were mainly based on indirect comparisons with a limited number of studies, and recently approved Janus kinase inhibitors could not be included.Conclusions For patients with rheumatoid arthritis after methotrexate failure, only minor differences in benefits and harms were seen between biological medicines in combination with methotrexate. However, the analysis was hampered by a lack of long term direct comparisons. The substantial information gain achieved by the reanalysis of individual patient data calls for the routine availability of individual patient data.","container-title":"BMJ","DOI":"10.1136/bmj.m2288","note":"publisher: BMJ Publishing Group Ltd\n_eprint: https://www.bmj.com/content/370/bmj.m2288.full.pdf","title":"Comparative effectiveness of biological medicines in rheumatoid arthritis: systematic review and network meta-analysis including aggregate results from reanalysed individual patient data","URL":"https://www.bmj.com/content/370/bmj.m2288","volume":"370","author":[{"family":"Janke","given":"Kirsten"},{"family":"Biester","given":"Katharina"},{"family":"Krause","given":"Dietmar"},{"family":"Richter","given":"Bernd"},{"family":"Schürmann","given":"Christoph"},{"family":"Hirsch","given":"Katharina"},{"family":"Hörn","given":"Helmut"},{"family":"Kerekes","given":"Michaela Florina"},{"family":"Kohlepp","given":"Petra"},{"family":"Wieseler","given":"Beate"}],"issued":{"date-parts":[["2020"]]}}}],"schema":"https://github.com/citation-style-language/schema/raw/master/csl-citation.json"} </w:instrText>
      </w:r>
      <w:r w:rsidR="00941D67">
        <w:rPr>
          <w:rFonts w:ascii="Garamond" w:hAnsi="Garamond"/>
        </w:rPr>
        <w:fldChar w:fldCharType="separate"/>
      </w:r>
      <w:r w:rsidR="008F4A1B" w:rsidRPr="008F4A1B">
        <w:rPr>
          <w:rFonts w:ascii="Garamond" w:hAnsi="Garamond"/>
          <w:vertAlign w:val="superscript"/>
        </w:rPr>
        <w:t>45</w:t>
      </w:r>
      <w:r w:rsidR="00941D67">
        <w:rPr>
          <w:rFonts w:ascii="Garamond" w:hAnsi="Garamond"/>
        </w:rPr>
        <w:fldChar w:fldCharType="end"/>
      </w:r>
      <w:r w:rsidR="00941D67">
        <w:rPr>
          <w:rFonts w:ascii="Garamond" w:hAnsi="Garamond"/>
        </w:rPr>
        <w:t xml:space="preserve"> </w:t>
      </w:r>
    </w:p>
    <w:p w14:paraId="5437CE94" w14:textId="7888D9A5" w:rsidR="00A05CA0" w:rsidRDefault="003E2542" w:rsidP="00BA0BAC">
      <w:pPr>
        <w:ind w:firstLine="720"/>
        <w:rPr>
          <w:rFonts w:ascii="Garamond" w:hAnsi="Garamond"/>
        </w:rPr>
      </w:pPr>
      <w:r w:rsidRPr="004C5C6C">
        <w:rPr>
          <w:rFonts w:ascii="Garamond" w:hAnsi="Garamond"/>
        </w:rPr>
        <w:t xml:space="preserve">Timing of </w:t>
      </w:r>
      <w:r w:rsidR="00484CD4" w:rsidRPr="0076365B">
        <w:rPr>
          <w:rFonts w:ascii="Garamond" w:hAnsi="Garamond"/>
        </w:rPr>
        <w:t>when comparative data become available</w:t>
      </w:r>
      <w:r w:rsidRPr="0076365B">
        <w:rPr>
          <w:rFonts w:ascii="Garamond" w:hAnsi="Garamond"/>
        </w:rPr>
        <w:t xml:space="preserve"> is critical. </w:t>
      </w:r>
      <w:r w:rsidR="007150C0" w:rsidRPr="00435491">
        <w:rPr>
          <w:rFonts w:ascii="Garamond" w:hAnsi="Garamond"/>
        </w:rPr>
        <w:t xml:space="preserve">As there </w:t>
      </w:r>
      <w:r w:rsidR="00F945F9">
        <w:rPr>
          <w:rFonts w:ascii="Garamond" w:hAnsi="Garamond"/>
        </w:rPr>
        <w:t>is</w:t>
      </w:r>
      <w:r w:rsidR="007150C0" w:rsidRPr="00435491">
        <w:rPr>
          <w:rFonts w:ascii="Garamond" w:hAnsi="Garamond"/>
        </w:rPr>
        <w:t xml:space="preserve"> </w:t>
      </w:r>
      <w:r w:rsidR="00484CD4" w:rsidRPr="00435491">
        <w:rPr>
          <w:rFonts w:ascii="Garamond" w:hAnsi="Garamond"/>
        </w:rPr>
        <w:t>an ethical imperative</w:t>
      </w:r>
      <w:r w:rsidR="007150C0" w:rsidRPr="005308CA">
        <w:rPr>
          <w:rFonts w:ascii="Garamond" w:hAnsi="Garamond"/>
        </w:rPr>
        <w:t xml:space="preserve"> </w:t>
      </w:r>
      <w:r w:rsidR="008F5B5D" w:rsidRPr="005308CA">
        <w:rPr>
          <w:rFonts w:ascii="Garamond" w:hAnsi="Garamond"/>
        </w:rPr>
        <w:t xml:space="preserve">for any treatment with promising results to </w:t>
      </w:r>
      <w:r w:rsidR="00312894" w:rsidRPr="005308CA">
        <w:rPr>
          <w:rFonts w:ascii="Garamond" w:hAnsi="Garamond"/>
        </w:rPr>
        <w:t xml:space="preserve">immediately </w:t>
      </w:r>
      <w:r w:rsidR="008F5B5D" w:rsidRPr="005308CA">
        <w:rPr>
          <w:rFonts w:ascii="Garamond" w:hAnsi="Garamond"/>
        </w:rPr>
        <w:t>become the new standard of care</w:t>
      </w:r>
      <w:r w:rsidR="00EB1C0F">
        <w:rPr>
          <w:rFonts w:ascii="Garamond" w:hAnsi="Garamond"/>
        </w:rPr>
        <w:t xml:space="preserve"> (as occurred with dexamethasone</w:t>
      </w:r>
      <w:r w:rsidR="009C18EB">
        <w:rPr>
          <w:rFonts w:ascii="Garamond" w:hAnsi="Garamond"/>
        </w:rPr>
        <w:t xml:space="preserve">, and to a lesser extent remdesivir, </w:t>
      </w:r>
      <w:r w:rsidR="00941D67">
        <w:rPr>
          <w:rFonts w:ascii="Garamond" w:hAnsi="Garamond"/>
        </w:rPr>
        <w:t xml:space="preserve">in </w:t>
      </w:r>
      <w:proofErr w:type="gramStart"/>
      <w:r w:rsidR="00941D67">
        <w:rPr>
          <w:rFonts w:ascii="Garamond" w:hAnsi="Garamond"/>
        </w:rPr>
        <w:t>severely-ill</w:t>
      </w:r>
      <w:proofErr w:type="gramEnd"/>
      <w:r w:rsidR="00941D67">
        <w:rPr>
          <w:rFonts w:ascii="Garamond" w:hAnsi="Garamond"/>
        </w:rPr>
        <w:t xml:space="preserve"> patients </w:t>
      </w:r>
      <w:r w:rsidR="00941D67">
        <w:rPr>
          <w:rFonts w:ascii="Garamond" w:hAnsi="Garamond"/>
        </w:rPr>
        <w:lastRenderedPageBreak/>
        <w:t>with COVID-19</w:t>
      </w:r>
      <w:r w:rsidR="00EB1C0F">
        <w:rPr>
          <w:rFonts w:ascii="Garamond" w:hAnsi="Garamond"/>
        </w:rPr>
        <w:t>)</w:t>
      </w:r>
      <w:r w:rsidR="007150C0" w:rsidRPr="005308CA">
        <w:rPr>
          <w:rFonts w:ascii="Garamond" w:hAnsi="Garamond"/>
        </w:rPr>
        <w:t xml:space="preserve">, </w:t>
      </w:r>
      <w:r w:rsidR="008F5B5D" w:rsidRPr="005308CA">
        <w:rPr>
          <w:rFonts w:ascii="Garamond" w:hAnsi="Garamond"/>
        </w:rPr>
        <w:t xml:space="preserve">comparative assessments should </w:t>
      </w:r>
      <w:r w:rsidR="00F945F9">
        <w:rPr>
          <w:rFonts w:ascii="Garamond" w:hAnsi="Garamond"/>
        </w:rPr>
        <w:t xml:space="preserve">ideally </w:t>
      </w:r>
      <w:r w:rsidR="008F5B5D" w:rsidRPr="005308CA">
        <w:rPr>
          <w:rFonts w:ascii="Garamond" w:hAnsi="Garamond"/>
        </w:rPr>
        <w:t xml:space="preserve">accompany the publication of </w:t>
      </w:r>
      <w:r w:rsidR="00A244DC" w:rsidRPr="005308CA">
        <w:rPr>
          <w:rFonts w:ascii="Garamond" w:hAnsi="Garamond"/>
        </w:rPr>
        <w:t>individual trial</w:t>
      </w:r>
      <w:r w:rsidR="008F5B5D" w:rsidRPr="005308CA">
        <w:rPr>
          <w:rFonts w:ascii="Garamond" w:hAnsi="Garamond"/>
        </w:rPr>
        <w:t xml:space="preserve"> results. This would allow for interpreting </w:t>
      </w:r>
      <w:r w:rsidR="00312894" w:rsidRPr="005308CA">
        <w:rPr>
          <w:rFonts w:ascii="Garamond" w:hAnsi="Garamond"/>
        </w:rPr>
        <w:t xml:space="preserve">individual </w:t>
      </w:r>
      <w:r w:rsidR="00F72524" w:rsidRPr="005308CA">
        <w:rPr>
          <w:rFonts w:ascii="Garamond" w:hAnsi="Garamond"/>
        </w:rPr>
        <w:t>study results</w:t>
      </w:r>
      <w:r w:rsidR="008F5B5D" w:rsidRPr="005308CA">
        <w:rPr>
          <w:rFonts w:ascii="Garamond" w:hAnsi="Garamond"/>
        </w:rPr>
        <w:t xml:space="preserve"> within the</w:t>
      </w:r>
      <w:r w:rsidR="00312894" w:rsidRPr="005308CA">
        <w:rPr>
          <w:rFonts w:ascii="Garamond" w:hAnsi="Garamond"/>
        </w:rPr>
        <w:t>ir</w:t>
      </w:r>
      <w:r w:rsidR="008F5B5D" w:rsidRPr="005308CA">
        <w:rPr>
          <w:rFonts w:ascii="Garamond" w:hAnsi="Garamond"/>
        </w:rPr>
        <w:t xml:space="preserve"> broader context</w:t>
      </w:r>
      <w:r w:rsidR="00F3180F">
        <w:rPr>
          <w:rFonts w:ascii="Garamond" w:hAnsi="Garamond"/>
        </w:rPr>
        <w:t xml:space="preserve"> and dramatically increase speed in updating guidance for policy and practice</w:t>
      </w:r>
      <w:r w:rsidR="00234F52">
        <w:rPr>
          <w:rFonts w:ascii="Garamond" w:hAnsi="Garamond"/>
        </w:rPr>
        <w:t>.</w:t>
      </w:r>
      <w:r w:rsidR="00F945F9">
        <w:rPr>
          <w:rFonts w:ascii="Garamond" w:hAnsi="Garamond"/>
        </w:rPr>
        <w:t xml:space="preserve"> </w:t>
      </w:r>
    </w:p>
    <w:p w14:paraId="3BC47E00" w14:textId="7C5743BF" w:rsidR="00F945F9" w:rsidRDefault="00FE0803" w:rsidP="007D3689">
      <w:pPr>
        <w:ind w:firstLine="720"/>
        <w:rPr>
          <w:rFonts w:ascii="Garamond" w:hAnsi="Garamond"/>
        </w:rPr>
      </w:pPr>
      <w:r>
        <w:rPr>
          <w:rFonts w:ascii="Garamond" w:hAnsi="Garamond"/>
        </w:rPr>
        <w:t xml:space="preserve">Prospectively designing comparative effectiveness assessments </w:t>
      </w:r>
      <w:r w:rsidR="00BA0BAC">
        <w:rPr>
          <w:rFonts w:ascii="Garamond" w:hAnsi="Garamond"/>
        </w:rPr>
        <w:t>would balance speed with rigour</w:t>
      </w:r>
      <w:r>
        <w:rPr>
          <w:rFonts w:ascii="Garamond" w:hAnsi="Garamond"/>
        </w:rPr>
        <w:t xml:space="preserve">. </w:t>
      </w:r>
      <w:r w:rsidR="00F945F9">
        <w:rPr>
          <w:rFonts w:ascii="Garamond" w:hAnsi="Garamond"/>
        </w:rPr>
        <w:t>Pre-planning network meta-analyses would require establishing a close collaboration between trialists and meta-</w:t>
      </w:r>
      <w:proofErr w:type="spellStart"/>
      <w:r w:rsidR="00F945F9">
        <w:rPr>
          <w:rFonts w:ascii="Garamond" w:hAnsi="Garamond"/>
        </w:rPr>
        <w:t>analysts</w:t>
      </w:r>
      <w:proofErr w:type="spellEnd"/>
      <w:r w:rsidR="00F945F9">
        <w:rPr>
          <w:rFonts w:ascii="Garamond" w:hAnsi="Garamond"/>
        </w:rPr>
        <w:t>.</w:t>
      </w:r>
      <w:r w:rsidR="00746589">
        <w:rPr>
          <w:rFonts w:ascii="Garamond" w:hAnsi="Garamond"/>
        </w:rPr>
        <w:fldChar w:fldCharType="begin"/>
      </w:r>
      <w:r w:rsidR="008F4A1B">
        <w:rPr>
          <w:rFonts w:ascii="Garamond" w:hAnsi="Garamond"/>
        </w:rPr>
        <w:instrText xml:space="preserve"> ADDIN ZOTERO_ITEM CSL_CITATION {"citationID":"Zn79t3R6","properties":{"formattedCitation":"\\super 46\\nosupersub{}","plainCitation":"46","noteIndex":0},"citationItems":[{"id":500,"uris":["http://zotero.org/users/local/LpXke84i/items/M76GMPG9"],"uri":["http://zotero.org/users/local/LpXke84i/items/M76GMPG9"],"itemData":{"id":500,"type":"article-journal","container-title":"Journal of clinical epidemiology","issue":"8","journalAbbreviation":"J Clin Epidemiol","language":"eng","page":"812-816","title":"Assessing comparative effectiveness of new drugs before approval using prospective network meta-analyses.","volume":"66","author":[{"family":"Naci","given":"Huseyin"},{"family":"O'Connor","given":"Alec B."}],"issued":{"date-parts":[["2013",8]]}}}],"schema":"https://github.com/citation-style-language/schema/raw/master/csl-citation.json"} </w:instrText>
      </w:r>
      <w:r w:rsidR="00746589">
        <w:rPr>
          <w:rFonts w:ascii="Garamond" w:hAnsi="Garamond"/>
        </w:rPr>
        <w:fldChar w:fldCharType="separate"/>
      </w:r>
      <w:r w:rsidR="008F4A1B" w:rsidRPr="008F4A1B">
        <w:rPr>
          <w:rFonts w:ascii="Garamond" w:hAnsi="Garamond"/>
          <w:vertAlign w:val="superscript"/>
        </w:rPr>
        <w:t>46</w:t>
      </w:r>
      <w:r w:rsidR="00746589">
        <w:rPr>
          <w:rFonts w:ascii="Garamond" w:hAnsi="Garamond"/>
        </w:rPr>
        <w:fldChar w:fldCharType="end"/>
      </w:r>
      <w:r w:rsidR="00F945F9">
        <w:rPr>
          <w:rFonts w:ascii="Garamond" w:hAnsi="Garamond"/>
        </w:rPr>
        <w:t xml:space="preserve"> A</w:t>
      </w:r>
      <w:r w:rsidR="00A05CA0">
        <w:rPr>
          <w:rFonts w:ascii="Garamond" w:hAnsi="Garamond"/>
        </w:rPr>
        <w:t>t</w:t>
      </w:r>
      <w:r w:rsidR="00F945F9">
        <w:rPr>
          <w:rFonts w:ascii="Garamond" w:hAnsi="Garamond"/>
        </w:rPr>
        <w:t xml:space="preserve"> a minimum, </w:t>
      </w:r>
      <w:r w:rsidR="00BA0BAC">
        <w:rPr>
          <w:rFonts w:ascii="Garamond" w:hAnsi="Garamond"/>
        </w:rPr>
        <w:t xml:space="preserve">data from </w:t>
      </w:r>
      <w:r w:rsidR="00926139">
        <w:rPr>
          <w:rFonts w:ascii="Garamond" w:hAnsi="Garamond"/>
        </w:rPr>
        <w:t>the trials with the most robust designs</w:t>
      </w:r>
      <w:r w:rsidR="00F945F9">
        <w:rPr>
          <w:rFonts w:ascii="Garamond" w:hAnsi="Garamond"/>
        </w:rPr>
        <w:t xml:space="preserve"> should </w:t>
      </w:r>
      <w:r w:rsidR="00BA0BAC">
        <w:rPr>
          <w:rFonts w:ascii="Garamond" w:hAnsi="Garamond"/>
        </w:rPr>
        <w:t>be shared</w:t>
      </w:r>
      <w:r w:rsidR="00F945F9">
        <w:rPr>
          <w:rFonts w:ascii="Garamond" w:hAnsi="Garamond"/>
        </w:rPr>
        <w:t xml:space="preserve"> with </w:t>
      </w:r>
      <w:r w:rsidR="003E1995">
        <w:rPr>
          <w:rFonts w:ascii="Garamond" w:hAnsi="Garamond"/>
        </w:rPr>
        <w:t>third party researchers to</w:t>
      </w:r>
      <w:r w:rsidR="00F945F9">
        <w:rPr>
          <w:rFonts w:ascii="Garamond" w:hAnsi="Garamond"/>
        </w:rPr>
        <w:t xml:space="preserve"> conduct prospectively</w:t>
      </w:r>
      <w:r>
        <w:rPr>
          <w:rFonts w:ascii="Garamond" w:hAnsi="Garamond"/>
        </w:rPr>
        <w:t xml:space="preserve"> </w:t>
      </w:r>
      <w:r w:rsidR="00F945F9">
        <w:rPr>
          <w:rFonts w:ascii="Garamond" w:hAnsi="Garamond"/>
        </w:rPr>
        <w:t xml:space="preserve">designed network meta-analyses. Such close collaboration would ensure that </w:t>
      </w:r>
      <w:r w:rsidR="003800F3">
        <w:rPr>
          <w:rFonts w:ascii="Garamond" w:hAnsi="Garamond"/>
        </w:rPr>
        <w:t>data completeness</w:t>
      </w:r>
      <w:r w:rsidR="00BA0BAC">
        <w:rPr>
          <w:rFonts w:ascii="Garamond" w:hAnsi="Garamond"/>
        </w:rPr>
        <w:t xml:space="preserve">, standardisation, and </w:t>
      </w:r>
      <w:r w:rsidR="003800F3">
        <w:rPr>
          <w:rFonts w:ascii="Garamond" w:hAnsi="Garamond"/>
        </w:rPr>
        <w:t>quality issues are resolved in a timely manner</w:t>
      </w:r>
      <w:r w:rsidR="00A05CA0">
        <w:rPr>
          <w:rFonts w:ascii="Garamond" w:hAnsi="Garamond"/>
        </w:rPr>
        <w:t>,</w:t>
      </w:r>
      <w:r w:rsidR="003800F3">
        <w:rPr>
          <w:rFonts w:ascii="Garamond" w:hAnsi="Garamond"/>
        </w:rPr>
        <w:t xml:space="preserve"> and </w:t>
      </w:r>
      <w:r w:rsidR="00F945F9">
        <w:rPr>
          <w:rFonts w:ascii="Garamond" w:hAnsi="Garamond"/>
        </w:rPr>
        <w:t xml:space="preserve">results can be re-analysed and combined </w:t>
      </w:r>
      <w:r w:rsidR="00BA0BAC">
        <w:rPr>
          <w:rFonts w:ascii="Garamond" w:hAnsi="Garamond"/>
        </w:rPr>
        <w:t>shortly after</w:t>
      </w:r>
      <w:r>
        <w:rPr>
          <w:rFonts w:ascii="Garamond" w:hAnsi="Garamond"/>
        </w:rPr>
        <w:t xml:space="preserve"> database lock.</w:t>
      </w:r>
      <w:r w:rsidR="00F945F9">
        <w:rPr>
          <w:rFonts w:ascii="Garamond" w:hAnsi="Garamond"/>
        </w:rPr>
        <w:t xml:space="preserve"> </w:t>
      </w:r>
    </w:p>
    <w:p w14:paraId="60F8E852" w14:textId="77777777" w:rsidR="00E6562B" w:rsidRPr="0076365B" w:rsidRDefault="00E6562B" w:rsidP="00C35098">
      <w:pPr>
        <w:rPr>
          <w:rFonts w:ascii="Garamond" w:hAnsi="Garamond"/>
        </w:rPr>
      </w:pPr>
    </w:p>
    <w:p w14:paraId="1E2B1086" w14:textId="3ACEF4CB" w:rsidR="00690C30" w:rsidRPr="005308CA" w:rsidRDefault="0001346C" w:rsidP="00944104">
      <w:pPr>
        <w:pStyle w:val="ListParagraph"/>
        <w:numPr>
          <w:ilvl w:val="0"/>
          <w:numId w:val="3"/>
        </w:numPr>
        <w:rPr>
          <w:rFonts w:ascii="Garamond" w:hAnsi="Garamond"/>
        </w:rPr>
      </w:pPr>
      <w:r w:rsidRPr="0076365B">
        <w:rPr>
          <w:rFonts w:ascii="Garamond" w:hAnsi="Garamond"/>
          <w:i/>
          <w:iCs/>
        </w:rPr>
        <w:t>Translating</w:t>
      </w:r>
      <w:r w:rsidRPr="00435491">
        <w:rPr>
          <w:rFonts w:ascii="Garamond" w:hAnsi="Garamond"/>
          <w:i/>
          <w:iCs/>
        </w:rPr>
        <w:t xml:space="preserve"> </w:t>
      </w:r>
      <w:r w:rsidR="0046318A" w:rsidRPr="00435491">
        <w:rPr>
          <w:rFonts w:ascii="Garamond" w:hAnsi="Garamond"/>
          <w:i/>
          <w:iCs/>
        </w:rPr>
        <w:t>data</w:t>
      </w:r>
      <w:r w:rsidR="00632EEF" w:rsidRPr="00435491">
        <w:rPr>
          <w:rFonts w:ascii="Garamond" w:hAnsi="Garamond"/>
          <w:i/>
          <w:iCs/>
        </w:rPr>
        <w:t xml:space="preserve"> into </w:t>
      </w:r>
      <w:r w:rsidR="002A4223" w:rsidRPr="005308CA">
        <w:rPr>
          <w:rFonts w:ascii="Garamond" w:hAnsi="Garamond"/>
          <w:i/>
          <w:iCs/>
        </w:rPr>
        <w:t xml:space="preserve">living and </w:t>
      </w:r>
      <w:r w:rsidR="00632EEF" w:rsidRPr="005308CA">
        <w:rPr>
          <w:rFonts w:ascii="Garamond" w:hAnsi="Garamond"/>
          <w:i/>
          <w:iCs/>
        </w:rPr>
        <w:t xml:space="preserve">trustworthy guidance </w:t>
      </w:r>
      <w:r w:rsidR="00EF1564" w:rsidRPr="005308CA">
        <w:rPr>
          <w:rFonts w:ascii="Garamond" w:hAnsi="Garamond"/>
          <w:i/>
          <w:iCs/>
        </w:rPr>
        <w:t>to inform policy and practice</w:t>
      </w:r>
    </w:p>
    <w:p w14:paraId="1DA518EC" w14:textId="5DC265B7" w:rsidR="00300297" w:rsidRPr="004F5E95" w:rsidRDefault="00300297" w:rsidP="00B75D78">
      <w:pPr>
        <w:ind w:firstLine="720"/>
        <w:rPr>
          <w:rFonts w:ascii="Garamond" w:hAnsi="Garamond"/>
        </w:rPr>
      </w:pPr>
      <w:r w:rsidRPr="004F5E95">
        <w:rPr>
          <w:rFonts w:ascii="Garamond" w:hAnsi="Garamond"/>
        </w:rPr>
        <w:t xml:space="preserve">COVID-19 </w:t>
      </w:r>
      <w:r w:rsidR="006F1E0A" w:rsidRPr="004F5E95">
        <w:rPr>
          <w:rFonts w:ascii="Garamond" w:hAnsi="Garamond"/>
        </w:rPr>
        <w:t>reveals</w:t>
      </w:r>
      <w:r w:rsidRPr="004F5E95">
        <w:rPr>
          <w:rFonts w:ascii="Garamond" w:hAnsi="Garamond"/>
        </w:rPr>
        <w:t xml:space="preserve"> an unprecedented need </w:t>
      </w:r>
      <w:r w:rsidR="0054366C" w:rsidRPr="004F5E95">
        <w:rPr>
          <w:rFonts w:ascii="Garamond" w:hAnsi="Garamond"/>
        </w:rPr>
        <w:t xml:space="preserve">for </w:t>
      </w:r>
      <w:r w:rsidRPr="004F5E95">
        <w:rPr>
          <w:rFonts w:ascii="Garamond" w:hAnsi="Garamond"/>
        </w:rPr>
        <w:t xml:space="preserve">developing </w:t>
      </w:r>
      <w:r w:rsidR="00632EEF" w:rsidRPr="004F5E95">
        <w:rPr>
          <w:rFonts w:ascii="Garamond" w:hAnsi="Garamond"/>
        </w:rPr>
        <w:t xml:space="preserve">living </w:t>
      </w:r>
      <w:r w:rsidR="002A4223" w:rsidRPr="004F5E95">
        <w:rPr>
          <w:rFonts w:ascii="Garamond" w:hAnsi="Garamond"/>
        </w:rPr>
        <w:t xml:space="preserve">and trustworthy </w:t>
      </w:r>
      <w:r w:rsidR="00632EEF" w:rsidRPr="004F5E95">
        <w:rPr>
          <w:rFonts w:ascii="Garamond" w:hAnsi="Garamond"/>
        </w:rPr>
        <w:t>guidance</w:t>
      </w:r>
      <w:r w:rsidR="009B40FA" w:rsidRPr="004F5E95">
        <w:rPr>
          <w:rFonts w:ascii="Garamond" w:hAnsi="Garamond"/>
        </w:rPr>
        <w:t xml:space="preserve"> based on comparative evidence</w:t>
      </w:r>
      <w:r w:rsidR="00606C22" w:rsidRPr="004F5E95">
        <w:rPr>
          <w:rFonts w:ascii="Garamond" w:hAnsi="Garamond"/>
        </w:rPr>
        <w:t>, which is an ethical obligation</w:t>
      </w:r>
      <w:r w:rsidR="002A4223" w:rsidRPr="004F5E95">
        <w:rPr>
          <w:rFonts w:ascii="Garamond" w:hAnsi="Garamond"/>
        </w:rPr>
        <w:t>.</w:t>
      </w:r>
      <w:r w:rsidR="00944104" w:rsidRPr="004F5E95">
        <w:rPr>
          <w:rFonts w:ascii="Garamond" w:hAnsi="Garamond"/>
        </w:rPr>
        <w:fldChar w:fldCharType="begin"/>
      </w:r>
      <w:r w:rsidR="008F4A1B">
        <w:rPr>
          <w:rFonts w:ascii="Garamond" w:hAnsi="Garamond"/>
        </w:rPr>
        <w:instrText xml:space="preserve"> ADDIN ZOTERO_ITEM CSL_CITATION {"citationID":"lm5ofW8F","properties":{"formattedCitation":"\\super 47\\nosupersub{}","plainCitation":"47","noteIndex":0},"citationItems":[{"id":927,"uris":["http://zotero.org/users/local/LpXke84i/items/VEEQAHIM"],"uri":["http://zotero.org/users/local/LpXke84i/items/VEEQAHIM"],"itemData":{"id":927,"type":"article-journal","container-title":"Lancet (London, England)","DOI":"10.1016/S0140-6736(20)30413-X","ISSN":"1474-547X 0140-6736","issue":"10228","journalAbbreviation":"Lancet","language":"eng","note":"publisher-place: England\nPMID: 32199476","page":"926-928","title":"Ethical implications of poor comparative effectiveness evidence: obligations in industry-research partnerships.","volume":"395","author":[{"family":"Singh","given":"Ilina"},{"family":"Naci","given":"Huseyin"},{"family":"Miller","given":"Jennifer"},{"family":"Caplan","given":"Arthur"},{"family":"Cipriani","given":"Andrea"}],"issued":{"date-parts":[["2020",3,21]]}}}],"schema":"https://github.com/citation-style-language/schema/raw/master/csl-citation.json"} </w:instrText>
      </w:r>
      <w:r w:rsidR="00944104" w:rsidRPr="004F5E95">
        <w:rPr>
          <w:rFonts w:ascii="Garamond" w:hAnsi="Garamond"/>
        </w:rPr>
        <w:fldChar w:fldCharType="separate"/>
      </w:r>
      <w:r w:rsidR="008F4A1B" w:rsidRPr="008F4A1B">
        <w:rPr>
          <w:rFonts w:ascii="Garamond" w:hAnsi="Garamond"/>
          <w:vertAlign w:val="superscript"/>
        </w:rPr>
        <w:t>47</w:t>
      </w:r>
      <w:r w:rsidR="00944104" w:rsidRPr="004F5E95">
        <w:rPr>
          <w:rFonts w:ascii="Garamond" w:hAnsi="Garamond"/>
        </w:rPr>
        <w:fldChar w:fldCharType="end"/>
      </w:r>
      <w:r w:rsidR="002A4223" w:rsidRPr="004F5E95">
        <w:rPr>
          <w:rFonts w:ascii="Garamond" w:hAnsi="Garamond"/>
        </w:rPr>
        <w:t xml:space="preserve"> </w:t>
      </w:r>
      <w:r w:rsidR="00A14441" w:rsidRPr="004F5E95">
        <w:rPr>
          <w:rFonts w:ascii="Garamond" w:hAnsi="Garamond"/>
        </w:rPr>
        <w:t>Recent e</w:t>
      </w:r>
      <w:r w:rsidRPr="004F5E95">
        <w:rPr>
          <w:rFonts w:ascii="Garamond" w:hAnsi="Garamond"/>
        </w:rPr>
        <w:t xml:space="preserve">xperience </w:t>
      </w:r>
      <w:r w:rsidR="00A14441" w:rsidRPr="004F5E95">
        <w:rPr>
          <w:rFonts w:ascii="Garamond" w:hAnsi="Garamond"/>
        </w:rPr>
        <w:t>with</w:t>
      </w:r>
      <w:r w:rsidRPr="004F5E95">
        <w:rPr>
          <w:rFonts w:ascii="Garamond" w:hAnsi="Garamond"/>
        </w:rPr>
        <w:t xml:space="preserve"> Australia’s National COVID-19 Clinical Evidence Taskforce illustrates how</w:t>
      </w:r>
      <w:r w:rsidR="005E290C">
        <w:rPr>
          <w:rFonts w:ascii="Garamond" w:hAnsi="Garamond"/>
        </w:rPr>
        <w:t xml:space="preserve"> a comprehensive set of</w:t>
      </w:r>
      <w:r w:rsidRPr="004F5E95">
        <w:rPr>
          <w:rFonts w:ascii="Garamond" w:hAnsi="Garamond"/>
        </w:rPr>
        <w:t xml:space="preserve"> </w:t>
      </w:r>
      <w:r w:rsidR="00684F05" w:rsidRPr="004F5E95">
        <w:rPr>
          <w:rFonts w:ascii="Garamond" w:hAnsi="Garamond"/>
        </w:rPr>
        <w:t>r</w:t>
      </w:r>
      <w:r w:rsidR="0022041C" w:rsidRPr="004F5E95">
        <w:rPr>
          <w:rFonts w:ascii="Garamond" w:hAnsi="Garamond"/>
        </w:rPr>
        <w:t>ecommendations</w:t>
      </w:r>
      <w:r w:rsidR="000565F4" w:rsidRPr="004F5E95">
        <w:rPr>
          <w:rFonts w:ascii="Garamond" w:hAnsi="Garamond"/>
        </w:rPr>
        <w:t xml:space="preserve"> </w:t>
      </w:r>
      <w:r w:rsidRPr="004F5E95">
        <w:rPr>
          <w:rFonts w:ascii="Garamond" w:hAnsi="Garamond"/>
        </w:rPr>
        <w:t>can be</w:t>
      </w:r>
      <w:r w:rsidR="000565F4" w:rsidRPr="004F5E95">
        <w:rPr>
          <w:rFonts w:ascii="Garamond" w:hAnsi="Garamond"/>
        </w:rPr>
        <w:t xml:space="preserve"> </w:t>
      </w:r>
      <w:r w:rsidR="002830A0" w:rsidRPr="004F5E95">
        <w:rPr>
          <w:rFonts w:ascii="Garamond" w:hAnsi="Garamond"/>
        </w:rPr>
        <w:t>dynamically updated based on new practice-changing</w:t>
      </w:r>
      <w:r w:rsidR="009C1E58">
        <w:rPr>
          <w:rFonts w:ascii="Garamond" w:hAnsi="Garamond"/>
        </w:rPr>
        <w:t xml:space="preserve"> </w:t>
      </w:r>
      <w:r w:rsidR="002830A0" w:rsidRPr="004F5E95">
        <w:rPr>
          <w:rFonts w:ascii="Garamond" w:hAnsi="Garamond"/>
        </w:rPr>
        <w:t>evidence</w:t>
      </w:r>
      <w:r w:rsidR="0022041C" w:rsidRPr="004F5E95">
        <w:rPr>
          <w:rFonts w:ascii="Garamond" w:hAnsi="Garamond"/>
        </w:rPr>
        <w:t>, facilitated by</w:t>
      </w:r>
      <w:r w:rsidR="0080754F">
        <w:rPr>
          <w:rFonts w:ascii="Garamond" w:hAnsi="Garamond"/>
        </w:rPr>
        <w:t xml:space="preserve"> innovative processes and</w:t>
      </w:r>
      <w:r w:rsidR="002830A0" w:rsidRPr="004F5E95">
        <w:rPr>
          <w:rFonts w:ascii="Garamond" w:hAnsi="Garamond"/>
        </w:rPr>
        <w:t xml:space="preserve"> digitally structured data in interoperable platform</w:t>
      </w:r>
      <w:r w:rsidR="00907922" w:rsidRPr="004F5E95">
        <w:rPr>
          <w:rFonts w:ascii="Garamond" w:hAnsi="Garamond"/>
        </w:rPr>
        <w:t>s</w:t>
      </w:r>
      <w:r w:rsidR="00443DD6" w:rsidRPr="004F5E95">
        <w:rPr>
          <w:rFonts w:ascii="Garamond" w:hAnsi="Garamond"/>
        </w:rPr>
        <w:t xml:space="preserve"> (e.g., </w:t>
      </w:r>
      <w:proofErr w:type="spellStart"/>
      <w:r w:rsidR="00443DD6" w:rsidRPr="004F5E95">
        <w:rPr>
          <w:rFonts w:ascii="Garamond" w:hAnsi="Garamond"/>
        </w:rPr>
        <w:t>MAGICapp</w:t>
      </w:r>
      <w:proofErr w:type="spellEnd"/>
      <w:r w:rsidR="00443DD6" w:rsidRPr="004F5E95">
        <w:rPr>
          <w:rFonts w:ascii="Garamond" w:hAnsi="Garamond"/>
        </w:rPr>
        <w:t>)</w:t>
      </w:r>
      <w:r w:rsidRPr="004F5E95">
        <w:rPr>
          <w:rFonts w:ascii="Garamond" w:hAnsi="Garamond"/>
        </w:rPr>
        <w:t>.</w:t>
      </w:r>
      <w:r w:rsidRPr="004F5E95">
        <w:rPr>
          <w:rFonts w:ascii="Garamond" w:hAnsi="Garamond"/>
        </w:rPr>
        <w:fldChar w:fldCharType="begin"/>
      </w:r>
      <w:r w:rsidR="008F4A1B">
        <w:rPr>
          <w:rFonts w:ascii="Garamond" w:hAnsi="Garamond"/>
        </w:rPr>
        <w:instrText xml:space="preserve"> ADDIN ZOTERO_ITEM CSL_CITATION {"citationID":"XqntBpfa","properties":{"formattedCitation":"\\super 48\\nosupersub{}","plainCitation":"48","noteIndex":0},"citationItems":[{"id":921,"uris":["http://zotero.org/users/local/LpXke84i/items/MXKVFEYZ"],"uri":["http://zotero.org/users/local/LpXke84i/items/MXKVFEYZ"],"itemData":{"id":921,"type":"article-journal","abstract":"Standards and guidance for developing trustworthy clinical practice guidelines are now available, and a number of leading guidelines adhere to the key standards. Even current trustworthy guidelines, however, generally suffer from a  cumbersome development process, suboptimal presentation formats, inefficient dissemination to clinicians at the point of care, high risk of becoming quickly outdated, and suboptimal facilitation of shared decision-making with patients. To address these limitations, we have--in our innovative research program and nonprofit organization, MAGIC (Making GRADE the Irresistible Choice)--constructed a conceptual framework and tools to facilitate the creation, dissemination, and dynamic updating of trustworthy guidelines. We have developed an online application that constitutes an authoring and publication platform that allows guideline content to be written and structured in a database, published directly  on our web platform or exported in a computer-interpretable language (eg, XML) enabling dissemination through a wide range of outputs that include electronic medical record systems, web portals, and applications for smartphones/tablets. Modifications in guidelines, such as recommendation updates, will lead to automatic alterations in these outputs with minimal additional labor for guideline authors and publishers, greatly facilitating dynamic updating of guidelines. Semiautomated creation of a new generation of decision aids linked to guideline recommendations should facilitate face-to-face shared decision-making in the clinical encounter. We invite guideline organizations to partner with us (www.magicproject.org) to apply and further improve the tools for their purposes. This work will result in clinical practice guidelines that we cannot only trust,  but also easily share and use.","container-title":"Chest","DOI":"10.1378/chest.13-0746","ISSN":"1931-3543 0012-3692","issue":"2","journalAbbreviation":"Chest","language":"eng","note":"publisher-place: United States\nPMID: 23918106","page":"381-389","title":"Creating clinical practice guidelines we can trust, use, and share: a new era is  imminent.","volume":"144","author":[{"family":"Vandvik","given":"Per Olav"},{"family":"Brandt","given":"Linn"},{"family":"Alonso-Coello","given":"Pablo"},{"family":"Treweek","given":"Shaun"},{"family":"Akl","given":"Elie A."},{"family":"Kristiansen","given":"Annette"},{"family":"Fog-Heen","given":"Anja"},{"family":"Agoritsas","given":"Thomas"},{"family":"Montori","given":"Victor M."},{"family":"Guyatt","given":"Gordon"}],"issued":{"date-parts":[["2013",8]]}}}],"schema":"https://github.com/citation-style-language/schema/raw/master/csl-citation.json"} </w:instrText>
      </w:r>
      <w:r w:rsidRPr="004F5E95">
        <w:rPr>
          <w:rFonts w:ascii="Garamond" w:hAnsi="Garamond"/>
        </w:rPr>
        <w:fldChar w:fldCharType="separate"/>
      </w:r>
      <w:r w:rsidR="008F4A1B" w:rsidRPr="008F4A1B">
        <w:rPr>
          <w:rFonts w:ascii="Garamond" w:hAnsi="Garamond"/>
          <w:vertAlign w:val="superscript"/>
        </w:rPr>
        <w:t>48</w:t>
      </w:r>
      <w:r w:rsidRPr="004F5E95">
        <w:rPr>
          <w:rFonts w:ascii="Garamond" w:hAnsi="Garamond"/>
        </w:rPr>
        <w:fldChar w:fldCharType="end"/>
      </w:r>
      <w:r w:rsidR="00684F05" w:rsidRPr="004F5E95">
        <w:rPr>
          <w:rFonts w:ascii="Garamond" w:hAnsi="Garamond"/>
        </w:rPr>
        <w:t xml:space="preserve"> </w:t>
      </w:r>
      <w:r w:rsidR="005E290C">
        <w:rPr>
          <w:rFonts w:ascii="Garamond" w:hAnsi="Garamond"/>
        </w:rPr>
        <w:t>S</w:t>
      </w:r>
      <w:r w:rsidR="0022041C" w:rsidRPr="004F5E95">
        <w:rPr>
          <w:rFonts w:ascii="Garamond" w:hAnsi="Garamond"/>
        </w:rPr>
        <w:t xml:space="preserve">uch platforms allow </w:t>
      </w:r>
      <w:r w:rsidRPr="004F5E95">
        <w:rPr>
          <w:rFonts w:ascii="Garamond" w:hAnsi="Garamond"/>
        </w:rPr>
        <w:t xml:space="preserve">for </w:t>
      </w:r>
      <w:r w:rsidR="002830A0" w:rsidRPr="004F5E95">
        <w:rPr>
          <w:rFonts w:ascii="Garamond" w:hAnsi="Garamond"/>
        </w:rPr>
        <w:t xml:space="preserve">immediate </w:t>
      </w:r>
      <w:r w:rsidR="00907922" w:rsidRPr="004F5E95">
        <w:rPr>
          <w:rFonts w:ascii="Garamond" w:hAnsi="Garamond"/>
        </w:rPr>
        <w:t xml:space="preserve">global dissemination </w:t>
      </w:r>
      <w:r w:rsidR="002830A0" w:rsidRPr="004F5E95">
        <w:rPr>
          <w:rFonts w:ascii="Garamond" w:hAnsi="Garamond"/>
        </w:rPr>
        <w:t>of recommendations, interacti</w:t>
      </w:r>
      <w:r w:rsidR="00907922" w:rsidRPr="004F5E95">
        <w:rPr>
          <w:rFonts w:ascii="Garamond" w:hAnsi="Garamond"/>
        </w:rPr>
        <w:t>v</w:t>
      </w:r>
      <w:r w:rsidR="002830A0" w:rsidRPr="004F5E95">
        <w:rPr>
          <w:rFonts w:ascii="Garamond" w:hAnsi="Garamond"/>
        </w:rPr>
        <w:t>e evidence summaries and decision aids</w:t>
      </w:r>
      <w:r w:rsidR="00717B55" w:rsidRPr="004F5E95">
        <w:rPr>
          <w:rFonts w:ascii="Garamond" w:hAnsi="Garamond"/>
        </w:rPr>
        <w:t xml:space="preserve"> that are </w:t>
      </w:r>
      <w:r w:rsidR="00907922" w:rsidRPr="004F5E95">
        <w:rPr>
          <w:rFonts w:ascii="Garamond" w:hAnsi="Garamond"/>
        </w:rPr>
        <w:t xml:space="preserve">available for </w:t>
      </w:r>
      <w:r w:rsidR="002830A0" w:rsidRPr="004F5E95">
        <w:rPr>
          <w:rFonts w:ascii="Garamond" w:hAnsi="Garamond"/>
        </w:rPr>
        <w:t>re-us</w:t>
      </w:r>
      <w:r w:rsidR="0022041C" w:rsidRPr="004F5E95">
        <w:rPr>
          <w:rFonts w:ascii="Garamond" w:hAnsi="Garamond"/>
        </w:rPr>
        <w:t xml:space="preserve">e, </w:t>
      </w:r>
      <w:r w:rsidR="002830A0" w:rsidRPr="004F5E95">
        <w:rPr>
          <w:rFonts w:ascii="Garamond" w:hAnsi="Garamond"/>
        </w:rPr>
        <w:t>adaptation</w:t>
      </w:r>
      <w:r w:rsidR="0022041C" w:rsidRPr="004F5E95">
        <w:rPr>
          <w:rFonts w:ascii="Garamond" w:hAnsi="Garamond"/>
        </w:rPr>
        <w:t xml:space="preserve"> and implementation</w:t>
      </w:r>
      <w:r w:rsidR="002830A0" w:rsidRPr="004F5E95">
        <w:rPr>
          <w:rFonts w:ascii="Garamond" w:hAnsi="Garamond"/>
        </w:rPr>
        <w:t>.</w:t>
      </w:r>
      <w:r w:rsidRPr="004F5E95">
        <w:rPr>
          <w:rFonts w:ascii="Garamond" w:hAnsi="Garamond"/>
        </w:rPr>
        <w:t xml:space="preserve"> WHO and prominent guideline development organisations </w:t>
      </w:r>
      <w:r w:rsidR="006F1E0A" w:rsidRPr="004F5E95">
        <w:rPr>
          <w:rFonts w:ascii="Garamond" w:hAnsi="Garamond"/>
        </w:rPr>
        <w:t xml:space="preserve">are </w:t>
      </w:r>
      <w:r w:rsidR="00A14441" w:rsidRPr="004F5E95">
        <w:rPr>
          <w:rFonts w:ascii="Garamond" w:hAnsi="Garamond"/>
        </w:rPr>
        <w:t>now</w:t>
      </w:r>
      <w:r w:rsidR="00256E06">
        <w:rPr>
          <w:rFonts w:ascii="Garamond" w:hAnsi="Garamond"/>
        </w:rPr>
        <w:t xml:space="preserve"> </w:t>
      </w:r>
      <w:r w:rsidR="00734A77" w:rsidRPr="004F5E95">
        <w:rPr>
          <w:rFonts w:ascii="Garamond" w:hAnsi="Garamond"/>
        </w:rPr>
        <w:t xml:space="preserve">moving towards </w:t>
      </w:r>
      <w:r w:rsidR="00944104" w:rsidRPr="004F5E95">
        <w:rPr>
          <w:rFonts w:ascii="Garamond" w:hAnsi="Garamond"/>
        </w:rPr>
        <w:t xml:space="preserve">producing </w:t>
      </w:r>
      <w:r w:rsidR="00734A77" w:rsidRPr="004F5E95">
        <w:rPr>
          <w:rFonts w:ascii="Garamond" w:hAnsi="Garamond"/>
        </w:rPr>
        <w:t>such living guidance</w:t>
      </w:r>
      <w:r w:rsidR="009C1E58">
        <w:rPr>
          <w:rFonts w:ascii="Garamond" w:hAnsi="Garamond"/>
        </w:rPr>
        <w:t xml:space="preserve"> for COVID-</w:t>
      </w:r>
      <w:proofErr w:type="gramStart"/>
      <w:r w:rsidR="009C1E58">
        <w:rPr>
          <w:rFonts w:ascii="Garamond" w:hAnsi="Garamond"/>
        </w:rPr>
        <w:t>1</w:t>
      </w:r>
      <w:r w:rsidR="00256E06">
        <w:rPr>
          <w:rFonts w:ascii="Garamond" w:hAnsi="Garamond"/>
        </w:rPr>
        <w:t>9</w:t>
      </w:r>
      <w:r w:rsidR="009C1E58">
        <w:rPr>
          <w:rFonts w:ascii="Garamond" w:hAnsi="Garamond"/>
        </w:rPr>
        <w:t>.</w:t>
      </w:r>
      <w:proofErr w:type="gramEnd"/>
      <w:r w:rsidR="009C1E58">
        <w:rPr>
          <w:rFonts w:ascii="Garamond" w:hAnsi="Garamond"/>
        </w:rPr>
        <w:t xml:space="preserve"> </w:t>
      </w:r>
      <w:r w:rsidR="00734A77" w:rsidRPr="004F5E95">
        <w:rPr>
          <w:rFonts w:ascii="Garamond" w:hAnsi="Garamond"/>
        </w:rPr>
        <w:t xml:space="preserve">Some are </w:t>
      </w:r>
      <w:r w:rsidR="006F1E0A" w:rsidRPr="004F5E95">
        <w:rPr>
          <w:rFonts w:ascii="Garamond" w:hAnsi="Garamond"/>
        </w:rPr>
        <w:t xml:space="preserve">dedicated to </w:t>
      </w:r>
      <w:r w:rsidRPr="004F5E95">
        <w:rPr>
          <w:rFonts w:ascii="Garamond" w:hAnsi="Garamond"/>
        </w:rPr>
        <w:t>shar</w:t>
      </w:r>
      <w:r w:rsidR="006F1E0A" w:rsidRPr="004F5E95">
        <w:rPr>
          <w:rFonts w:ascii="Garamond" w:hAnsi="Garamond"/>
        </w:rPr>
        <w:t>e</w:t>
      </w:r>
      <w:r w:rsidRPr="004F5E95">
        <w:rPr>
          <w:rFonts w:ascii="Garamond" w:hAnsi="Garamond"/>
        </w:rPr>
        <w:t xml:space="preserve"> evidence and recommendations in a </w:t>
      </w:r>
      <w:proofErr w:type="gramStart"/>
      <w:r w:rsidRPr="004F5E95">
        <w:rPr>
          <w:rFonts w:ascii="Garamond" w:hAnsi="Garamond"/>
        </w:rPr>
        <w:t>globally</w:t>
      </w:r>
      <w:r w:rsidR="00782281" w:rsidRPr="004F5E95">
        <w:rPr>
          <w:rFonts w:ascii="Garamond" w:hAnsi="Garamond"/>
        </w:rPr>
        <w:t>-</w:t>
      </w:r>
      <w:r w:rsidRPr="004F5E95">
        <w:rPr>
          <w:rFonts w:ascii="Garamond" w:hAnsi="Garamond"/>
        </w:rPr>
        <w:t>concerted</w:t>
      </w:r>
      <w:proofErr w:type="gramEnd"/>
      <w:r w:rsidRPr="004F5E95">
        <w:rPr>
          <w:rFonts w:ascii="Garamond" w:hAnsi="Garamond"/>
        </w:rPr>
        <w:t xml:space="preserve"> effort, aiming for three weeks from evidence to publication. </w:t>
      </w:r>
      <w:r w:rsidR="00055DCB" w:rsidRPr="004F5E95">
        <w:rPr>
          <w:rFonts w:ascii="Garamond" w:hAnsi="Garamond"/>
          <w:i/>
          <w:iCs/>
        </w:rPr>
        <w:t>The BMJ</w:t>
      </w:r>
      <w:r w:rsidR="00055DCB" w:rsidRPr="004F5E95">
        <w:rPr>
          <w:rFonts w:ascii="Garamond" w:hAnsi="Garamond"/>
        </w:rPr>
        <w:t xml:space="preserve">’s </w:t>
      </w:r>
      <w:r w:rsidRPr="004F5E95">
        <w:rPr>
          <w:rFonts w:ascii="Garamond" w:hAnsi="Garamond"/>
        </w:rPr>
        <w:t>‘</w:t>
      </w:r>
      <w:r w:rsidR="00ED69E8" w:rsidRPr="004F5E95">
        <w:rPr>
          <w:rFonts w:ascii="Garamond" w:hAnsi="Garamond"/>
        </w:rPr>
        <w:t>Rapid Recommendations</w:t>
      </w:r>
      <w:r w:rsidRPr="004F5E95">
        <w:rPr>
          <w:rFonts w:ascii="Garamond" w:hAnsi="Garamond"/>
        </w:rPr>
        <w:t xml:space="preserve">’ </w:t>
      </w:r>
      <w:r w:rsidR="00FA727E">
        <w:rPr>
          <w:rFonts w:ascii="Garamond" w:hAnsi="Garamond"/>
        </w:rPr>
        <w:t xml:space="preserve">on </w:t>
      </w:r>
      <w:proofErr w:type="spellStart"/>
      <w:r w:rsidR="00FA727E">
        <w:rPr>
          <w:rFonts w:ascii="Garamond" w:hAnsi="Garamond"/>
        </w:rPr>
        <w:t>remdesevir</w:t>
      </w:r>
      <w:proofErr w:type="spellEnd"/>
      <w:r w:rsidR="00FA727E">
        <w:rPr>
          <w:rFonts w:ascii="Garamond" w:hAnsi="Garamond"/>
        </w:rPr>
        <w:t xml:space="preserve"> </w:t>
      </w:r>
      <w:r w:rsidR="007D3689">
        <w:rPr>
          <w:rFonts w:ascii="Garamond" w:hAnsi="Garamond"/>
        </w:rPr>
        <w:t xml:space="preserve">illustrates how </w:t>
      </w:r>
      <w:r w:rsidRPr="004F5E95">
        <w:rPr>
          <w:rFonts w:ascii="Garamond" w:hAnsi="Garamond"/>
        </w:rPr>
        <w:t>such</w:t>
      </w:r>
      <w:r w:rsidR="009C1E58">
        <w:rPr>
          <w:rFonts w:ascii="Garamond" w:hAnsi="Garamond"/>
        </w:rPr>
        <w:t xml:space="preserve"> global collaboration</w:t>
      </w:r>
      <w:r w:rsidRPr="004F5E95">
        <w:rPr>
          <w:rFonts w:ascii="Garamond" w:hAnsi="Garamond"/>
        </w:rPr>
        <w:t xml:space="preserve"> and iterative guidance development</w:t>
      </w:r>
      <w:r w:rsidR="007D3689">
        <w:rPr>
          <w:rFonts w:ascii="Garamond" w:hAnsi="Garamond"/>
        </w:rPr>
        <w:t xml:space="preserve"> can work</w:t>
      </w:r>
      <w:r w:rsidR="00FA727E">
        <w:rPr>
          <w:rFonts w:ascii="Garamond" w:hAnsi="Garamond"/>
        </w:rPr>
        <w:t xml:space="preserve">, </w:t>
      </w:r>
      <w:r w:rsidR="0080754F">
        <w:rPr>
          <w:rFonts w:ascii="Garamond" w:hAnsi="Garamond"/>
        </w:rPr>
        <w:t xml:space="preserve">informed by </w:t>
      </w:r>
      <w:r w:rsidR="00FA727E">
        <w:rPr>
          <w:rFonts w:ascii="Garamond" w:hAnsi="Garamond"/>
        </w:rPr>
        <w:t>living network meta-analysis</w:t>
      </w:r>
      <w:r w:rsidR="00684F05" w:rsidRPr="004F5E95">
        <w:rPr>
          <w:rFonts w:ascii="Garamond" w:hAnsi="Garamond"/>
        </w:rPr>
        <w:t>.</w:t>
      </w:r>
      <w:r w:rsidRPr="004F5E95">
        <w:rPr>
          <w:rFonts w:ascii="Garamond" w:hAnsi="Garamond"/>
        </w:rPr>
        <w:fldChar w:fldCharType="begin"/>
      </w:r>
      <w:r w:rsidR="008F4A1B">
        <w:rPr>
          <w:rFonts w:ascii="Garamond" w:hAnsi="Garamond"/>
        </w:rPr>
        <w:instrText xml:space="preserve"> ADDIN ZOTERO_ITEM CSL_CITATION {"citationID":"tpVAKpVZ","properties":{"formattedCitation":"\\super 42,49\\nosupersub{}","plainCitation":"42,49","noteIndex":0},"citationItems":[{"id":922,"uris":["http://zotero.org/users/local/LpXke84i/items/2VJ7MXRN"],"uri":["http://zotero.org/users/local/LpXke84i/items/2VJ7MXRN"],"itemData":{"id":922,"type":"article-journal","container-title":"BMJ","DOI":"10.1136/bmj.i5191","note":"publisher: BMJ Publishing Group Ltd\n_eprint: https://www.bmj.com/content/354/bmj.i5191.full.pdf","title":"Introduction to BMJ Rapid Recommendations","URL":"https://www.bmj.com/content/354/bmj.i5191","volume":"354","author":[{"family":"Siemieniuk","given":"Reed A"},{"family":"Agoritsas","given":"Thomas"},{"family":"Macdonald","given":"Helen"},{"family":"Guyatt","given":"Gordon H"},{"family":"Brandt","given":"Linn"},{"family":"Vandvik","given":"Per O"}],"issued":{"date-parts":[["2016"]]}}},{"id":986,"uris":["http://zotero.org/users/local/LpXke84i/items/2VJPFS8S"],"uri":["http://zotero.org/users/local/LpXke84i/items/2VJPFS8S"],"itemData":{"id":986,"type":"article-journal","abstract":"Objective To compare the effects of treatments for coronavirus disease 2019 (covid-19).Design Living systematic review and network meta-analysis.Data sources US Centers for Disease Control and Prevention COVID-19 Research Articles Downloadable Database, which includes 25 electronic databases and six additional Chinese databases to 20 July 2020.Study selection Randomised clinical trials in which people with suspected, probable, or confirmed covid-19 were randomised to drug treatment or to standard care or placebo. Pairs of reviewers independently screened potentially eligible articles.Methods After duplicate data abstraction, a bayesian random effects network meta-analysis was conducted. Risk of bias of the included studies was assessed using a modification of the Cochrane risk of bias 2.0 tool, and the certainty of the evidence using the grading of recommendations assessment, development and evaluation (GRADE) approach. For each outcome, interventions were classified in groups from the most to the least beneficial or harmful following GRADE guidance.Results 23 randomised controlled trials were included in the analysis performed on 26 June 2020. The certainty of the evidence for most comparisons was very low because of risk of bias (lack of blinding) and serious imprecision. Glucocorticoids were the only intervention with evidence for a reduction in death compared with standard care (risk difference 37 fewer per 1000 patients, 95% credible interval 63 fewer to 11 fewer, moderate certainty) and mechanical ventilation (31 fewer per 1000 patients, 47 fewer to 9 fewer, moderate certainty). These estimates are based on direct evidence; network estimates for glucocorticoids compared with standard care were less precise because of network heterogeneity. Three drugs might reduce symptom duration compared with standard care: hydroxychloroquine (mean difference -4.5 days, low certainty), remdesivir (-2.6 days, moderate certainty), and lopinavir-ritonavir (-1.2 days, low certainty). Hydroxychloroquine might increase the risk of adverse events compared with the other interventions, and remdesivir probably does not substantially increase the risk of adverse effects leading to drug discontinuation. No other interventions included enough patients to meaningfully interpret adverse effects leading to drug discontinuation.Conclusion Glucocorticoids probably reduce mortality and mechanical ventilation in patients with covid-19 compared with standard care. The effectiveness of most interventions is uncertain because most of the randomised controlled trials so far have been small and have important study limitations.Systematic review registration This review was not registered. The protocol is included as a supplement.Readers’ note This article is a living systematic review that will be updated to reflect emerging evidence. Updates may occur for up to two years from the date of original publication.","container-title":"BMJ","DOI":"10.1136/bmj.m2980","note":"publisher: BMJ Publishing Group Ltd\n_eprint: https://www.bmj.com/content/370/bmj.m2980.full.pdf","title":"Drug treatments for covid-19: living systematic review and network meta-analysis","URL":"https://www.bmj.com/content/370/bmj.m2980","volume":"370","author":[{"family":"Siemieniuk","given":"Reed AC"},{"family":"Bartoszko","given":"Jessica J"},{"family":"Ge","given":"Long"},{"family":"Zeraatkar","given":"Dena"},{"family":"Izcovich","given":"Ariel"},{"family":"Pardo-Hernandez","given":"Hector"},{"family":"Rochwerg","given":"Bram"},{"family":"Lamontagne","given":"Francois"},{"family":"Han","given":"Mi Ah"},{"family":"Kum","given":"Elena"},{"family":"Liu","given":"Qin"},{"family":"Agarwal","given":"Arnav"},{"family":"Agoritsas","given":"Thomas"},{"family":"Alexander","given":"Paul"},{"family":"Chu","given":"Derek K"},{"family":"Couban","given":"Rachel"},{"family":"Darzi","given":"Andrea"},{"family":"Devji","given":"Tahira"},{"family":"Fang","given":"Bo"},{"family":"Fang","given":"Carmen"},{"family":"Flottorp","given":"Signe Agnes"},{"family":"Foroutan","given":"Farid"},{"family":"Heels-Ansdell","given":"Diane"},{"family":"Honarmand","given":"Kimia"},{"family":"Hou","given":"Liangying"},{"family":"Hou","given":"Xiaorong"},{"family":"Ibrahim","given":"Quazi"},{"family":"Loeb","given":"Mark"},{"family":"Marcucci","given":"Maura"},{"family":"McLeod","given":"Shelley L"},{"family":"Motaghi","given":"Sharhzad"},{"family":"Murthy","given":"Srinivas"},{"family":"Mustafa","given":"Reem A"},{"family":"Neary","given":"John D"},{"family":"Qasim","given":"Anila"},{"family":"Rada","given":"Gabriel"},{"family":"Riaz","given":"Irbaz Bin"},{"family":"Sadeghirad","given":"Behnam"},{"family":"Sekercioglu","given":"Nigar"},{"family":"Sheng","given":"Lulu"},{"family":"Switzer","given":"Charlotte"},{"family":"Tendal","given":"Britta"},{"family":"Thabane","given":"Lehana"},{"family":"Tomlinson","given":"George"},{"family":"Turner","given":"Tari"},{"family":"Vandvik","given":"Per O"},{"family":"Vernooij","given":"Robin WM"},{"family":"Viteri-García","given":"Andrés"},{"family":"Wang","given":"Ying"},{"family":"Yao","given":"Liang"},{"family":"Ye","given":"Zhikang"},{"family":"Guyatt","given":"Gordon H"},{"family":"Brignardello-Petersen","given":"Romina"}],"issued":{"date-parts":[["2020"]]}}}],"schema":"https://github.com/citation-style-language/schema/raw/master/csl-citation.json"} </w:instrText>
      </w:r>
      <w:r w:rsidRPr="004F5E95">
        <w:rPr>
          <w:rFonts w:ascii="Garamond" w:hAnsi="Garamond"/>
        </w:rPr>
        <w:fldChar w:fldCharType="separate"/>
      </w:r>
      <w:r w:rsidR="008F4A1B" w:rsidRPr="008F4A1B">
        <w:rPr>
          <w:rFonts w:ascii="Garamond" w:hAnsi="Garamond"/>
          <w:vertAlign w:val="superscript"/>
        </w:rPr>
        <w:t>42,49</w:t>
      </w:r>
      <w:r w:rsidRPr="004F5E95">
        <w:rPr>
          <w:rFonts w:ascii="Garamond" w:hAnsi="Garamond"/>
        </w:rPr>
        <w:fldChar w:fldCharType="end"/>
      </w:r>
      <w:r w:rsidR="00FB6AA9" w:rsidRPr="004F5E95">
        <w:rPr>
          <w:rFonts w:ascii="Garamond" w:hAnsi="Garamond"/>
        </w:rPr>
        <w:t xml:space="preserve"> </w:t>
      </w:r>
      <w:r w:rsidR="009C1E58">
        <w:rPr>
          <w:rFonts w:ascii="Garamond" w:hAnsi="Garamond"/>
        </w:rPr>
        <w:t xml:space="preserve">WHO guidance </w:t>
      </w:r>
      <w:r w:rsidR="00DD4D72">
        <w:rPr>
          <w:rFonts w:ascii="Garamond" w:hAnsi="Garamond"/>
        </w:rPr>
        <w:t>on</w:t>
      </w:r>
      <w:r w:rsidR="00256E06">
        <w:rPr>
          <w:rFonts w:ascii="Garamond" w:hAnsi="Garamond"/>
        </w:rPr>
        <w:t xml:space="preserve"> corticosteroids </w:t>
      </w:r>
      <w:r w:rsidR="00DD4D72">
        <w:rPr>
          <w:rFonts w:ascii="Garamond" w:hAnsi="Garamond"/>
        </w:rPr>
        <w:t xml:space="preserve">for </w:t>
      </w:r>
      <w:r w:rsidR="00256E06">
        <w:rPr>
          <w:rFonts w:ascii="Garamond" w:hAnsi="Garamond"/>
        </w:rPr>
        <w:t>COVID-19 was developed in a similar way</w:t>
      </w:r>
      <w:r w:rsidR="00DD4D72">
        <w:rPr>
          <w:rFonts w:ascii="Garamond" w:hAnsi="Garamond"/>
        </w:rPr>
        <w:t>, adding a</w:t>
      </w:r>
      <w:r w:rsidR="00256E06">
        <w:rPr>
          <w:rFonts w:ascii="Garamond" w:hAnsi="Garamond"/>
        </w:rPr>
        <w:t xml:space="preserve"> prospective meta-analysis of ongoing trials to the network meta-analysi</w:t>
      </w:r>
      <w:r w:rsidR="00DD4D72">
        <w:rPr>
          <w:rFonts w:ascii="Garamond" w:hAnsi="Garamond"/>
        </w:rPr>
        <w:t>s</w:t>
      </w:r>
      <w:r w:rsidR="0080754F">
        <w:rPr>
          <w:rFonts w:ascii="Garamond" w:hAnsi="Garamond"/>
        </w:rPr>
        <w:t xml:space="preserve"> (in press)</w:t>
      </w:r>
      <w:r w:rsidR="00DD4D72">
        <w:rPr>
          <w:rFonts w:ascii="Garamond" w:hAnsi="Garamond"/>
        </w:rPr>
        <w:t xml:space="preserve">. The </w:t>
      </w:r>
      <w:r w:rsidR="00256E06">
        <w:rPr>
          <w:rFonts w:ascii="Garamond" w:hAnsi="Garamond"/>
        </w:rPr>
        <w:t>guideline panel</w:t>
      </w:r>
      <w:r w:rsidR="00DD4D72">
        <w:rPr>
          <w:rFonts w:ascii="Garamond" w:hAnsi="Garamond"/>
        </w:rPr>
        <w:t xml:space="preserve"> convened two days after and created recommendations, demonstrating the value of </w:t>
      </w:r>
      <w:r w:rsidR="0080754F">
        <w:rPr>
          <w:rFonts w:ascii="Garamond" w:hAnsi="Garamond"/>
        </w:rPr>
        <w:t xml:space="preserve">close </w:t>
      </w:r>
      <w:r w:rsidR="00DD4D72">
        <w:rPr>
          <w:rFonts w:ascii="Garamond" w:hAnsi="Garamond"/>
        </w:rPr>
        <w:t xml:space="preserve">collaboration between trialists, meta-analysts and guideline developers. </w:t>
      </w:r>
      <w:r w:rsidR="0080754F">
        <w:rPr>
          <w:rFonts w:ascii="Garamond" w:hAnsi="Garamond"/>
        </w:rPr>
        <w:t>Global dissemination of WHO guidance</w:t>
      </w:r>
      <w:r w:rsidR="00DD4D72">
        <w:rPr>
          <w:rFonts w:ascii="Garamond" w:hAnsi="Garamond"/>
        </w:rPr>
        <w:t xml:space="preserve"> was however delayed for 3 weeks</w:t>
      </w:r>
      <w:r w:rsidR="0080754F">
        <w:rPr>
          <w:rFonts w:ascii="Garamond" w:hAnsi="Garamond"/>
        </w:rPr>
        <w:t>,</w:t>
      </w:r>
      <w:r w:rsidR="00DD4D72">
        <w:rPr>
          <w:rFonts w:ascii="Garamond" w:hAnsi="Garamond"/>
        </w:rPr>
        <w:t xml:space="preserve"> </w:t>
      </w:r>
      <w:r w:rsidR="0080754F">
        <w:rPr>
          <w:rFonts w:ascii="Garamond" w:hAnsi="Garamond"/>
        </w:rPr>
        <w:t xml:space="preserve">having to wait for </w:t>
      </w:r>
      <w:r w:rsidR="008F4A1B">
        <w:rPr>
          <w:rFonts w:ascii="Garamond" w:hAnsi="Garamond"/>
        </w:rPr>
        <w:t>publication of results</w:t>
      </w:r>
      <w:r w:rsidR="0080754F">
        <w:rPr>
          <w:rFonts w:ascii="Garamond" w:hAnsi="Garamond"/>
        </w:rPr>
        <w:t xml:space="preserve"> in a scientific journal, underscoring remaining challenges.</w:t>
      </w:r>
    </w:p>
    <w:p w14:paraId="1EADEDCB" w14:textId="77777777" w:rsidR="00B8500F" w:rsidRPr="004F5E95" w:rsidRDefault="00B8500F" w:rsidP="0046318A">
      <w:pPr>
        <w:rPr>
          <w:rFonts w:ascii="Garamond" w:hAnsi="Garamond"/>
        </w:rPr>
      </w:pPr>
    </w:p>
    <w:p w14:paraId="1EB19D8C" w14:textId="08118D79" w:rsidR="00300297" w:rsidRPr="004F5E95" w:rsidRDefault="00300297" w:rsidP="0046318A">
      <w:pPr>
        <w:rPr>
          <w:rFonts w:ascii="Garamond" w:hAnsi="Garamond"/>
          <w:b/>
          <w:bCs/>
        </w:rPr>
      </w:pPr>
      <w:r w:rsidRPr="004F5E95">
        <w:rPr>
          <w:rFonts w:ascii="Garamond" w:hAnsi="Garamond"/>
          <w:b/>
          <w:bCs/>
        </w:rPr>
        <w:t>Conclusions</w:t>
      </w:r>
    </w:p>
    <w:p w14:paraId="7C953AB7" w14:textId="0C7DCFDA" w:rsidR="00F32A23" w:rsidRDefault="008B41DD" w:rsidP="004F5E95">
      <w:pPr>
        <w:ind w:firstLine="720"/>
        <w:rPr>
          <w:rFonts w:ascii="Garamond" w:hAnsi="Garamond"/>
        </w:rPr>
      </w:pPr>
      <w:r>
        <w:rPr>
          <w:rFonts w:ascii="Garamond" w:hAnsi="Garamond"/>
        </w:rPr>
        <w:t>The evidence-based medicine movement has for decades challenged the primacy of individual studies. No single study can provide adequate evidence to inform therapeutic decisions in clinical practice. Information on the comparative benefits and harms of alternative treatments is imperative and can only be obtained from a synthesis of several studies. Producing and using timely</w:t>
      </w:r>
      <w:r w:rsidR="00E244C8">
        <w:rPr>
          <w:rFonts w:ascii="Garamond" w:hAnsi="Garamond"/>
        </w:rPr>
        <w:t xml:space="preserve">, </w:t>
      </w:r>
      <w:r>
        <w:rPr>
          <w:rFonts w:ascii="Garamond" w:hAnsi="Garamond"/>
        </w:rPr>
        <w:t>trustworthy</w:t>
      </w:r>
      <w:r w:rsidR="00E244C8">
        <w:rPr>
          <w:rFonts w:ascii="Garamond" w:hAnsi="Garamond"/>
        </w:rPr>
        <w:t>, and actionable</w:t>
      </w:r>
      <w:r>
        <w:rPr>
          <w:rFonts w:ascii="Garamond" w:hAnsi="Garamond"/>
        </w:rPr>
        <w:t xml:space="preserve"> evidence requires designing, analysing, and reporting each study in a way that optimises its contribution to subsequent </w:t>
      </w:r>
      <w:r w:rsidR="000E618D">
        <w:rPr>
          <w:rFonts w:ascii="Garamond" w:hAnsi="Garamond"/>
        </w:rPr>
        <w:t xml:space="preserve">comparative effectiveness assessments. </w:t>
      </w:r>
      <w:r>
        <w:rPr>
          <w:rFonts w:ascii="Garamond" w:hAnsi="Garamond"/>
        </w:rPr>
        <w:t xml:space="preserve">Progress </w:t>
      </w:r>
      <w:r w:rsidR="00E244C8">
        <w:rPr>
          <w:rFonts w:ascii="Garamond" w:hAnsi="Garamond"/>
        </w:rPr>
        <w:t>to date</w:t>
      </w:r>
      <w:r>
        <w:rPr>
          <w:rFonts w:ascii="Garamond" w:hAnsi="Garamond"/>
        </w:rPr>
        <w:t xml:space="preserve"> </w:t>
      </w:r>
      <w:r w:rsidR="001675E1">
        <w:rPr>
          <w:rFonts w:ascii="Garamond" w:hAnsi="Garamond"/>
        </w:rPr>
        <w:t xml:space="preserve">has </w:t>
      </w:r>
      <w:r>
        <w:rPr>
          <w:rFonts w:ascii="Garamond" w:hAnsi="Garamond"/>
        </w:rPr>
        <w:t xml:space="preserve">been </w:t>
      </w:r>
      <w:r w:rsidR="003E1995">
        <w:rPr>
          <w:rFonts w:ascii="Garamond" w:hAnsi="Garamond"/>
        </w:rPr>
        <w:t xml:space="preserve">too </w:t>
      </w:r>
      <w:r>
        <w:rPr>
          <w:rFonts w:ascii="Garamond" w:hAnsi="Garamond"/>
        </w:rPr>
        <w:t xml:space="preserve">slow. </w:t>
      </w:r>
      <w:r w:rsidR="00E244C8">
        <w:rPr>
          <w:rFonts w:ascii="Garamond" w:hAnsi="Garamond"/>
        </w:rPr>
        <w:t xml:space="preserve">However, </w:t>
      </w:r>
      <w:r>
        <w:rPr>
          <w:rFonts w:ascii="Garamond" w:hAnsi="Garamond"/>
        </w:rPr>
        <w:t xml:space="preserve">COVID-19 </w:t>
      </w:r>
      <w:r w:rsidR="00E244C8">
        <w:rPr>
          <w:rFonts w:ascii="Garamond" w:hAnsi="Garamond"/>
        </w:rPr>
        <w:t xml:space="preserve">highlights the pressing need </w:t>
      </w:r>
      <w:r w:rsidR="003E1995">
        <w:rPr>
          <w:rFonts w:ascii="Garamond" w:hAnsi="Garamond"/>
        </w:rPr>
        <w:t xml:space="preserve">and the opportunity </w:t>
      </w:r>
      <w:r>
        <w:rPr>
          <w:rFonts w:ascii="Garamond" w:hAnsi="Garamond"/>
        </w:rPr>
        <w:t xml:space="preserve">to harness new collaborations </w:t>
      </w:r>
      <w:r w:rsidR="001675E1">
        <w:rPr>
          <w:rFonts w:ascii="Garamond" w:hAnsi="Garamond"/>
        </w:rPr>
        <w:t>among</w:t>
      </w:r>
      <w:r>
        <w:rPr>
          <w:rFonts w:ascii="Garamond" w:hAnsi="Garamond"/>
        </w:rPr>
        <w:t xml:space="preserve"> </w:t>
      </w:r>
      <w:r w:rsidR="001675E1">
        <w:rPr>
          <w:rFonts w:ascii="Garamond" w:hAnsi="Garamond"/>
        </w:rPr>
        <w:t>relevant</w:t>
      </w:r>
      <w:r w:rsidR="001A43A9">
        <w:rPr>
          <w:rFonts w:ascii="Garamond" w:hAnsi="Garamond"/>
        </w:rPr>
        <w:t xml:space="preserve"> stakeholders, including </w:t>
      </w:r>
      <w:r>
        <w:rPr>
          <w:rFonts w:ascii="Garamond" w:hAnsi="Garamond"/>
        </w:rPr>
        <w:t xml:space="preserve">trialists, meta-analysts, regulatory agencies, health technology assessment bodies, and payers. </w:t>
      </w:r>
    </w:p>
    <w:p w14:paraId="24213649" w14:textId="292C58DA" w:rsidR="007A7021" w:rsidRDefault="007A7021">
      <w:pPr>
        <w:rPr>
          <w:rFonts w:ascii="Garamond" w:hAnsi="Garamond"/>
        </w:rPr>
      </w:pPr>
    </w:p>
    <w:p w14:paraId="45CFDA57" w14:textId="77777777" w:rsidR="007D3689" w:rsidRDefault="007D3689">
      <w:pPr>
        <w:rPr>
          <w:rFonts w:ascii="Garamond" w:hAnsi="Garamond"/>
          <w:b/>
          <w:bCs/>
        </w:rPr>
      </w:pPr>
      <w:r>
        <w:rPr>
          <w:rFonts w:ascii="Garamond" w:hAnsi="Garamond"/>
          <w:b/>
          <w:bCs/>
        </w:rPr>
        <w:br w:type="page"/>
      </w:r>
    </w:p>
    <w:p w14:paraId="57F6E87D" w14:textId="795826A7" w:rsidR="007A7021" w:rsidRPr="00480ED9" w:rsidRDefault="007A7021">
      <w:pPr>
        <w:rPr>
          <w:rFonts w:ascii="Garamond" w:hAnsi="Garamond"/>
          <w:b/>
          <w:bCs/>
        </w:rPr>
      </w:pPr>
      <w:r w:rsidRPr="00480ED9">
        <w:rPr>
          <w:rFonts w:ascii="Garamond" w:hAnsi="Garamond"/>
          <w:b/>
          <w:bCs/>
        </w:rPr>
        <w:lastRenderedPageBreak/>
        <w:t>Contributors and sources</w:t>
      </w:r>
    </w:p>
    <w:p w14:paraId="156A8A5B" w14:textId="5766B7AA" w:rsidR="007A7021" w:rsidRPr="0076365B" w:rsidRDefault="007A7021">
      <w:pPr>
        <w:rPr>
          <w:rFonts w:ascii="Garamond" w:hAnsi="Garamond"/>
        </w:rPr>
      </w:pPr>
      <w:r>
        <w:rPr>
          <w:rFonts w:ascii="Garamond" w:hAnsi="Garamond"/>
        </w:rPr>
        <w:t xml:space="preserve">HN and AC devised the idea for this article. HN developed the first draft and all authors </w:t>
      </w:r>
      <w:r w:rsidRPr="004C5C6C">
        <w:rPr>
          <w:rFonts w:ascii="Garamond" w:hAnsi="Garamond"/>
        </w:rPr>
        <w:t xml:space="preserve">contributed to the writing of subsequent versions. HN is the guarantor.  </w:t>
      </w:r>
    </w:p>
    <w:p w14:paraId="4BF06694" w14:textId="77777777" w:rsidR="007A7021" w:rsidRPr="0076365B" w:rsidRDefault="007A7021">
      <w:pPr>
        <w:rPr>
          <w:rFonts w:ascii="Garamond" w:hAnsi="Garamond"/>
        </w:rPr>
      </w:pPr>
    </w:p>
    <w:p w14:paraId="6B81D9A0" w14:textId="77777777" w:rsidR="007A7021" w:rsidRPr="00435491" w:rsidRDefault="007A7021">
      <w:pPr>
        <w:rPr>
          <w:rFonts w:ascii="Garamond" w:hAnsi="Garamond"/>
          <w:b/>
          <w:bCs/>
        </w:rPr>
      </w:pPr>
    </w:p>
    <w:p w14:paraId="610F33EB" w14:textId="61F412CB" w:rsidR="007A7021" w:rsidRPr="00435491" w:rsidRDefault="007A7021">
      <w:pPr>
        <w:rPr>
          <w:rFonts w:ascii="Garamond" w:hAnsi="Garamond"/>
          <w:b/>
          <w:bCs/>
        </w:rPr>
      </w:pPr>
      <w:r w:rsidRPr="00435491">
        <w:rPr>
          <w:rFonts w:ascii="Garamond" w:hAnsi="Garamond"/>
          <w:b/>
          <w:bCs/>
        </w:rPr>
        <w:t>Copyright statement</w:t>
      </w:r>
    </w:p>
    <w:p w14:paraId="552A02E4" w14:textId="77777777" w:rsidR="007A7021" w:rsidRPr="00480ED9" w:rsidRDefault="007A7021" w:rsidP="007A7021">
      <w:pPr>
        <w:rPr>
          <w:rFonts w:ascii="Garamond" w:hAnsi="Garamond"/>
        </w:rPr>
      </w:pPr>
      <w:r w:rsidRPr="009C18EB">
        <w:rPr>
          <w:rFonts w:ascii="Garamond" w:hAnsi="Garamond"/>
          <w:bdr w:val="none" w:sz="0" w:space="0" w:color="auto" w:frame="1"/>
        </w:rPr>
        <w:t xml:space="preserve">The Corresponding Author has the right to grant on behalf of all authors and does grant on behalf of all authors, an exclusive licence (or </w:t>
      </w:r>
      <w:proofErr w:type="spellStart"/>
      <w:r w:rsidRPr="009C18EB">
        <w:rPr>
          <w:rFonts w:ascii="Garamond" w:hAnsi="Garamond"/>
          <w:bdr w:val="none" w:sz="0" w:space="0" w:color="auto" w:frame="1"/>
        </w:rPr>
        <w:t>non exclusive</w:t>
      </w:r>
      <w:proofErr w:type="spellEnd"/>
      <w:r w:rsidRPr="009C18EB">
        <w:rPr>
          <w:rFonts w:ascii="Garamond" w:hAnsi="Garamond"/>
          <w:bdr w:val="none" w:sz="0" w:space="0" w:color="auto" w:frame="1"/>
        </w:rPr>
        <w:t xml:space="preserve"> for government employees) on a worldwide basis to the BMJ Publishing Group Ltd ("BMJ"), and its Licensees to permit this article (if accepted) to be published in The BMJ's editions and any other BMJ products and to exploit all subsidiary rights, as set out in </w:t>
      </w:r>
      <w:hyperlink r:id="rId7" w:history="1">
        <w:r w:rsidRPr="00480ED9">
          <w:rPr>
            <w:rFonts w:ascii="Garamond" w:hAnsi="Garamond"/>
            <w:color w:val="2A6EBB"/>
            <w:u w:val="single"/>
            <w:bdr w:val="none" w:sz="0" w:space="0" w:color="auto" w:frame="1"/>
          </w:rPr>
          <w:t>our licence</w:t>
        </w:r>
      </w:hyperlink>
      <w:r w:rsidRPr="00480ED9">
        <w:rPr>
          <w:rFonts w:ascii="Garamond" w:hAnsi="Garamond"/>
          <w:color w:val="333333"/>
          <w:bdr w:val="none" w:sz="0" w:space="0" w:color="auto" w:frame="1"/>
        </w:rPr>
        <w:t>.”</w:t>
      </w:r>
    </w:p>
    <w:p w14:paraId="2CB824AF" w14:textId="52AA0F06" w:rsidR="007A7021" w:rsidRDefault="007A7021">
      <w:pPr>
        <w:rPr>
          <w:rFonts w:ascii="Garamond" w:hAnsi="Garamond"/>
        </w:rPr>
      </w:pPr>
      <w:r>
        <w:rPr>
          <w:rFonts w:ascii="Garamond" w:hAnsi="Garamond"/>
        </w:rPr>
        <w:br w:type="page"/>
      </w:r>
    </w:p>
    <w:p w14:paraId="18AF07F7" w14:textId="487ADE8A" w:rsidR="007A7021" w:rsidRPr="00480ED9" w:rsidRDefault="007A7021">
      <w:pPr>
        <w:rPr>
          <w:rFonts w:ascii="Garamond" w:hAnsi="Garamond"/>
          <w:b/>
          <w:bCs/>
        </w:rPr>
      </w:pPr>
      <w:r w:rsidRPr="00480ED9">
        <w:rPr>
          <w:rFonts w:ascii="Garamond" w:hAnsi="Garamond"/>
          <w:b/>
          <w:bCs/>
        </w:rPr>
        <w:lastRenderedPageBreak/>
        <w:t>Key messages box</w:t>
      </w:r>
    </w:p>
    <w:p w14:paraId="157551E8" w14:textId="50D3E535" w:rsidR="007A7021" w:rsidRDefault="007A7021">
      <w:pPr>
        <w:rPr>
          <w:rFonts w:ascii="Garamond" w:hAnsi="Garamond"/>
        </w:rPr>
      </w:pPr>
    </w:p>
    <w:p w14:paraId="681B79AC" w14:textId="357FF298" w:rsidR="00E244C8" w:rsidRDefault="008503F8" w:rsidP="007A7021">
      <w:pPr>
        <w:pStyle w:val="ListParagraph"/>
        <w:numPr>
          <w:ilvl w:val="0"/>
          <w:numId w:val="17"/>
        </w:numPr>
        <w:rPr>
          <w:rFonts w:ascii="Garamond" w:hAnsi="Garamond"/>
        </w:rPr>
      </w:pPr>
      <w:r>
        <w:rPr>
          <w:rFonts w:ascii="Garamond" w:hAnsi="Garamond"/>
        </w:rPr>
        <w:t>The</w:t>
      </w:r>
      <w:r w:rsidR="00155072">
        <w:rPr>
          <w:rFonts w:ascii="Garamond" w:hAnsi="Garamond"/>
        </w:rPr>
        <w:t xml:space="preserve"> record number of studies evaluating the effectiveness of repurposed and investigational drugs for COVID-19</w:t>
      </w:r>
      <w:r>
        <w:rPr>
          <w:rFonts w:ascii="Garamond" w:hAnsi="Garamond"/>
        </w:rPr>
        <w:t xml:space="preserve"> </w:t>
      </w:r>
      <w:r w:rsidR="00E244C8">
        <w:rPr>
          <w:rFonts w:ascii="Garamond" w:hAnsi="Garamond"/>
        </w:rPr>
        <w:t xml:space="preserve">has exposed important shortcomings </w:t>
      </w:r>
      <w:r w:rsidR="001D11F8">
        <w:rPr>
          <w:rFonts w:ascii="Garamond" w:hAnsi="Garamond"/>
        </w:rPr>
        <w:t>in</w:t>
      </w:r>
      <w:r w:rsidR="00E244C8">
        <w:rPr>
          <w:rFonts w:ascii="Garamond" w:hAnsi="Garamond"/>
        </w:rPr>
        <w:t xml:space="preserve"> the</w:t>
      </w:r>
      <w:r w:rsidR="001D11F8">
        <w:rPr>
          <w:rFonts w:ascii="Garamond" w:hAnsi="Garamond"/>
        </w:rPr>
        <w:t xml:space="preserve"> evidence</w:t>
      </w:r>
      <w:r w:rsidR="00E244C8">
        <w:rPr>
          <w:rFonts w:ascii="Garamond" w:hAnsi="Garamond"/>
        </w:rPr>
        <w:t xml:space="preserve"> ecosystem.</w:t>
      </w:r>
    </w:p>
    <w:p w14:paraId="7EC1EDC6" w14:textId="6C7C4718" w:rsidR="00155072" w:rsidRDefault="00E244C8" w:rsidP="007A7021">
      <w:pPr>
        <w:pStyle w:val="ListParagraph"/>
        <w:numPr>
          <w:ilvl w:val="0"/>
          <w:numId w:val="17"/>
        </w:numPr>
        <w:rPr>
          <w:rFonts w:ascii="Garamond" w:hAnsi="Garamond"/>
        </w:rPr>
      </w:pPr>
      <w:r>
        <w:rPr>
          <w:rFonts w:ascii="Garamond" w:hAnsi="Garamond"/>
        </w:rPr>
        <w:t xml:space="preserve">Despite the availability of several large multi-arm trials, </w:t>
      </w:r>
      <w:r w:rsidR="00155072">
        <w:rPr>
          <w:rFonts w:ascii="Garamond" w:hAnsi="Garamond"/>
        </w:rPr>
        <w:t>evidence on the comparative effectiveness of potential therapeutic alternatives</w:t>
      </w:r>
      <w:r>
        <w:rPr>
          <w:rFonts w:ascii="Garamond" w:hAnsi="Garamond"/>
        </w:rPr>
        <w:t xml:space="preserve"> may not emerge in a timely manner</w:t>
      </w:r>
      <w:r w:rsidR="00155072">
        <w:rPr>
          <w:rFonts w:ascii="Garamond" w:hAnsi="Garamond"/>
        </w:rPr>
        <w:t>.</w:t>
      </w:r>
    </w:p>
    <w:p w14:paraId="3B272A8A" w14:textId="51388173" w:rsidR="008503F8" w:rsidRPr="004F5E95" w:rsidRDefault="007A7021" w:rsidP="008503F8">
      <w:pPr>
        <w:pStyle w:val="ListParagraph"/>
        <w:numPr>
          <w:ilvl w:val="0"/>
          <w:numId w:val="17"/>
        </w:numPr>
        <w:rPr>
          <w:rFonts w:ascii="Garamond" w:hAnsi="Garamond"/>
        </w:rPr>
      </w:pPr>
      <w:r>
        <w:rPr>
          <w:rFonts w:ascii="Garamond" w:hAnsi="Garamond"/>
        </w:rPr>
        <w:t>Producing comparative evidence on COVID-19 therapeutics and ensuring its rapid translation into trustworthy guidance will require greater coordination and collaboration</w:t>
      </w:r>
      <w:r w:rsidRPr="001D326C">
        <w:rPr>
          <w:rFonts w:ascii="Garamond" w:hAnsi="Garamond"/>
        </w:rPr>
        <w:t xml:space="preserve"> </w:t>
      </w:r>
      <w:r w:rsidR="00E244C8">
        <w:rPr>
          <w:rFonts w:ascii="Garamond" w:hAnsi="Garamond"/>
        </w:rPr>
        <w:t>among</w:t>
      </w:r>
      <w:r w:rsidR="008503F8">
        <w:rPr>
          <w:rFonts w:ascii="Garamond" w:hAnsi="Garamond"/>
        </w:rPr>
        <w:t xml:space="preserve"> trialist</w:t>
      </w:r>
      <w:r w:rsidR="00E244C8">
        <w:rPr>
          <w:rFonts w:ascii="Garamond" w:hAnsi="Garamond"/>
        </w:rPr>
        <w:t>s, meta-analysts, and other stakeholders</w:t>
      </w:r>
      <w:r w:rsidR="008503F8">
        <w:rPr>
          <w:rFonts w:ascii="Garamond" w:hAnsi="Garamond"/>
        </w:rPr>
        <w:t xml:space="preserve">.   </w:t>
      </w:r>
    </w:p>
    <w:p w14:paraId="2A4BA573" w14:textId="77777777" w:rsidR="00C91C1E" w:rsidRDefault="00C91C1E">
      <w:pPr>
        <w:rPr>
          <w:rFonts w:ascii="Garamond" w:hAnsi="Garamond"/>
          <w:b/>
          <w:bCs/>
        </w:rPr>
      </w:pPr>
    </w:p>
    <w:p w14:paraId="2C0D2FF0" w14:textId="77777777" w:rsidR="007A7021" w:rsidRDefault="007A7021">
      <w:pPr>
        <w:rPr>
          <w:rFonts w:ascii="Garamond" w:hAnsi="Garamond"/>
          <w:b/>
          <w:bCs/>
        </w:rPr>
      </w:pPr>
      <w:r>
        <w:rPr>
          <w:rFonts w:ascii="Garamond" w:hAnsi="Garamond"/>
          <w:b/>
          <w:bCs/>
        </w:rPr>
        <w:br w:type="page"/>
      </w:r>
    </w:p>
    <w:p w14:paraId="330DFA7B" w14:textId="2F640B2B" w:rsidR="00E6562B" w:rsidRPr="00C03383" w:rsidRDefault="00C03383">
      <w:pPr>
        <w:rPr>
          <w:rFonts w:ascii="Garamond" w:hAnsi="Garamond"/>
          <w:b/>
          <w:bCs/>
        </w:rPr>
      </w:pPr>
      <w:r w:rsidRPr="00C03383">
        <w:rPr>
          <w:rFonts w:ascii="Garamond" w:hAnsi="Garamond"/>
          <w:b/>
          <w:bCs/>
        </w:rPr>
        <w:lastRenderedPageBreak/>
        <w:t xml:space="preserve">References </w:t>
      </w:r>
    </w:p>
    <w:p w14:paraId="0AC0A14C" w14:textId="77777777" w:rsidR="008F4A1B" w:rsidRPr="008F4A1B" w:rsidRDefault="00233EA2" w:rsidP="008F4A1B">
      <w:pPr>
        <w:pStyle w:val="Bibliography"/>
        <w:rPr>
          <w:rFonts w:ascii="Garamond" w:hAnsi="Garamond"/>
        </w:rPr>
      </w:pPr>
      <w:r>
        <w:rPr>
          <w:rFonts w:ascii="Garamond" w:hAnsi="Garamond"/>
        </w:rPr>
        <w:fldChar w:fldCharType="begin"/>
      </w:r>
      <w:r>
        <w:rPr>
          <w:rFonts w:ascii="Garamond" w:hAnsi="Garamond"/>
        </w:rPr>
        <w:instrText xml:space="preserve"> ADDIN ZOTERO_BIBL {"uncited":[],"omitted":[],"custom":[]} CSL_BIBLIOGRAPHY </w:instrText>
      </w:r>
      <w:r>
        <w:rPr>
          <w:rFonts w:ascii="Garamond" w:hAnsi="Garamond"/>
        </w:rPr>
        <w:fldChar w:fldCharType="separate"/>
      </w:r>
      <w:r w:rsidR="008F4A1B" w:rsidRPr="008F4A1B">
        <w:rPr>
          <w:rFonts w:ascii="Garamond" w:hAnsi="Garamond"/>
        </w:rPr>
        <w:t xml:space="preserve">1. </w:t>
      </w:r>
      <w:r w:rsidR="008F4A1B" w:rsidRPr="008F4A1B">
        <w:rPr>
          <w:rFonts w:ascii="Garamond" w:hAnsi="Garamond"/>
        </w:rPr>
        <w:tab/>
        <w:t xml:space="preserve">Mullard A. Flooded by the torrent: the COVID-19 drug pipeline. </w:t>
      </w:r>
      <w:r w:rsidR="008F4A1B" w:rsidRPr="008F4A1B">
        <w:rPr>
          <w:rFonts w:ascii="Garamond" w:hAnsi="Garamond"/>
          <w:i/>
          <w:iCs/>
        </w:rPr>
        <w:t>The Lancet</w:t>
      </w:r>
      <w:r w:rsidR="008F4A1B" w:rsidRPr="008F4A1B">
        <w:rPr>
          <w:rFonts w:ascii="Garamond" w:hAnsi="Garamond"/>
        </w:rPr>
        <w:t>. 2020;395(10232):1245-1246. doi:10.1016/S0140-6736(20)30894-1</w:t>
      </w:r>
    </w:p>
    <w:p w14:paraId="1AF89DFA" w14:textId="77777777" w:rsidR="008F4A1B" w:rsidRPr="008F4A1B" w:rsidRDefault="008F4A1B" w:rsidP="008F4A1B">
      <w:pPr>
        <w:pStyle w:val="Bibliography"/>
        <w:rPr>
          <w:rFonts w:ascii="Garamond" w:hAnsi="Garamond"/>
        </w:rPr>
      </w:pPr>
      <w:r w:rsidRPr="008F4A1B">
        <w:rPr>
          <w:rFonts w:ascii="Garamond" w:hAnsi="Garamond"/>
        </w:rPr>
        <w:t xml:space="preserve">2. </w:t>
      </w:r>
      <w:r w:rsidRPr="008F4A1B">
        <w:rPr>
          <w:rFonts w:ascii="Garamond" w:hAnsi="Garamond"/>
        </w:rPr>
        <w:tab/>
        <w:t xml:space="preserve">Herper M, Riglin E. Data show panic and disorganization dominate the study of Covid-19 drugs. </w:t>
      </w:r>
      <w:r w:rsidRPr="008F4A1B">
        <w:rPr>
          <w:rFonts w:ascii="Garamond" w:hAnsi="Garamond"/>
          <w:i/>
          <w:iCs/>
        </w:rPr>
        <w:t>STAT</w:t>
      </w:r>
      <w:r w:rsidRPr="008F4A1B">
        <w:rPr>
          <w:rFonts w:ascii="Garamond" w:hAnsi="Garamond"/>
        </w:rPr>
        <w:t>. https://www.statnews.com/2020/07/06/data-show-panic-and-disorganization-dominate-the-study-of-covid-19-drugs/. Published July 6, 2020.</w:t>
      </w:r>
    </w:p>
    <w:p w14:paraId="4ED15098" w14:textId="77777777" w:rsidR="008F4A1B" w:rsidRPr="008F4A1B" w:rsidRDefault="008F4A1B" w:rsidP="008F4A1B">
      <w:pPr>
        <w:pStyle w:val="Bibliography"/>
        <w:rPr>
          <w:rFonts w:ascii="Garamond" w:hAnsi="Garamond"/>
        </w:rPr>
      </w:pPr>
      <w:r w:rsidRPr="008F4A1B">
        <w:rPr>
          <w:rFonts w:ascii="Garamond" w:hAnsi="Garamond"/>
        </w:rPr>
        <w:t xml:space="preserve">3. </w:t>
      </w:r>
      <w:r w:rsidRPr="008F4A1B">
        <w:rPr>
          <w:rFonts w:ascii="Garamond" w:hAnsi="Garamond"/>
        </w:rPr>
        <w:tab/>
        <w:t xml:space="preserve">Graham R, Mancher M, Miller Wolman D, Greenfield S, Steinberg E, eds. </w:t>
      </w:r>
      <w:r w:rsidRPr="008F4A1B">
        <w:rPr>
          <w:rFonts w:ascii="Garamond" w:hAnsi="Garamond"/>
          <w:i/>
          <w:iCs/>
        </w:rPr>
        <w:t>Clinical Practice Guidelines We Can Trust</w:t>
      </w:r>
      <w:r w:rsidRPr="008F4A1B">
        <w:rPr>
          <w:rFonts w:ascii="Garamond" w:hAnsi="Garamond"/>
        </w:rPr>
        <w:t>. National Academies Press (US); 2011. doi:10.17226/13058</w:t>
      </w:r>
    </w:p>
    <w:p w14:paraId="4F0DA9B7" w14:textId="77777777" w:rsidR="008F4A1B" w:rsidRPr="008F4A1B" w:rsidRDefault="008F4A1B" w:rsidP="008F4A1B">
      <w:pPr>
        <w:pStyle w:val="Bibliography"/>
        <w:rPr>
          <w:rFonts w:ascii="Garamond" w:hAnsi="Garamond"/>
        </w:rPr>
      </w:pPr>
      <w:r w:rsidRPr="008F4A1B">
        <w:rPr>
          <w:rFonts w:ascii="Garamond" w:hAnsi="Garamond"/>
        </w:rPr>
        <w:t xml:space="preserve">4. </w:t>
      </w:r>
      <w:r w:rsidRPr="008F4A1B">
        <w:rPr>
          <w:rFonts w:ascii="Garamond" w:hAnsi="Garamond"/>
        </w:rPr>
        <w:tab/>
        <w:t xml:space="preserve">Glasziou PP, Sanders S, Hoffmann T. Waste in covid-19 research. </w:t>
      </w:r>
      <w:r w:rsidRPr="008F4A1B">
        <w:rPr>
          <w:rFonts w:ascii="Garamond" w:hAnsi="Garamond"/>
          <w:i/>
          <w:iCs/>
        </w:rPr>
        <w:t>BMJ</w:t>
      </w:r>
      <w:r w:rsidRPr="008F4A1B">
        <w:rPr>
          <w:rFonts w:ascii="Garamond" w:hAnsi="Garamond"/>
        </w:rPr>
        <w:t>. 2020;369. doi:10.1136/bmj.m1847</w:t>
      </w:r>
    </w:p>
    <w:p w14:paraId="5A34AACB" w14:textId="77777777" w:rsidR="008F4A1B" w:rsidRPr="008F4A1B" w:rsidRDefault="008F4A1B" w:rsidP="008F4A1B">
      <w:pPr>
        <w:pStyle w:val="Bibliography"/>
        <w:rPr>
          <w:rFonts w:ascii="Garamond" w:hAnsi="Garamond"/>
        </w:rPr>
      </w:pPr>
      <w:r w:rsidRPr="008F4A1B">
        <w:rPr>
          <w:rFonts w:ascii="Garamond" w:hAnsi="Garamond"/>
        </w:rPr>
        <w:t xml:space="preserve">5. </w:t>
      </w:r>
      <w:r w:rsidRPr="008F4A1B">
        <w:rPr>
          <w:rFonts w:ascii="Garamond" w:hAnsi="Garamond"/>
        </w:rPr>
        <w:tab/>
        <w:t xml:space="preserve">Glasziou P, Chalmers I. Research waste is still a scandal—an essay by Paul Glasziou and Iain Chalmers. </w:t>
      </w:r>
      <w:r w:rsidRPr="008F4A1B">
        <w:rPr>
          <w:rFonts w:ascii="Garamond" w:hAnsi="Garamond"/>
          <w:i/>
          <w:iCs/>
        </w:rPr>
        <w:t>Bmj</w:t>
      </w:r>
      <w:r w:rsidRPr="008F4A1B">
        <w:rPr>
          <w:rFonts w:ascii="Garamond" w:hAnsi="Garamond"/>
        </w:rPr>
        <w:t>. 2018;363:k4645.</w:t>
      </w:r>
    </w:p>
    <w:p w14:paraId="31891B5E" w14:textId="77777777" w:rsidR="008F4A1B" w:rsidRPr="008F4A1B" w:rsidRDefault="008F4A1B" w:rsidP="008F4A1B">
      <w:pPr>
        <w:pStyle w:val="Bibliography"/>
        <w:rPr>
          <w:rFonts w:ascii="Garamond" w:hAnsi="Garamond"/>
        </w:rPr>
      </w:pPr>
      <w:r w:rsidRPr="008F4A1B">
        <w:rPr>
          <w:rFonts w:ascii="Garamond" w:hAnsi="Garamond"/>
        </w:rPr>
        <w:t xml:space="preserve">6. </w:t>
      </w:r>
      <w:r w:rsidRPr="008F4A1B">
        <w:rPr>
          <w:rFonts w:ascii="Garamond" w:hAnsi="Garamond"/>
        </w:rPr>
        <w:tab/>
        <w:t xml:space="preserve">Kouzy R, Abi Jaoude J, Garcia Garcia CJ, El Alam MB, Taniguchi CM, Ludmir EB. Characteristics of the Multiplicity of Randomized Clinical Trials for Coronavirus Disease 2019 Launched During the Pandemic. </w:t>
      </w:r>
      <w:r w:rsidRPr="008F4A1B">
        <w:rPr>
          <w:rFonts w:ascii="Garamond" w:hAnsi="Garamond"/>
          <w:i/>
          <w:iCs/>
        </w:rPr>
        <w:t>JAMA Netw Open</w:t>
      </w:r>
      <w:r w:rsidRPr="008F4A1B">
        <w:rPr>
          <w:rFonts w:ascii="Garamond" w:hAnsi="Garamond"/>
        </w:rPr>
        <w:t>. 2020;3(7):e2015100-e2015100. doi:10.1001/jamanetworkopen.2020.15100</w:t>
      </w:r>
    </w:p>
    <w:p w14:paraId="73EBB505" w14:textId="77777777" w:rsidR="008F4A1B" w:rsidRPr="008F4A1B" w:rsidRDefault="008F4A1B" w:rsidP="008F4A1B">
      <w:pPr>
        <w:pStyle w:val="Bibliography"/>
        <w:rPr>
          <w:rFonts w:ascii="Garamond" w:hAnsi="Garamond"/>
        </w:rPr>
      </w:pPr>
      <w:r w:rsidRPr="008F4A1B">
        <w:rPr>
          <w:rFonts w:ascii="Garamond" w:hAnsi="Garamond"/>
        </w:rPr>
        <w:t xml:space="preserve">7. </w:t>
      </w:r>
      <w:r w:rsidRPr="008F4A1B">
        <w:rPr>
          <w:rFonts w:ascii="Garamond" w:hAnsi="Garamond"/>
        </w:rPr>
        <w:tab/>
        <w:t xml:space="preserve">Vandvik PO, Brandt L. Future of Evidence Ecosystem Series: Evidence ecosystems and learning health systems: why bother? </w:t>
      </w:r>
      <w:r w:rsidRPr="008F4A1B">
        <w:rPr>
          <w:rFonts w:ascii="Garamond" w:hAnsi="Garamond"/>
          <w:i/>
          <w:iCs/>
        </w:rPr>
        <w:t>J Clin Epidemiol</w:t>
      </w:r>
      <w:r w:rsidRPr="008F4A1B">
        <w:rPr>
          <w:rFonts w:ascii="Garamond" w:hAnsi="Garamond"/>
        </w:rPr>
        <w:t>. 2020;123:166-170. doi:10.1016/j.jclinepi.2020.02.008</w:t>
      </w:r>
    </w:p>
    <w:p w14:paraId="348C72C9" w14:textId="77777777" w:rsidR="008F4A1B" w:rsidRPr="008F4A1B" w:rsidRDefault="008F4A1B" w:rsidP="008F4A1B">
      <w:pPr>
        <w:pStyle w:val="Bibliography"/>
        <w:rPr>
          <w:rFonts w:ascii="Garamond" w:hAnsi="Garamond"/>
        </w:rPr>
      </w:pPr>
      <w:r w:rsidRPr="008F4A1B">
        <w:rPr>
          <w:rFonts w:ascii="Garamond" w:hAnsi="Garamond"/>
        </w:rPr>
        <w:t xml:space="preserve">8. </w:t>
      </w:r>
      <w:r w:rsidRPr="008F4A1B">
        <w:rPr>
          <w:rFonts w:ascii="Garamond" w:hAnsi="Garamond"/>
        </w:rPr>
        <w:tab/>
        <w:t xml:space="preserve">Naci H, Salcher-Konrad M, Kesselheim AS, et al. Generating comparative evidence on new drugs and devices before approval. </w:t>
      </w:r>
      <w:r w:rsidRPr="008F4A1B">
        <w:rPr>
          <w:rFonts w:ascii="Garamond" w:hAnsi="Garamond"/>
          <w:i/>
          <w:iCs/>
        </w:rPr>
        <w:t>The Lancet</w:t>
      </w:r>
      <w:r w:rsidRPr="008F4A1B">
        <w:rPr>
          <w:rFonts w:ascii="Garamond" w:hAnsi="Garamond"/>
        </w:rPr>
        <w:t>. 2020;395(10228):986-997. doi:10.1016/S0140-6736(19)33178-2</w:t>
      </w:r>
    </w:p>
    <w:p w14:paraId="0B1C4723" w14:textId="77777777" w:rsidR="008F4A1B" w:rsidRPr="008F4A1B" w:rsidRDefault="008F4A1B" w:rsidP="008F4A1B">
      <w:pPr>
        <w:pStyle w:val="Bibliography"/>
        <w:rPr>
          <w:rFonts w:ascii="Garamond" w:hAnsi="Garamond"/>
        </w:rPr>
      </w:pPr>
      <w:r w:rsidRPr="008F4A1B">
        <w:rPr>
          <w:rFonts w:ascii="Garamond" w:hAnsi="Garamond"/>
        </w:rPr>
        <w:t xml:space="preserve">9. </w:t>
      </w:r>
      <w:r w:rsidRPr="008F4A1B">
        <w:rPr>
          <w:rFonts w:ascii="Garamond" w:hAnsi="Garamond"/>
        </w:rPr>
        <w:tab/>
        <w:t xml:space="preserve">Cipriani A, Ioannidis JPA, Rothwell PM, et al. Generating comparative evidence on new drugs and devices after approval. </w:t>
      </w:r>
      <w:r w:rsidRPr="008F4A1B">
        <w:rPr>
          <w:rFonts w:ascii="Garamond" w:hAnsi="Garamond"/>
          <w:i/>
          <w:iCs/>
        </w:rPr>
        <w:t>The Lancet</w:t>
      </w:r>
      <w:r w:rsidRPr="008F4A1B">
        <w:rPr>
          <w:rFonts w:ascii="Garamond" w:hAnsi="Garamond"/>
        </w:rPr>
        <w:t>. 2020;395(10228):998-1010. doi:10.1016/S0140-6736(19)33177-0</w:t>
      </w:r>
    </w:p>
    <w:p w14:paraId="56E1D371" w14:textId="77777777" w:rsidR="008F4A1B" w:rsidRPr="008F4A1B" w:rsidRDefault="008F4A1B" w:rsidP="008F4A1B">
      <w:pPr>
        <w:pStyle w:val="Bibliography"/>
        <w:rPr>
          <w:rFonts w:ascii="Garamond" w:hAnsi="Garamond"/>
        </w:rPr>
      </w:pPr>
      <w:r w:rsidRPr="008F4A1B">
        <w:rPr>
          <w:rFonts w:ascii="Garamond" w:hAnsi="Garamond"/>
        </w:rPr>
        <w:t xml:space="preserve">10. </w:t>
      </w:r>
      <w:r w:rsidRPr="008F4A1B">
        <w:rPr>
          <w:rFonts w:ascii="Garamond" w:hAnsi="Garamond"/>
        </w:rPr>
        <w:tab/>
        <w:t xml:space="preserve">von Cube M, Grodd M, Wolkewitz M, Hazard D, Lambert J. Harmonizing heterogeneous endpoints in COVID-19 trials without loss of information - an essential step to facilitate decision making. </w:t>
      </w:r>
      <w:r w:rsidRPr="008F4A1B">
        <w:rPr>
          <w:rFonts w:ascii="Garamond" w:hAnsi="Garamond"/>
          <w:i/>
          <w:iCs/>
        </w:rPr>
        <w:t>medRxiv</w:t>
      </w:r>
      <w:r w:rsidRPr="008F4A1B">
        <w:rPr>
          <w:rFonts w:ascii="Garamond" w:hAnsi="Garamond"/>
        </w:rPr>
        <w:t>. Published online January 1, 2020:2020.03.31.20049007. doi:10.1101/2020.03.31.20049007</w:t>
      </w:r>
    </w:p>
    <w:p w14:paraId="30798C10" w14:textId="77777777" w:rsidR="008F4A1B" w:rsidRPr="008F4A1B" w:rsidRDefault="008F4A1B" w:rsidP="008F4A1B">
      <w:pPr>
        <w:pStyle w:val="Bibliography"/>
        <w:rPr>
          <w:rFonts w:ascii="Garamond" w:hAnsi="Garamond"/>
        </w:rPr>
      </w:pPr>
      <w:r w:rsidRPr="008F4A1B">
        <w:rPr>
          <w:rFonts w:ascii="Garamond" w:hAnsi="Garamond"/>
        </w:rPr>
        <w:t xml:space="preserve">11. </w:t>
      </w:r>
      <w:r w:rsidRPr="008F4A1B">
        <w:rPr>
          <w:rFonts w:ascii="Garamond" w:hAnsi="Garamond"/>
        </w:rPr>
        <w:tab/>
        <w:t xml:space="preserve">Desai A, Gyawali B. Endpoints used in phase III randomized controlled trials of treatment options for COVID-19. </w:t>
      </w:r>
      <w:r w:rsidRPr="008F4A1B">
        <w:rPr>
          <w:rFonts w:ascii="Garamond" w:hAnsi="Garamond"/>
          <w:i/>
          <w:iCs/>
        </w:rPr>
        <w:t>EClinicalMedicine</w:t>
      </w:r>
      <w:r w:rsidRPr="008F4A1B">
        <w:rPr>
          <w:rFonts w:ascii="Garamond" w:hAnsi="Garamond"/>
        </w:rPr>
        <w:t>. 2020;23:100403-100403. doi:10.1016/j.eclinm.2020.100403</w:t>
      </w:r>
    </w:p>
    <w:p w14:paraId="41FF1EE0" w14:textId="77777777" w:rsidR="008F4A1B" w:rsidRPr="008F4A1B" w:rsidRDefault="008F4A1B" w:rsidP="008F4A1B">
      <w:pPr>
        <w:pStyle w:val="Bibliography"/>
        <w:rPr>
          <w:rFonts w:ascii="Garamond" w:hAnsi="Garamond"/>
        </w:rPr>
      </w:pPr>
      <w:r w:rsidRPr="008F4A1B">
        <w:rPr>
          <w:rFonts w:ascii="Garamond" w:hAnsi="Garamond"/>
        </w:rPr>
        <w:t xml:space="preserve">12. </w:t>
      </w:r>
      <w:r w:rsidRPr="008F4A1B">
        <w:rPr>
          <w:rFonts w:ascii="Garamond" w:hAnsi="Garamond"/>
        </w:rPr>
        <w:tab/>
        <w:t xml:space="preserve">London AJ, Kimmelman J. Against pandemic research exceptionalism. </w:t>
      </w:r>
      <w:r w:rsidRPr="008F4A1B">
        <w:rPr>
          <w:rFonts w:ascii="Garamond" w:hAnsi="Garamond"/>
          <w:i/>
          <w:iCs/>
        </w:rPr>
        <w:t>Science</w:t>
      </w:r>
      <w:r w:rsidRPr="008F4A1B">
        <w:rPr>
          <w:rFonts w:ascii="Garamond" w:hAnsi="Garamond"/>
        </w:rPr>
        <w:t>. 2020;368(6490):476–477. doi:10.1126/science.abc1731</w:t>
      </w:r>
    </w:p>
    <w:p w14:paraId="735041C7" w14:textId="77777777" w:rsidR="008F4A1B" w:rsidRPr="008F4A1B" w:rsidRDefault="008F4A1B" w:rsidP="008F4A1B">
      <w:pPr>
        <w:pStyle w:val="Bibliography"/>
        <w:rPr>
          <w:rFonts w:ascii="Garamond" w:hAnsi="Garamond"/>
        </w:rPr>
      </w:pPr>
      <w:r w:rsidRPr="008F4A1B">
        <w:rPr>
          <w:rFonts w:ascii="Garamond" w:hAnsi="Garamond"/>
        </w:rPr>
        <w:t xml:space="preserve">13. </w:t>
      </w:r>
      <w:r w:rsidRPr="008F4A1B">
        <w:rPr>
          <w:rFonts w:ascii="Garamond" w:hAnsi="Garamond"/>
        </w:rPr>
        <w:tab/>
        <w:t xml:space="preserve">Gautret P, Lagier J-C, Parola P, et al. Hydroxychloroquine and azithromycin as a treatment of COVID-19: results of an open-label non-randomized clinical trial. </w:t>
      </w:r>
      <w:r w:rsidRPr="008F4A1B">
        <w:rPr>
          <w:rFonts w:ascii="Garamond" w:hAnsi="Garamond"/>
          <w:i/>
          <w:iCs/>
        </w:rPr>
        <w:t>Int J Antimicrob Agents</w:t>
      </w:r>
      <w:r w:rsidRPr="008F4A1B">
        <w:rPr>
          <w:rFonts w:ascii="Garamond" w:hAnsi="Garamond"/>
        </w:rPr>
        <w:t>. Published online March 20, 2020:105949. doi:10.1016/j.ijantimicag.2020.105949</w:t>
      </w:r>
    </w:p>
    <w:p w14:paraId="68F8574B" w14:textId="77777777" w:rsidR="008F4A1B" w:rsidRPr="008F4A1B" w:rsidRDefault="008F4A1B" w:rsidP="008F4A1B">
      <w:pPr>
        <w:pStyle w:val="Bibliography"/>
        <w:rPr>
          <w:rFonts w:ascii="Garamond" w:hAnsi="Garamond"/>
        </w:rPr>
      </w:pPr>
      <w:r w:rsidRPr="008F4A1B">
        <w:rPr>
          <w:rFonts w:ascii="Garamond" w:hAnsi="Garamond"/>
        </w:rPr>
        <w:t xml:space="preserve">14. </w:t>
      </w:r>
      <w:r w:rsidRPr="008F4A1B">
        <w:rPr>
          <w:rFonts w:ascii="Garamond" w:hAnsi="Garamond"/>
        </w:rPr>
        <w:tab/>
        <w:t xml:space="preserve">Dean NE, Gsell P-S, Brookmeyer R, et al. Creating a Framework for Conducting Randomized Clinical Trials during Disease Outbreaks. </w:t>
      </w:r>
      <w:r w:rsidRPr="008F4A1B">
        <w:rPr>
          <w:rFonts w:ascii="Garamond" w:hAnsi="Garamond"/>
          <w:i/>
          <w:iCs/>
        </w:rPr>
        <w:t>N Engl J Med</w:t>
      </w:r>
      <w:r w:rsidRPr="008F4A1B">
        <w:rPr>
          <w:rFonts w:ascii="Garamond" w:hAnsi="Garamond"/>
        </w:rPr>
        <w:t>. 2020;382(14):1366-1369. doi:10.1056/NEJMsb1905390</w:t>
      </w:r>
    </w:p>
    <w:p w14:paraId="1A39B695" w14:textId="77777777" w:rsidR="008F4A1B" w:rsidRPr="008F4A1B" w:rsidRDefault="008F4A1B" w:rsidP="008F4A1B">
      <w:pPr>
        <w:pStyle w:val="Bibliography"/>
        <w:rPr>
          <w:rFonts w:ascii="Garamond" w:hAnsi="Garamond"/>
        </w:rPr>
      </w:pPr>
      <w:r w:rsidRPr="008F4A1B">
        <w:rPr>
          <w:rFonts w:ascii="Garamond" w:hAnsi="Garamond"/>
        </w:rPr>
        <w:lastRenderedPageBreak/>
        <w:t xml:space="preserve">15. </w:t>
      </w:r>
      <w:r w:rsidRPr="008F4A1B">
        <w:rPr>
          <w:rFonts w:ascii="Garamond" w:hAnsi="Garamond"/>
        </w:rPr>
        <w:tab/>
        <w:t xml:space="preserve">Grein J, Ohmagari N, Shin D, et al. Compassionate Use of Remdesivir for Patients with Severe Covid-19. </w:t>
      </w:r>
      <w:r w:rsidRPr="008F4A1B">
        <w:rPr>
          <w:rFonts w:ascii="Garamond" w:hAnsi="Garamond"/>
          <w:i/>
          <w:iCs/>
        </w:rPr>
        <w:t>N Engl J Med</w:t>
      </w:r>
      <w:r w:rsidRPr="008F4A1B">
        <w:rPr>
          <w:rFonts w:ascii="Garamond" w:hAnsi="Garamond"/>
        </w:rPr>
        <w:t>. Published online April 10, 2020. doi:10.1056/NEJMoa2007016</w:t>
      </w:r>
    </w:p>
    <w:p w14:paraId="331E3FE8" w14:textId="77777777" w:rsidR="008F4A1B" w:rsidRPr="008F4A1B" w:rsidRDefault="008F4A1B" w:rsidP="008F4A1B">
      <w:pPr>
        <w:pStyle w:val="Bibliography"/>
        <w:rPr>
          <w:rFonts w:ascii="Garamond" w:hAnsi="Garamond"/>
        </w:rPr>
      </w:pPr>
      <w:r w:rsidRPr="008F4A1B">
        <w:rPr>
          <w:rFonts w:ascii="Garamond" w:hAnsi="Garamond"/>
        </w:rPr>
        <w:t xml:space="preserve">16. </w:t>
      </w:r>
      <w:r w:rsidRPr="008F4A1B">
        <w:rPr>
          <w:rFonts w:ascii="Garamond" w:hAnsi="Garamond"/>
        </w:rPr>
        <w:tab/>
        <w:t xml:space="preserve">Wang C, Pan R, Wan X, et al. A longitudinal study on the mental health of general population during the COVID-19 epidemic in China. </w:t>
      </w:r>
      <w:r w:rsidRPr="008F4A1B">
        <w:rPr>
          <w:rFonts w:ascii="Garamond" w:hAnsi="Garamond"/>
          <w:i/>
          <w:iCs/>
        </w:rPr>
        <w:t>Brain Behav Immun</w:t>
      </w:r>
      <w:r w:rsidRPr="008F4A1B">
        <w:rPr>
          <w:rFonts w:ascii="Garamond" w:hAnsi="Garamond"/>
        </w:rPr>
        <w:t>. Published online April 13, 2020:S0889-1591(20)30511-0. doi:10.1016/j.bbi.2020.04.028</w:t>
      </w:r>
    </w:p>
    <w:p w14:paraId="2A866F97" w14:textId="77777777" w:rsidR="008F4A1B" w:rsidRPr="008F4A1B" w:rsidRDefault="008F4A1B" w:rsidP="008F4A1B">
      <w:pPr>
        <w:pStyle w:val="Bibliography"/>
        <w:rPr>
          <w:rFonts w:ascii="Garamond" w:hAnsi="Garamond"/>
        </w:rPr>
      </w:pPr>
      <w:r w:rsidRPr="008F4A1B">
        <w:rPr>
          <w:rFonts w:ascii="Garamond" w:hAnsi="Garamond"/>
        </w:rPr>
        <w:t xml:space="preserve">17. </w:t>
      </w:r>
      <w:r w:rsidRPr="008F4A1B">
        <w:rPr>
          <w:rFonts w:ascii="Garamond" w:hAnsi="Garamond"/>
        </w:rPr>
        <w:tab/>
        <w:t xml:space="preserve">Rome BN, Avorn J. Drug Evaluation during the Covid-19 Pandemic. </w:t>
      </w:r>
      <w:r w:rsidRPr="008F4A1B">
        <w:rPr>
          <w:rFonts w:ascii="Garamond" w:hAnsi="Garamond"/>
          <w:i/>
          <w:iCs/>
        </w:rPr>
        <w:t>N Engl J Med</w:t>
      </w:r>
      <w:r w:rsidRPr="008F4A1B">
        <w:rPr>
          <w:rFonts w:ascii="Garamond" w:hAnsi="Garamond"/>
        </w:rPr>
        <w:t>. 2020;382(24):2282-2284. doi:10.1056/NEJMp2009457</w:t>
      </w:r>
    </w:p>
    <w:p w14:paraId="0273B233" w14:textId="77777777" w:rsidR="008F4A1B" w:rsidRPr="008F4A1B" w:rsidRDefault="008F4A1B" w:rsidP="008F4A1B">
      <w:pPr>
        <w:pStyle w:val="Bibliography"/>
        <w:rPr>
          <w:rFonts w:ascii="Garamond" w:hAnsi="Garamond"/>
        </w:rPr>
      </w:pPr>
      <w:r w:rsidRPr="008F4A1B">
        <w:rPr>
          <w:rFonts w:ascii="Garamond" w:hAnsi="Garamond"/>
        </w:rPr>
        <w:t xml:space="preserve">18. </w:t>
      </w:r>
      <w:r w:rsidRPr="008F4A1B">
        <w:rPr>
          <w:rFonts w:ascii="Garamond" w:hAnsi="Garamond"/>
        </w:rPr>
        <w:tab/>
        <w:t xml:space="preserve">Sarpatwari A, Kaltenboeck A, Kesselheim AS. Missed Opportunities on Emergency Remdesivir Use. </w:t>
      </w:r>
      <w:r w:rsidRPr="008F4A1B">
        <w:rPr>
          <w:rFonts w:ascii="Garamond" w:hAnsi="Garamond"/>
          <w:i/>
          <w:iCs/>
        </w:rPr>
        <w:t>JAMA</w:t>
      </w:r>
      <w:r w:rsidRPr="008F4A1B">
        <w:rPr>
          <w:rFonts w:ascii="Garamond" w:hAnsi="Garamond"/>
        </w:rPr>
        <w:t>. Published online June 24, 2020. doi:10.1001/jama.2020.11932</w:t>
      </w:r>
    </w:p>
    <w:p w14:paraId="2B8806CD" w14:textId="77777777" w:rsidR="008F4A1B" w:rsidRPr="008F4A1B" w:rsidRDefault="008F4A1B" w:rsidP="008F4A1B">
      <w:pPr>
        <w:pStyle w:val="Bibliography"/>
        <w:rPr>
          <w:rFonts w:ascii="Garamond" w:hAnsi="Garamond"/>
        </w:rPr>
      </w:pPr>
      <w:r w:rsidRPr="008F4A1B">
        <w:rPr>
          <w:rFonts w:ascii="Garamond" w:hAnsi="Garamond"/>
        </w:rPr>
        <w:t xml:space="preserve">19. </w:t>
      </w:r>
      <w:r w:rsidRPr="008F4A1B">
        <w:rPr>
          <w:rFonts w:ascii="Garamond" w:hAnsi="Garamond"/>
        </w:rPr>
        <w:tab/>
        <w:t xml:space="preserve">European Medicines Agency. </w:t>
      </w:r>
      <w:r w:rsidRPr="008F4A1B">
        <w:rPr>
          <w:rFonts w:ascii="Garamond" w:hAnsi="Garamond"/>
          <w:i/>
          <w:iCs/>
        </w:rPr>
        <w:t>Assessment Report: Veklury. Procedure No. EMEA/H/C/005622/0000</w:t>
      </w:r>
      <w:r w:rsidRPr="008F4A1B">
        <w:rPr>
          <w:rFonts w:ascii="Garamond" w:hAnsi="Garamond"/>
        </w:rPr>
        <w:t>.; 2020. https://www.ema.europa.eu/en/documents/assessment-report/veklury-epar-public-assessment-report_en.pdf</w:t>
      </w:r>
    </w:p>
    <w:p w14:paraId="1C79A9C3" w14:textId="77777777" w:rsidR="008F4A1B" w:rsidRPr="008F4A1B" w:rsidRDefault="008F4A1B" w:rsidP="008F4A1B">
      <w:pPr>
        <w:pStyle w:val="Bibliography"/>
        <w:rPr>
          <w:rFonts w:ascii="Garamond" w:hAnsi="Garamond"/>
        </w:rPr>
      </w:pPr>
      <w:r w:rsidRPr="008F4A1B">
        <w:rPr>
          <w:rFonts w:ascii="Garamond" w:hAnsi="Garamond"/>
        </w:rPr>
        <w:t xml:space="preserve">20. </w:t>
      </w:r>
      <w:r w:rsidRPr="008F4A1B">
        <w:rPr>
          <w:rFonts w:ascii="Garamond" w:hAnsi="Garamond"/>
        </w:rPr>
        <w:tab/>
        <w:t xml:space="preserve">Matthiessen L, Colli W, Delfraissy J-F, Hwang E-S, Mphahlele J, Ouellette M. Coordinating funding in public health emergencies. </w:t>
      </w:r>
      <w:r w:rsidRPr="008F4A1B">
        <w:rPr>
          <w:rFonts w:ascii="Garamond" w:hAnsi="Garamond"/>
          <w:i/>
          <w:iCs/>
        </w:rPr>
        <w:t>The Lancet</w:t>
      </w:r>
      <w:r w:rsidRPr="008F4A1B">
        <w:rPr>
          <w:rFonts w:ascii="Garamond" w:hAnsi="Garamond"/>
        </w:rPr>
        <w:t>. 2016;387(10034):2197-2198. doi:10.1016/S0140-6736(16)30604-3</w:t>
      </w:r>
    </w:p>
    <w:p w14:paraId="02726CAB" w14:textId="77777777" w:rsidR="008F4A1B" w:rsidRPr="008F4A1B" w:rsidRDefault="008F4A1B" w:rsidP="008F4A1B">
      <w:pPr>
        <w:pStyle w:val="Bibliography"/>
        <w:rPr>
          <w:rFonts w:ascii="Garamond" w:hAnsi="Garamond"/>
        </w:rPr>
      </w:pPr>
      <w:r w:rsidRPr="008F4A1B">
        <w:rPr>
          <w:rFonts w:ascii="Garamond" w:hAnsi="Garamond"/>
        </w:rPr>
        <w:t xml:space="preserve">21. </w:t>
      </w:r>
      <w:r w:rsidRPr="008F4A1B">
        <w:rPr>
          <w:rFonts w:ascii="Garamond" w:hAnsi="Garamond"/>
        </w:rPr>
        <w:tab/>
        <w:t xml:space="preserve">Kieny MP, Rottingen J-A, Farrar J. The need for global R&amp;D coordination for infectious diseases with epidemic potential. </w:t>
      </w:r>
      <w:r w:rsidRPr="008F4A1B">
        <w:rPr>
          <w:rFonts w:ascii="Garamond" w:hAnsi="Garamond"/>
          <w:i/>
          <w:iCs/>
        </w:rPr>
        <w:t>The Lancet</w:t>
      </w:r>
      <w:r w:rsidRPr="008F4A1B">
        <w:rPr>
          <w:rFonts w:ascii="Garamond" w:hAnsi="Garamond"/>
        </w:rPr>
        <w:t>. 2016;388(10043):460-461. doi:10.1016/S0140-6736(16)31152-7</w:t>
      </w:r>
    </w:p>
    <w:p w14:paraId="7ABF92E4" w14:textId="77777777" w:rsidR="008F4A1B" w:rsidRPr="008F4A1B" w:rsidRDefault="008F4A1B" w:rsidP="008F4A1B">
      <w:pPr>
        <w:pStyle w:val="Bibliography"/>
        <w:rPr>
          <w:rFonts w:ascii="Garamond" w:hAnsi="Garamond"/>
        </w:rPr>
      </w:pPr>
      <w:r w:rsidRPr="008F4A1B">
        <w:rPr>
          <w:rFonts w:ascii="Garamond" w:hAnsi="Garamond"/>
        </w:rPr>
        <w:t xml:space="preserve">22. </w:t>
      </w:r>
      <w:r w:rsidRPr="008F4A1B">
        <w:rPr>
          <w:rFonts w:ascii="Garamond" w:hAnsi="Garamond"/>
        </w:rPr>
        <w:tab/>
        <w:t xml:space="preserve">World Health Organization. </w:t>
      </w:r>
      <w:r w:rsidRPr="008F4A1B">
        <w:rPr>
          <w:rFonts w:ascii="Garamond" w:hAnsi="Garamond"/>
          <w:i/>
          <w:iCs/>
        </w:rPr>
        <w:t>Access to COVID-19 Tools (Act) Accelerator</w:t>
      </w:r>
      <w:r w:rsidRPr="008F4A1B">
        <w:rPr>
          <w:rFonts w:ascii="Garamond" w:hAnsi="Garamond"/>
        </w:rPr>
        <w:t>.; 2020. Accessed May 3, 2020. https://www.who.int/who-documents-detail/access-to-covid-19-tools-(act)-accelerator</w:t>
      </w:r>
    </w:p>
    <w:p w14:paraId="22732C91" w14:textId="77777777" w:rsidR="008F4A1B" w:rsidRPr="008F4A1B" w:rsidRDefault="008F4A1B" w:rsidP="008F4A1B">
      <w:pPr>
        <w:pStyle w:val="Bibliography"/>
        <w:rPr>
          <w:rFonts w:ascii="Garamond" w:hAnsi="Garamond"/>
        </w:rPr>
      </w:pPr>
      <w:r w:rsidRPr="008F4A1B">
        <w:rPr>
          <w:rFonts w:ascii="Garamond" w:hAnsi="Garamond"/>
        </w:rPr>
        <w:t xml:space="preserve">23. </w:t>
      </w:r>
      <w:r w:rsidRPr="008F4A1B">
        <w:rPr>
          <w:rFonts w:ascii="Garamond" w:hAnsi="Garamond"/>
        </w:rPr>
        <w:tab/>
        <w:t xml:space="preserve">Wise J, Coombes R. Covid-19: The inside story of the RECOVERY trial. </w:t>
      </w:r>
      <w:r w:rsidRPr="008F4A1B">
        <w:rPr>
          <w:rFonts w:ascii="Garamond" w:hAnsi="Garamond"/>
          <w:i/>
          <w:iCs/>
        </w:rPr>
        <w:t>BMJ</w:t>
      </w:r>
      <w:r w:rsidRPr="008F4A1B">
        <w:rPr>
          <w:rFonts w:ascii="Garamond" w:hAnsi="Garamond"/>
        </w:rPr>
        <w:t>. 2020;370. doi:10.1136/bmj.m2670</w:t>
      </w:r>
    </w:p>
    <w:p w14:paraId="37818B45" w14:textId="77777777" w:rsidR="008F4A1B" w:rsidRPr="008F4A1B" w:rsidRDefault="008F4A1B" w:rsidP="008F4A1B">
      <w:pPr>
        <w:pStyle w:val="Bibliography"/>
        <w:rPr>
          <w:rFonts w:ascii="Garamond" w:hAnsi="Garamond"/>
        </w:rPr>
      </w:pPr>
      <w:r w:rsidRPr="008F4A1B">
        <w:rPr>
          <w:rFonts w:ascii="Garamond" w:hAnsi="Garamond"/>
        </w:rPr>
        <w:t xml:space="preserve">24. </w:t>
      </w:r>
      <w:r w:rsidRPr="008F4A1B">
        <w:rPr>
          <w:rFonts w:ascii="Garamond" w:hAnsi="Garamond"/>
        </w:rPr>
        <w:tab/>
        <w:t xml:space="preserve">Dexamethasone in Hospitalized Patients with Covid-19 — Preliminary Report. </w:t>
      </w:r>
      <w:r w:rsidRPr="008F4A1B">
        <w:rPr>
          <w:rFonts w:ascii="Garamond" w:hAnsi="Garamond"/>
          <w:i/>
          <w:iCs/>
        </w:rPr>
        <w:t>N Engl J Med</w:t>
      </w:r>
      <w:r w:rsidRPr="008F4A1B">
        <w:rPr>
          <w:rFonts w:ascii="Garamond" w:hAnsi="Garamond"/>
        </w:rPr>
        <w:t>. Published online July 17, 2020. doi:10.1056/NEJMoa2021436</w:t>
      </w:r>
    </w:p>
    <w:p w14:paraId="7FC8B2AD" w14:textId="77777777" w:rsidR="008F4A1B" w:rsidRPr="008F4A1B" w:rsidRDefault="008F4A1B" w:rsidP="008F4A1B">
      <w:pPr>
        <w:pStyle w:val="Bibliography"/>
        <w:rPr>
          <w:rFonts w:ascii="Garamond" w:hAnsi="Garamond"/>
        </w:rPr>
      </w:pPr>
      <w:r w:rsidRPr="008F4A1B">
        <w:rPr>
          <w:rFonts w:ascii="Garamond" w:hAnsi="Garamond"/>
        </w:rPr>
        <w:t xml:space="preserve">25. </w:t>
      </w:r>
      <w:r w:rsidRPr="008F4A1B">
        <w:rPr>
          <w:rFonts w:ascii="Garamond" w:hAnsi="Garamond"/>
        </w:rPr>
        <w:tab/>
        <w:t xml:space="preserve">Ioannidis JPA, Greenland S, Hlatky MA, et al. Increasing value and reducing waste in research design, conduct, and analysis. </w:t>
      </w:r>
      <w:r w:rsidRPr="008F4A1B">
        <w:rPr>
          <w:rFonts w:ascii="Garamond" w:hAnsi="Garamond"/>
          <w:i/>
          <w:iCs/>
        </w:rPr>
        <w:t>The Lancet</w:t>
      </w:r>
      <w:r w:rsidRPr="008F4A1B">
        <w:rPr>
          <w:rFonts w:ascii="Garamond" w:hAnsi="Garamond"/>
        </w:rPr>
        <w:t>. 2014;383(9912):166-175. doi:10.1016/S0140-6736(13)62227-8</w:t>
      </w:r>
    </w:p>
    <w:p w14:paraId="517B842B" w14:textId="77777777" w:rsidR="008F4A1B" w:rsidRPr="008F4A1B" w:rsidRDefault="008F4A1B" w:rsidP="008F4A1B">
      <w:pPr>
        <w:pStyle w:val="Bibliography"/>
        <w:rPr>
          <w:rFonts w:ascii="Garamond" w:hAnsi="Garamond"/>
        </w:rPr>
      </w:pPr>
      <w:r w:rsidRPr="008F4A1B">
        <w:rPr>
          <w:rFonts w:ascii="Garamond" w:hAnsi="Garamond"/>
        </w:rPr>
        <w:t xml:space="preserve">26. </w:t>
      </w:r>
      <w:r w:rsidRPr="008F4A1B">
        <w:rPr>
          <w:rFonts w:ascii="Garamond" w:hAnsi="Garamond"/>
        </w:rPr>
        <w:tab/>
        <w:t xml:space="preserve">Pundi K, Perino AC, Harrington RA, Krumholz HM, Turakhia MP. Characteristics and Strength of Evidence of COVID-19 Studies Registered on ClinicalTrials.gov. </w:t>
      </w:r>
      <w:r w:rsidRPr="008F4A1B">
        <w:rPr>
          <w:rFonts w:ascii="Garamond" w:hAnsi="Garamond"/>
          <w:i/>
          <w:iCs/>
        </w:rPr>
        <w:t>JAMA Intern Med</w:t>
      </w:r>
      <w:r w:rsidRPr="008F4A1B">
        <w:rPr>
          <w:rFonts w:ascii="Garamond" w:hAnsi="Garamond"/>
        </w:rPr>
        <w:t>. Published online July 27, 2020. doi:10.1001/jamainternmed.2020.2904</w:t>
      </w:r>
    </w:p>
    <w:p w14:paraId="0A8A4010" w14:textId="77777777" w:rsidR="008F4A1B" w:rsidRPr="008F4A1B" w:rsidRDefault="008F4A1B" w:rsidP="008F4A1B">
      <w:pPr>
        <w:pStyle w:val="Bibliography"/>
        <w:rPr>
          <w:rFonts w:ascii="Garamond" w:hAnsi="Garamond"/>
        </w:rPr>
      </w:pPr>
      <w:r w:rsidRPr="008F4A1B">
        <w:rPr>
          <w:rFonts w:ascii="Garamond" w:hAnsi="Garamond"/>
        </w:rPr>
        <w:t xml:space="preserve">27. </w:t>
      </w:r>
      <w:r w:rsidRPr="008F4A1B">
        <w:rPr>
          <w:rFonts w:ascii="Garamond" w:hAnsi="Garamond"/>
        </w:rPr>
        <w:tab/>
        <w:t xml:space="preserve">Chalmers I, Glasziou P. Avoidable waste in the production and reporting of research evidence. </w:t>
      </w:r>
      <w:r w:rsidRPr="008F4A1B">
        <w:rPr>
          <w:rFonts w:ascii="Garamond" w:hAnsi="Garamond"/>
          <w:i/>
          <w:iCs/>
        </w:rPr>
        <w:t>The Lancet</w:t>
      </w:r>
      <w:r w:rsidRPr="008F4A1B">
        <w:rPr>
          <w:rFonts w:ascii="Garamond" w:hAnsi="Garamond"/>
        </w:rPr>
        <w:t>. 2009;374(9683):86-89.</w:t>
      </w:r>
    </w:p>
    <w:p w14:paraId="74C86280" w14:textId="77777777" w:rsidR="008F4A1B" w:rsidRPr="008F4A1B" w:rsidRDefault="008F4A1B" w:rsidP="008F4A1B">
      <w:pPr>
        <w:pStyle w:val="Bibliography"/>
        <w:rPr>
          <w:rFonts w:ascii="Garamond" w:hAnsi="Garamond"/>
        </w:rPr>
      </w:pPr>
      <w:r w:rsidRPr="008F4A1B">
        <w:rPr>
          <w:rFonts w:ascii="Garamond" w:hAnsi="Garamond"/>
        </w:rPr>
        <w:t xml:space="preserve">28. </w:t>
      </w:r>
      <w:r w:rsidRPr="008F4A1B">
        <w:rPr>
          <w:rFonts w:ascii="Garamond" w:hAnsi="Garamond"/>
        </w:rPr>
        <w:tab/>
        <w:t xml:space="preserve">Salman RA-S, Beller E, Kagan J, et al. Increasing value and reducing waste in biomedical research regulation and management. </w:t>
      </w:r>
      <w:r w:rsidRPr="008F4A1B">
        <w:rPr>
          <w:rFonts w:ascii="Garamond" w:hAnsi="Garamond"/>
          <w:i/>
          <w:iCs/>
        </w:rPr>
        <w:t>The Lancet</w:t>
      </w:r>
      <w:r w:rsidRPr="008F4A1B">
        <w:rPr>
          <w:rFonts w:ascii="Garamond" w:hAnsi="Garamond"/>
        </w:rPr>
        <w:t>. 2014;383(9912):176-185. doi:10.1016/S0140-6736(13)62297-7</w:t>
      </w:r>
    </w:p>
    <w:p w14:paraId="4677CDA6" w14:textId="77777777" w:rsidR="008F4A1B" w:rsidRPr="008F4A1B" w:rsidRDefault="008F4A1B" w:rsidP="008F4A1B">
      <w:pPr>
        <w:pStyle w:val="Bibliography"/>
        <w:rPr>
          <w:rFonts w:ascii="Garamond" w:hAnsi="Garamond"/>
        </w:rPr>
      </w:pPr>
      <w:r w:rsidRPr="008F4A1B">
        <w:rPr>
          <w:rFonts w:ascii="Garamond" w:hAnsi="Garamond"/>
        </w:rPr>
        <w:lastRenderedPageBreak/>
        <w:t xml:space="preserve">29. </w:t>
      </w:r>
      <w:r w:rsidRPr="008F4A1B">
        <w:rPr>
          <w:rFonts w:ascii="Garamond" w:hAnsi="Garamond"/>
        </w:rPr>
        <w:tab/>
        <w:t xml:space="preserve">Nikolakopoulou A, Mavridis D, Furukawa TA, et al. Living network meta-analysis compared with pairwise meta-analysis in comparative effectiveness research: empirical study. </w:t>
      </w:r>
      <w:r w:rsidRPr="008F4A1B">
        <w:rPr>
          <w:rFonts w:ascii="Garamond" w:hAnsi="Garamond"/>
          <w:i/>
          <w:iCs/>
        </w:rPr>
        <w:t>BMJ</w:t>
      </w:r>
      <w:r w:rsidRPr="008F4A1B">
        <w:rPr>
          <w:rFonts w:ascii="Garamond" w:hAnsi="Garamond"/>
        </w:rPr>
        <w:t>. 2018;360:k585.</w:t>
      </w:r>
    </w:p>
    <w:p w14:paraId="7D192A99" w14:textId="77777777" w:rsidR="008F4A1B" w:rsidRPr="008F4A1B" w:rsidRDefault="008F4A1B" w:rsidP="008F4A1B">
      <w:pPr>
        <w:pStyle w:val="Bibliography"/>
        <w:rPr>
          <w:rFonts w:ascii="Garamond" w:hAnsi="Garamond"/>
        </w:rPr>
      </w:pPr>
      <w:r w:rsidRPr="008F4A1B">
        <w:rPr>
          <w:rFonts w:ascii="Garamond" w:hAnsi="Garamond"/>
        </w:rPr>
        <w:t xml:space="preserve">30. </w:t>
      </w:r>
      <w:r w:rsidRPr="008F4A1B">
        <w:rPr>
          <w:rFonts w:ascii="Garamond" w:hAnsi="Garamond"/>
        </w:rPr>
        <w:tab/>
        <w:t xml:space="preserve">Mulangu S, Dodd LE, Davey RT, et al. A Randomized, Controlled Trial of Ebola Virus Disease Therapeutics. </w:t>
      </w:r>
      <w:r w:rsidRPr="008F4A1B">
        <w:rPr>
          <w:rFonts w:ascii="Garamond" w:hAnsi="Garamond"/>
          <w:i/>
          <w:iCs/>
        </w:rPr>
        <w:t>N Engl J Med</w:t>
      </w:r>
      <w:r w:rsidRPr="008F4A1B">
        <w:rPr>
          <w:rFonts w:ascii="Garamond" w:hAnsi="Garamond"/>
        </w:rPr>
        <w:t>. 2019;381(24):2293-2303. doi:10.1056/NEJMoa1910993</w:t>
      </w:r>
    </w:p>
    <w:p w14:paraId="498432DB" w14:textId="77777777" w:rsidR="008F4A1B" w:rsidRPr="008F4A1B" w:rsidRDefault="008F4A1B" w:rsidP="008F4A1B">
      <w:pPr>
        <w:pStyle w:val="Bibliography"/>
        <w:rPr>
          <w:rFonts w:ascii="Garamond" w:hAnsi="Garamond"/>
        </w:rPr>
      </w:pPr>
      <w:r w:rsidRPr="008F4A1B">
        <w:rPr>
          <w:rFonts w:ascii="Garamond" w:hAnsi="Garamond"/>
        </w:rPr>
        <w:t xml:space="preserve">31. </w:t>
      </w:r>
      <w:r w:rsidRPr="008F4A1B">
        <w:rPr>
          <w:rFonts w:ascii="Garamond" w:hAnsi="Garamond"/>
        </w:rPr>
        <w:tab/>
        <w:t xml:space="preserve">Debray TP, Schuit E, Efthimiou O, et al. An overview of methods for network meta-analysis using individual participant data: when do benefits arise? </w:t>
      </w:r>
      <w:r w:rsidRPr="008F4A1B">
        <w:rPr>
          <w:rFonts w:ascii="Garamond" w:hAnsi="Garamond"/>
          <w:i/>
          <w:iCs/>
        </w:rPr>
        <w:t>Stat Methods Med Res</w:t>
      </w:r>
      <w:r w:rsidRPr="008F4A1B">
        <w:rPr>
          <w:rFonts w:ascii="Garamond" w:hAnsi="Garamond"/>
        </w:rPr>
        <w:t>. 2016;27(5):1351-1364. doi:10.1177/0962280216660741</w:t>
      </w:r>
    </w:p>
    <w:p w14:paraId="6F9FDE63" w14:textId="77777777" w:rsidR="008F4A1B" w:rsidRPr="008F4A1B" w:rsidRDefault="008F4A1B" w:rsidP="008F4A1B">
      <w:pPr>
        <w:pStyle w:val="Bibliography"/>
        <w:rPr>
          <w:rFonts w:ascii="Garamond" w:hAnsi="Garamond"/>
        </w:rPr>
      </w:pPr>
      <w:r w:rsidRPr="008F4A1B">
        <w:rPr>
          <w:rFonts w:ascii="Garamond" w:hAnsi="Garamond"/>
        </w:rPr>
        <w:t xml:space="preserve">32. </w:t>
      </w:r>
      <w:r w:rsidRPr="008F4A1B">
        <w:rPr>
          <w:rFonts w:ascii="Garamond" w:hAnsi="Garamond"/>
        </w:rPr>
        <w:tab/>
        <w:t xml:space="preserve">Salanti G, Nikolakopoulou A, Sutton AJ, et al. Planning a future randomized clinical trial based on a network of relevant past trials. </w:t>
      </w:r>
      <w:r w:rsidRPr="008F4A1B">
        <w:rPr>
          <w:rFonts w:ascii="Garamond" w:hAnsi="Garamond"/>
          <w:i/>
          <w:iCs/>
        </w:rPr>
        <w:t>Trials</w:t>
      </w:r>
      <w:r w:rsidRPr="008F4A1B">
        <w:rPr>
          <w:rFonts w:ascii="Garamond" w:hAnsi="Garamond"/>
        </w:rPr>
        <w:t>. 2018;19(1):365.</w:t>
      </w:r>
    </w:p>
    <w:p w14:paraId="63236C35" w14:textId="77777777" w:rsidR="008F4A1B" w:rsidRPr="008F4A1B" w:rsidRDefault="008F4A1B" w:rsidP="008F4A1B">
      <w:pPr>
        <w:pStyle w:val="Bibliography"/>
        <w:rPr>
          <w:rFonts w:ascii="Garamond" w:hAnsi="Garamond"/>
        </w:rPr>
      </w:pPr>
      <w:r w:rsidRPr="008F4A1B">
        <w:rPr>
          <w:rFonts w:ascii="Garamond" w:hAnsi="Garamond"/>
        </w:rPr>
        <w:t xml:space="preserve">33. </w:t>
      </w:r>
      <w:r w:rsidRPr="008F4A1B">
        <w:rPr>
          <w:rFonts w:ascii="Garamond" w:hAnsi="Garamond"/>
        </w:rPr>
        <w:tab/>
        <w:t xml:space="preserve">Core Outcome Measures in Effectiveness Trials. </w:t>
      </w:r>
      <w:r w:rsidRPr="008F4A1B">
        <w:rPr>
          <w:rFonts w:ascii="Garamond" w:hAnsi="Garamond"/>
          <w:i/>
          <w:iCs/>
        </w:rPr>
        <w:t>Core Outcome Set Developers’ Response to COVID-19 (15th April 2020)</w:t>
      </w:r>
      <w:r w:rsidRPr="008F4A1B">
        <w:rPr>
          <w:rFonts w:ascii="Garamond" w:hAnsi="Garamond"/>
        </w:rPr>
        <w:t>.; 2020. Accessed May 3, 2020. http://www.comet-initiative.org/Studies/Details/1538</w:t>
      </w:r>
    </w:p>
    <w:p w14:paraId="60FB0AFD" w14:textId="77777777" w:rsidR="008F4A1B" w:rsidRPr="008F4A1B" w:rsidRDefault="008F4A1B" w:rsidP="008F4A1B">
      <w:pPr>
        <w:pStyle w:val="Bibliography"/>
        <w:rPr>
          <w:rFonts w:ascii="Garamond" w:hAnsi="Garamond"/>
        </w:rPr>
      </w:pPr>
      <w:r w:rsidRPr="008F4A1B">
        <w:rPr>
          <w:rFonts w:ascii="Garamond" w:hAnsi="Garamond"/>
        </w:rPr>
        <w:t xml:space="preserve">34. </w:t>
      </w:r>
      <w:r w:rsidRPr="008F4A1B">
        <w:rPr>
          <w:rFonts w:ascii="Garamond" w:hAnsi="Garamond"/>
        </w:rPr>
        <w:tab/>
        <w:t xml:space="preserve">Jin X, Pang B, Zhang J, et al. Core Outcome Set for Clinical Trials on Coronavirus Disease 2019 (COS-COVID). </w:t>
      </w:r>
      <w:r w:rsidRPr="008F4A1B">
        <w:rPr>
          <w:rFonts w:ascii="Garamond" w:hAnsi="Garamond"/>
          <w:i/>
          <w:iCs/>
        </w:rPr>
        <w:t>Eng Beijing China</w:t>
      </w:r>
      <w:r w:rsidRPr="008F4A1B">
        <w:rPr>
          <w:rFonts w:ascii="Garamond" w:hAnsi="Garamond"/>
        </w:rPr>
        <w:t>. Published online March 18, 2020. doi:10.1016/j.eng.2020.03.002</w:t>
      </w:r>
    </w:p>
    <w:p w14:paraId="19E16EAB" w14:textId="77777777" w:rsidR="008F4A1B" w:rsidRPr="008F4A1B" w:rsidRDefault="008F4A1B" w:rsidP="008F4A1B">
      <w:pPr>
        <w:pStyle w:val="Bibliography"/>
        <w:rPr>
          <w:rFonts w:ascii="Garamond" w:hAnsi="Garamond"/>
        </w:rPr>
      </w:pPr>
      <w:r w:rsidRPr="008F4A1B">
        <w:rPr>
          <w:rFonts w:ascii="Garamond" w:hAnsi="Garamond"/>
        </w:rPr>
        <w:t xml:space="preserve">35. </w:t>
      </w:r>
      <w:r w:rsidRPr="008F4A1B">
        <w:rPr>
          <w:rFonts w:ascii="Garamond" w:hAnsi="Garamond"/>
        </w:rPr>
        <w:tab/>
        <w:t xml:space="preserve">Marshall JC, Murthy S, Diaz J, et al. A minimal common outcome measure set for COVID-19 clinical research. </w:t>
      </w:r>
      <w:r w:rsidRPr="008F4A1B">
        <w:rPr>
          <w:rFonts w:ascii="Garamond" w:hAnsi="Garamond"/>
          <w:i/>
          <w:iCs/>
        </w:rPr>
        <w:t>Lancet Infect Dis</w:t>
      </w:r>
      <w:r w:rsidRPr="008F4A1B">
        <w:rPr>
          <w:rFonts w:ascii="Garamond" w:hAnsi="Garamond"/>
        </w:rPr>
        <w:t>. doi:10.1016/S1473-3099(20)30483-7</w:t>
      </w:r>
    </w:p>
    <w:p w14:paraId="785F5907" w14:textId="77777777" w:rsidR="008F4A1B" w:rsidRPr="008F4A1B" w:rsidRDefault="008F4A1B" w:rsidP="008F4A1B">
      <w:pPr>
        <w:pStyle w:val="Bibliography"/>
        <w:rPr>
          <w:rFonts w:ascii="Garamond" w:hAnsi="Garamond"/>
        </w:rPr>
      </w:pPr>
      <w:r w:rsidRPr="008F4A1B">
        <w:rPr>
          <w:rFonts w:ascii="Garamond" w:hAnsi="Garamond"/>
        </w:rPr>
        <w:t xml:space="preserve">36. </w:t>
      </w:r>
      <w:r w:rsidRPr="008F4A1B">
        <w:rPr>
          <w:rFonts w:ascii="Garamond" w:hAnsi="Garamond"/>
        </w:rPr>
        <w:tab/>
        <w:t xml:space="preserve">Mahase E. Covid-19: What do we know about “long covid”? </w:t>
      </w:r>
      <w:r w:rsidRPr="008F4A1B">
        <w:rPr>
          <w:rFonts w:ascii="Garamond" w:hAnsi="Garamond"/>
          <w:i/>
          <w:iCs/>
        </w:rPr>
        <w:t>BMJ</w:t>
      </w:r>
      <w:r w:rsidRPr="008F4A1B">
        <w:rPr>
          <w:rFonts w:ascii="Garamond" w:hAnsi="Garamond"/>
        </w:rPr>
        <w:t>. 2020;370. doi:10.1136/bmj.m2815</w:t>
      </w:r>
    </w:p>
    <w:p w14:paraId="7CE7699C" w14:textId="77777777" w:rsidR="008F4A1B" w:rsidRPr="008F4A1B" w:rsidRDefault="008F4A1B" w:rsidP="008F4A1B">
      <w:pPr>
        <w:pStyle w:val="Bibliography"/>
        <w:rPr>
          <w:rFonts w:ascii="Garamond" w:hAnsi="Garamond"/>
        </w:rPr>
      </w:pPr>
      <w:r w:rsidRPr="008F4A1B">
        <w:rPr>
          <w:rFonts w:ascii="Garamond" w:hAnsi="Garamond"/>
        </w:rPr>
        <w:t xml:space="preserve">37. </w:t>
      </w:r>
      <w:r w:rsidRPr="008F4A1B">
        <w:rPr>
          <w:rFonts w:ascii="Garamond" w:hAnsi="Garamond"/>
        </w:rPr>
        <w:tab/>
        <w:t xml:space="preserve">Wellcome Trust. </w:t>
      </w:r>
      <w:r w:rsidRPr="008F4A1B">
        <w:rPr>
          <w:rFonts w:ascii="Garamond" w:hAnsi="Garamond"/>
          <w:i/>
          <w:iCs/>
        </w:rPr>
        <w:t>Sharing Research Data to Improve Public Health: Full Joint Statement by Funders of Health Research</w:t>
      </w:r>
      <w:r w:rsidRPr="008F4A1B">
        <w:rPr>
          <w:rFonts w:ascii="Garamond" w:hAnsi="Garamond"/>
        </w:rPr>
        <w:t>. Accessed May 23, 2020. https://wellcome.ac.uk/what-we-do/our-work/sharing-research-data-improve-public-health-full-joint-statement-funders-health</w:t>
      </w:r>
    </w:p>
    <w:p w14:paraId="54CB807A" w14:textId="77777777" w:rsidR="008F4A1B" w:rsidRPr="008F4A1B" w:rsidRDefault="008F4A1B" w:rsidP="008F4A1B">
      <w:pPr>
        <w:pStyle w:val="Bibliography"/>
        <w:rPr>
          <w:rFonts w:ascii="Garamond" w:hAnsi="Garamond"/>
        </w:rPr>
      </w:pPr>
      <w:r w:rsidRPr="008F4A1B">
        <w:rPr>
          <w:rFonts w:ascii="Garamond" w:hAnsi="Garamond"/>
        </w:rPr>
        <w:t xml:space="preserve">38. </w:t>
      </w:r>
      <w:r w:rsidRPr="008F4A1B">
        <w:rPr>
          <w:rFonts w:ascii="Garamond" w:hAnsi="Garamond"/>
        </w:rPr>
        <w:tab/>
        <w:t xml:space="preserve">Miller J, Ross JS, Wilenzick M, Mello MM. Sharing of clinical trial data and results reporting practices among large pharmaceutical companies: cross sectional descriptive study and pilot of a tool to improve company practices. </w:t>
      </w:r>
      <w:r w:rsidRPr="008F4A1B">
        <w:rPr>
          <w:rFonts w:ascii="Garamond" w:hAnsi="Garamond"/>
          <w:i/>
          <w:iCs/>
        </w:rPr>
        <w:t>BMJ</w:t>
      </w:r>
      <w:r w:rsidRPr="008F4A1B">
        <w:rPr>
          <w:rFonts w:ascii="Garamond" w:hAnsi="Garamond"/>
        </w:rPr>
        <w:t>. 2019;366:l4217.</w:t>
      </w:r>
    </w:p>
    <w:p w14:paraId="1E0CBD70" w14:textId="77777777" w:rsidR="008F4A1B" w:rsidRPr="008F4A1B" w:rsidRDefault="008F4A1B" w:rsidP="008F4A1B">
      <w:pPr>
        <w:pStyle w:val="Bibliography"/>
        <w:rPr>
          <w:rFonts w:ascii="Garamond" w:hAnsi="Garamond"/>
        </w:rPr>
      </w:pPr>
      <w:r w:rsidRPr="008F4A1B">
        <w:rPr>
          <w:rFonts w:ascii="Garamond" w:hAnsi="Garamond"/>
        </w:rPr>
        <w:t xml:space="preserve">39. </w:t>
      </w:r>
      <w:r w:rsidRPr="008F4A1B">
        <w:rPr>
          <w:rFonts w:ascii="Garamond" w:hAnsi="Garamond"/>
        </w:rPr>
        <w:tab/>
        <w:t xml:space="preserve">Rice DB, Raffoul H, Ioannidis JPA, Moher D. Academic criteria for promotion and tenure in biomedical sciences faculties: cross sectional analysis of international sample of universities. </w:t>
      </w:r>
      <w:r w:rsidRPr="008F4A1B">
        <w:rPr>
          <w:rFonts w:ascii="Garamond" w:hAnsi="Garamond"/>
          <w:i/>
          <w:iCs/>
        </w:rPr>
        <w:t>BMJ</w:t>
      </w:r>
      <w:r w:rsidRPr="008F4A1B">
        <w:rPr>
          <w:rFonts w:ascii="Garamond" w:hAnsi="Garamond"/>
        </w:rPr>
        <w:t>. 2020;369. doi:10.1136/bmj.m2081</w:t>
      </w:r>
    </w:p>
    <w:p w14:paraId="69CC217D" w14:textId="77777777" w:rsidR="008F4A1B" w:rsidRPr="008F4A1B" w:rsidRDefault="008F4A1B" w:rsidP="008F4A1B">
      <w:pPr>
        <w:pStyle w:val="Bibliography"/>
        <w:rPr>
          <w:rFonts w:ascii="Garamond" w:hAnsi="Garamond"/>
        </w:rPr>
      </w:pPr>
      <w:r w:rsidRPr="008F4A1B">
        <w:rPr>
          <w:rFonts w:ascii="Garamond" w:hAnsi="Garamond"/>
        </w:rPr>
        <w:t xml:space="preserve">40. </w:t>
      </w:r>
      <w:r w:rsidRPr="008F4A1B">
        <w:rPr>
          <w:rFonts w:ascii="Garamond" w:hAnsi="Garamond"/>
        </w:rPr>
        <w:tab/>
        <w:t xml:space="preserve">Nevitt SJ, Marson AG, Davie B, Reynolds S, Williams L, Smith CT. Exploring changes over time and characteristics associated with data retrieval across individual participant data meta-analyses: systematic review. </w:t>
      </w:r>
      <w:r w:rsidRPr="008F4A1B">
        <w:rPr>
          <w:rFonts w:ascii="Garamond" w:hAnsi="Garamond"/>
          <w:i/>
          <w:iCs/>
        </w:rPr>
        <w:t>BMJ</w:t>
      </w:r>
      <w:r w:rsidRPr="008F4A1B">
        <w:rPr>
          <w:rFonts w:ascii="Garamond" w:hAnsi="Garamond"/>
        </w:rPr>
        <w:t>. 2017;357. doi:10.1136/bmj.j1390</w:t>
      </w:r>
    </w:p>
    <w:p w14:paraId="572DB444" w14:textId="77777777" w:rsidR="008F4A1B" w:rsidRPr="008F4A1B" w:rsidRDefault="008F4A1B" w:rsidP="008F4A1B">
      <w:pPr>
        <w:pStyle w:val="Bibliography"/>
        <w:rPr>
          <w:rFonts w:ascii="Garamond" w:hAnsi="Garamond"/>
        </w:rPr>
      </w:pPr>
      <w:r w:rsidRPr="008F4A1B">
        <w:rPr>
          <w:rFonts w:ascii="Garamond" w:hAnsi="Garamond"/>
        </w:rPr>
        <w:t xml:space="preserve">41. </w:t>
      </w:r>
      <w:r w:rsidRPr="008F4A1B">
        <w:rPr>
          <w:rFonts w:ascii="Garamond" w:hAnsi="Garamond"/>
        </w:rPr>
        <w:tab/>
      </w:r>
      <w:r w:rsidRPr="008F4A1B">
        <w:rPr>
          <w:rFonts w:ascii="Garamond" w:hAnsi="Garamond"/>
          <w:i/>
          <w:iCs/>
        </w:rPr>
        <w:t>Living Mapping and Living Systematic Review of Covid-19 Studies</w:t>
      </w:r>
      <w:r w:rsidRPr="008F4A1B">
        <w:rPr>
          <w:rFonts w:ascii="Garamond" w:hAnsi="Garamond"/>
        </w:rPr>
        <w:t>. Accessed May 1, 2020. https://covid-nma.com/the-project/</w:t>
      </w:r>
    </w:p>
    <w:p w14:paraId="0F697836" w14:textId="77777777" w:rsidR="008F4A1B" w:rsidRPr="008F4A1B" w:rsidRDefault="008F4A1B" w:rsidP="008F4A1B">
      <w:pPr>
        <w:pStyle w:val="Bibliography"/>
        <w:rPr>
          <w:rFonts w:ascii="Garamond" w:hAnsi="Garamond"/>
        </w:rPr>
      </w:pPr>
      <w:r w:rsidRPr="008F4A1B">
        <w:rPr>
          <w:rFonts w:ascii="Garamond" w:hAnsi="Garamond"/>
        </w:rPr>
        <w:t xml:space="preserve">42. </w:t>
      </w:r>
      <w:r w:rsidRPr="008F4A1B">
        <w:rPr>
          <w:rFonts w:ascii="Garamond" w:hAnsi="Garamond"/>
        </w:rPr>
        <w:tab/>
        <w:t xml:space="preserve">Siemieniuk RA, Bartoszko JJ, Ge L, et al. Drug treatments for covid-19: living systematic review and network meta-analysis. </w:t>
      </w:r>
      <w:r w:rsidRPr="008F4A1B">
        <w:rPr>
          <w:rFonts w:ascii="Garamond" w:hAnsi="Garamond"/>
          <w:i/>
          <w:iCs/>
        </w:rPr>
        <w:t>BMJ</w:t>
      </w:r>
      <w:r w:rsidRPr="008F4A1B">
        <w:rPr>
          <w:rFonts w:ascii="Garamond" w:hAnsi="Garamond"/>
        </w:rPr>
        <w:t>. 2020;370. doi:10.1136/bmj.m2980</w:t>
      </w:r>
    </w:p>
    <w:p w14:paraId="5C356B7C" w14:textId="77777777" w:rsidR="008F4A1B" w:rsidRPr="008F4A1B" w:rsidRDefault="008F4A1B" w:rsidP="008F4A1B">
      <w:pPr>
        <w:pStyle w:val="Bibliography"/>
        <w:rPr>
          <w:rFonts w:ascii="Garamond" w:hAnsi="Garamond"/>
        </w:rPr>
      </w:pPr>
      <w:r w:rsidRPr="008F4A1B">
        <w:rPr>
          <w:rFonts w:ascii="Garamond" w:hAnsi="Garamond"/>
        </w:rPr>
        <w:lastRenderedPageBreak/>
        <w:t xml:space="preserve">43. </w:t>
      </w:r>
      <w:r w:rsidRPr="008F4A1B">
        <w:rPr>
          <w:rFonts w:ascii="Garamond" w:hAnsi="Garamond"/>
        </w:rPr>
        <w:tab/>
        <w:t xml:space="preserve">Dechartres A, Altman DG, Trinquart L, Boutron I, Ravaud P. Association between analytic strategy and estimates of treatment outcomes in meta-analyses. </w:t>
      </w:r>
      <w:r w:rsidRPr="008F4A1B">
        <w:rPr>
          <w:rFonts w:ascii="Garamond" w:hAnsi="Garamond"/>
          <w:i/>
          <w:iCs/>
        </w:rPr>
        <w:t>JAMA</w:t>
      </w:r>
      <w:r w:rsidRPr="008F4A1B">
        <w:rPr>
          <w:rFonts w:ascii="Garamond" w:hAnsi="Garamond"/>
        </w:rPr>
        <w:t>. 2014;312(6):623-630. doi:10.1001/jama.2014.8166</w:t>
      </w:r>
    </w:p>
    <w:p w14:paraId="086952E9" w14:textId="77777777" w:rsidR="008F4A1B" w:rsidRPr="008F4A1B" w:rsidRDefault="008F4A1B" w:rsidP="008F4A1B">
      <w:pPr>
        <w:pStyle w:val="Bibliography"/>
        <w:rPr>
          <w:rFonts w:ascii="Garamond" w:hAnsi="Garamond"/>
        </w:rPr>
      </w:pPr>
      <w:r w:rsidRPr="008F4A1B">
        <w:rPr>
          <w:rFonts w:ascii="Garamond" w:hAnsi="Garamond"/>
        </w:rPr>
        <w:t xml:space="preserve">44. </w:t>
      </w:r>
      <w:r w:rsidRPr="008F4A1B">
        <w:rPr>
          <w:rFonts w:ascii="Garamond" w:hAnsi="Garamond"/>
        </w:rPr>
        <w:tab/>
        <w:t xml:space="preserve">Moynihan R, Macdonald H, Bero L, Godlee F. Commercial influence and covid-19. </w:t>
      </w:r>
      <w:r w:rsidRPr="008F4A1B">
        <w:rPr>
          <w:rFonts w:ascii="Garamond" w:hAnsi="Garamond"/>
          <w:i/>
          <w:iCs/>
        </w:rPr>
        <w:t>BMJ</w:t>
      </w:r>
      <w:r w:rsidRPr="008F4A1B">
        <w:rPr>
          <w:rFonts w:ascii="Garamond" w:hAnsi="Garamond"/>
        </w:rPr>
        <w:t>. 2020;369. doi:10.1136/bmj.m2456</w:t>
      </w:r>
    </w:p>
    <w:p w14:paraId="4B9E6679" w14:textId="77777777" w:rsidR="008F4A1B" w:rsidRPr="008F4A1B" w:rsidRDefault="008F4A1B" w:rsidP="008F4A1B">
      <w:pPr>
        <w:pStyle w:val="Bibliography"/>
        <w:rPr>
          <w:rFonts w:ascii="Garamond" w:hAnsi="Garamond"/>
        </w:rPr>
      </w:pPr>
      <w:r w:rsidRPr="008F4A1B">
        <w:rPr>
          <w:rFonts w:ascii="Garamond" w:hAnsi="Garamond"/>
        </w:rPr>
        <w:t xml:space="preserve">45. </w:t>
      </w:r>
      <w:r w:rsidRPr="008F4A1B">
        <w:rPr>
          <w:rFonts w:ascii="Garamond" w:hAnsi="Garamond"/>
        </w:rPr>
        <w:tab/>
        <w:t xml:space="preserve">Janke K, Biester K, Krause D, et al. Comparative effectiveness of biological medicines in rheumatoid arthritis: systematic review and network meta-analysis including aggregate results from reanalysed individual patient data. </w:t>
      </w:r>
      <w:r w:rsidRPr="008F4A1B">
        <w:rPr>
          <w:rFonts w:ascii="Garamond" w:hAnsi="Garamond"/>
          <w:i/>
          <w:iCs/>
        </w:rPr>
        <w:t>BMJ</w:t>
      </w:r>
      <w:r w:rsidRPr="008F4A1B">
        <w:rPr>
          <w:rFonts w:ascii="Garamond" w:hAnsi="Garamond"/>
        </w:rPr>
        <w:t>. 2020;370. doi:10.1136/bmj.m2288</w:t>
      </w:r>
    </w:p>
    <w:p w14:paraId="16CE01C8" w14:textId="77777777" w:rsidR="008F4A1B" w:rsidRPr="008F4A1B" w:rsidRDefault="008F4A1B" w:rsidP="008F4A1B">
      <w:pPr>
        <w:pStyle w:val="Bibliography"/>
        <w:rPr>
          <w:rFonts w:ascii="Garamond" w:hAnsi="Garamond"/>
        </w:rPr>
      </w:pPr>
      <w:r w:rsidRPr="008F4A1B">
        <w:rPr>
          <w:rFonts w:ascii="Garamond" w:hAnsi="Garamond"/>
        </w:rPr>
        <w:t xml:space="preserve">46. </w:t>
      </w:r>
      <w:r w:rsidRPr="008F4A1B">
        <w:rPr>
          <w:rFonts w:ascii="Garamond" w:hAnsi="Garamond"/>
        </w:rPr>
        <w:tab/>
        <w:t xml:space="preserve">Naci H, O’Connor AB. Assessing comparative effectiveness of new drugs before approval using prospective network meta-analyses. </w:t>
      </w:r>
      <w:r w:rsidRPr="008F4A1B">
        <w:rPr>
          <w:rFonts w:ascii="Garamond" w:hAnsi="Garamond"/>
          <w:i/>
          <w:iCs/>
        </w:rPr>
        <w:t>J Clin Epidemiol</w:t>
      </w:r>
      <w:r w:rsidRPr="008F4A1B">
        <w:rPr>
          <w:rFonts w:ascii="Garamond" w:hAnsi="Garamond"/>
        </w:rPr>
        <w:t>. 2013;66(8):812-816.</w:t>
      </w:r>
    </w:p>
    <w:p w14:paraId="7827169E" w14:textId="77777777" w:rsidR="008F4A1B" w:rsidRPr="008F4A1B" w:rsidRDefault="008F4A1B" w:rsidP="008F4A1B">
      <w:pPr>
        <w:pStyle w:val="Bibliography"/>
        <w:rPr>
          <w:rFonts w:ascii="Garamond" w:hAnsi="Garamond"/>
        </w:rPr>
      </w:pPr>
      <w:r w:rsidRPr="008F4A1B">
        <w:rPr>
          <w:rFonts w:ascii="Garamond" w:hAnsi="Garamond"/>
        </w:rPr>
        <w:t xml:space="preserve">47. </w:t>
      </w:r>
      <w:r w:rsidRPr="008F4A1B">
        <w:rPr>
          <w:rFonts w:ascii="Garamond" w:hAnsi="Garamond"/>
        </w:rPr>
        <w:tab/>
        <w:t xml:space="preserve">Singh I, Naci H, Miller J, Caplan A, Cipriani A. Ethical implications of poor comparative effectiveness evidence: obligations in industry-research partnerships. </w:t>
      </w:r>
      <w:r w:rsidRPr="008F4A1B">
        <w:rPr>
          <w:rFonts w:ascii="Garamond" w:hAnsi="Garamond"/>
          <w:i/>
          <w:iCs/>
        </w:rPr>
        <w:t>Lancet Lond Engl</w:t>
      </w:r>
      <w:r w:rsidRPr="008F4A1B">
        <w:rPr>
          <w:rFonts w:ascii="Garamond" w:hAnsi="Garamond"/>
        </w:rPr>
        <w:t>. 2020;395(10228):926-928. doi:10.1016/S0140-6736(20)30413-X</w:t>
      </w:r>
    </w:p>
    <w:p w14:paraId="0E9B97C0" w14:textId="77777777" w:rsidR="008F4A1B" w:rsidRPr="008F4A1B" w:rsidRDefault="008F4A1B" w:rsidP="008F4A1B">
      <w:pPr>
        <w:pStyle w:val="Bibliography"/>
        <w:rPr>
          <w:rFonts w:ascii="Garamond" w:hAnsi="Garamond"/>
        </w:rPr>
      </w:pPr>
      <w:r w:rsidRPr="008F4A1B">
        <w:rPr>
          <w:rFonts w:ascii="Garamond" w:hAnsi="Garamond"/>
        </w:rPr>
        <w:t xml:space="preserve">48. </w:t>
      </w:r>
      <w:r w:rsidRPr="008F4A1B">
        <w:rPr>
          <w:rFonts w:ascii="Garamond" w:hAnsi="Garamond"/>
        </w:rPr>
        <w:tab/>
        <w:t xml:space="preserve">Vandvik PO, Brandt L, Alonso-Coello P, et al. Creating clinical practice guidelines we can trust, use, and share: a new era is  imminent. </w:t>
      </w:r>
      <w:r w:rsidRPr="008F4A1B">
        <w:rPr>
          <w:rFonts w:ascii="Garamond" w:hAnsi="Garamond"/>
          <w:i/>
          <w:iCs/>
        </w:rPr>
        <w:t>Chest</w:t>
      </w:r>
      <w:r w:rsidRPr="008F4A1B">
        <w:rPr>
          <w:rFonts w:ascii="Garamond" w:hAnsi="Garamond"/>
        </w:rPr>
        <w:t>. 2013;144(2):381-389. doi:10.1378/chest.13-0746</w:t>
      </w:r>
    </w:p>
    <w:p w14:paraId="0219470B" w14:textId="77777777" w:rsidR="008F4A1B" w:rsidRPr="008F4A1B" w:rsidRDefault="008F4A1B" w:rsidP="008F4A1B">
      <w:pPr>
        <w:pStyle w:val="Bibliography"/>
        <w:rPr>
          <w:rFonts w:ascii="Garamond" w:hAnsi="Garamond"/>
        </w:rPr>
      </w:pPr>
      <w:r w:rsidRPr="008F4A1B">
        <w:rPr>
          <w:rFonts w:ascii="Garamond" w:hAnsi="Garamond"/>
        </w:rPr>
        <w:t xml:space="preserve">49. </w:t>
      </w:r>
      <w:r w:rsidRPr="008F4A1B">
        <w:rPr>
          <w:rFonts w:ascii="Garamond" w:hAnsi="Garamond"/>
        </w:rPr>
        <w:tab/>
        <w:t xml:space="preserve">Siemieniuk RA, Agoritsas T, Macdonald H, Guyatt GH, Brandt L, Vandvik PO. Introduction to BMJ Rapid Recommendations. </w:t>
      </w:r>
      <w:r w:rsidRPr="008F4A1B">
        <w:rPr>
          <w:rFonts w:ascii="Garamond" w:hAnsi="Garamond"/>
          <w:i/>
          <w:iCs/>
        </w:rPr>
        <w:t>BMJ</w:t>
      </w:r>
      <w:r w:rsidRPr="008F4A1B">
        <w:rPr>
          <w:rFonts w:ascii="Garamond" w:hAnsi="Garamond"/>
        </w:rPr>
        <w:t>. 2016;354. doi:10.1136/bmj.i5191</w:t>
      </w:r>
    </w:p>
    <w:p w14:paraId="0538DCB2" w14:textId="451D74F9" w:rsidR="00AA3099" w:rsidRDefault="00233EA2">
      <w:pPr>
        <w:rPr>
          <w:rFonts w:ascii="Garamond" w:hAnsi="Garamond"/>
        </w:rPr>
      </w:pPr>
      <w:r>
        <w:rPr>
          <w:rFonts w:ascii="Garamond" w:hAnsi="Garamond"/>
        </w:rPr>
        <w:fldChar w:fldCharType="end"/>
      </w:r>
    </w:p>
    <w:p w14:paraId="22584F9D" w14:textId="77777777" w:rsidR="00934F06" w:rsidRDefault="00AA3099">
      <w:pPr>
        <w:rPr>
          <w:rFonts w:ascii="Garamond" w:hAnsi="Garamond"/>
        </w:rPr>
        <w:sectPr w:rsidR="00934F06" w:rsidSect="004F5E95">
          <w:footerReference w:type="even" r:id="rId8"/>
          <w:footerReference w:type="default" r:id="rId9"/>
          <w:pgSz w:w="11900" w:h="16840"/>
          <w:pgMar w:top="1440" w:right="1440" w:bottom="1440" w:left="1440" w:header="720" w:footer="720" w:gutter="0"/>
          <w:cols w:space="720"/>
          <w:docGrid w:linePitch="360"/>
        </w:sectPr>
      </w:pPr>
      <w:r>
        <w:rPr>
          <w:rFonts w:ascii="Garamond" w:hAnsi="Garamond"/>
        </w:rPr>
        <w:br w:type="page"/>
      </w:r>
    </w:p>
    <w:p w14:paraId="2ECB4D63" w14:textId="00AA5A56" w:rsidR="00AA3099" w:rsidRDefault="00AA3099">
      <w:pPr>
        <w:rPr>
          <w:rFonts w:ascii="Garamond" w:hAnsi="Garamond"/>
        </w:rPr>
      </w:pPr>
    </w:p>
    <w:p w14:paraId="41517A94" w14:textId="66AFD73D" w:rsidR="00AA3099" w:rsidRDefault="00EB31E4" w:rsidP="00480ED9">
      <w:pPr>
        <w:rPr>
          <w:rFonts w:ascii="Garamond" w:hAnsi="Garamond"/>
        </w:rPr>
      </w:pPr>
      <w:r>
        <w:rPr>
          <w:rFonts w:ascii="Garamond" w:hAnsi="Garamond"/>
          <w:b/>
          <w:bCs/>
        </w:rPr>
        <w:t>Table 1</w:t>
      </w:r>
      <w:r w:rsidR="00AA3099">
        <w:rPr>
          <w:rFonts w:ascii="Garamond" w:hAnsi="Garamond"/>
        </w:rPr>
        <w:t xml:space="preserve">. Five </w:t>
      </w:r>
      <w:r w:rsidR="00C04B41">
        <w:rPr>
          <w:rFonts w:ascii="Garamond" w:hAnsi="Garamond"/>
        </w:rPr>
        <w:t xml:space="preserve">key areas </w:t>
      </w:r>
      <w:r w:rsidR="00E244C8">
        <w:rPr>
          <w:rFonts w:ascii="Garamond" w:hAnsi="Garamond"/>
        </w:rPr>
        <w:t>in need of greater</w:t>
      </w:r>
      <w:r w:rsidR="00C04B41">
        <w:rPr>
          <w:rFonts w:ascii="Garamond" w:hAnsi="Garamond"/>
        </w:rPr>
        <w:t xml:space="preserve"> collaboration and coordination to </w:t>
      </w:r>
      <w:r w:rsidR="00AA3099">
        <w:rPr>
          <w:rFonts w:ascii="Garamond" w:hAnsi="Garamond"/>
        </w:rPr>
        <w:t>generat</w:t>
      </w:r>
      <w:r w:rsidR="00C04B41">
        <w:rPr>
          <w:rFonts w:ascii="Garamond" w:hAnsi="Garamond"/>
        </w:rPr>
        <w:t>e</w:t>
      </w:r>
      <w:r w:rsidR="00AA3099">
        <w:rPr>
          <w:rFonts w:ascii="Garamond" w:hAnsi="Garamond"/>
        </w:rPr>
        <w:t xml:space="preserve"> and </w:t>
      </w:r>
      <w:r w:rsidR="00C04B41">
        <w:rPr>
          <w:rFonts w:ascii="Garamond" w:hAnsi="Garamond"/>
        </w:rPr>
        <w:t xml:space="preserve">use </w:t>
      </w:r>
      <w:r w:rsidR="00AA3099">
        <w:rPr>
          <w:rFonts w:ascii="Garamond" w:hAnsi="Garamond"/>
        </w:rPr>
        <w:t xml:space="preserve">comparative evidence on COVID-19 therapeutics. </w:t>
      </w:r>
    </w:p>
    <w:p w14:paraId="348D23BC" w14:textId="16C89749" w:rsidR="00190B45" w:rsidRDefault="00190B45" w:rsidP="00480ED9">
      <w:pPr>
        <w:rPr>
          <w:rFonts w:ascii="Garamond" w:hAnsi="Garamond"/>
        </w:rPr>
      </w:pPr>
    </w:p>
    <w:tbl>
      <w:tblPr>
        <w:tblStyle w:val="TableGrid"/>
        <w:tblW w:w="14337" w:type="dxa"/>
        <w:tblLook w:val="04A0" w:firstRow="1" w:lastRow="0" w:firstColumn="1" w:lastColumn="0" w:noHBand="0" w:noVBand="1"/>
      </w:tblPr>
      <w:tblGrid>
        <w:gridCol w:w="1754"/>
        <w:gridCol w:w="2636"/>
        <w:gridCol w:w="5606"/>
        <w:gridCol w:w="4341"/>
      </w:tblGrid>
      <w:tr w:rsidR="00934F06" w:rsidRPr="00206DA8" w14:paraId="272DCF2C" w14:textId="77777777" w:rsidTr="007A1DB5">
        <w:trPr>
          <w:trHeight w:val="364"/>
        </w:trPr>
        <w:tc>
          <w:tcPr>
            <w:tcW w:w="1754" w:type="dxa"/>
          </w:tcPr>
          <w:p w14:paraId="78D85AE4" w14:textId="77777777" w:rsidR="00934F06" w:rsidRPr="008425DD" w:rsidRDefault="00934F06" w:rsidP="007A1DB5">
            <w:pPr>
              <w:rPr>
                <w:rFonts w:ascii="Garamond" w:hAnsi="Garamond"/>
                <w:b/>
                <w:bCs/>
                <w:sz w:val="22"/>
                <w:szCs w:val="22"/>
              </w:rPr>
            </w:pPr>
            <w:r w:rsidRPr="008425DD">
              <w:rPr>
                <w:rFonts w:ascii="Garamond" w:hAnsi="Garamond"/>
                <w:b/>
                <w:bCs/>
                <w:sz w:val="22"/>
                <w:szCs w:val="22"/>
              </w:rPr>
              <w:t>Domain</w:t>
            </w:r>
          </w:p>
        </w:tc>
        <w:tc>
          <w:tcPr>
            <w:tcW w:w="2636" w:type="dxa"/>
          </w:tcPr>
          <w:p w14:paraId="1F23D803" w14:textId="77777777" w:rsidR="00934F06" w:rsidRPr="008425DD" w:rsidRDefault="00934F06" w:rsidP="007A1DB5">
            <w:pPr>
              <w:rPr>
                <w:rFonts w:ascii="Garamond" w:hAnsi="Garamond"/>
                <w:b/>
                <w:bCs/>
                <w:sz w:val="22"/>
                <w:szCs w:val="22"/>
              </w:rPr>
            </w:pPr>
            <w:r w:rsidRPr="008425DD">
              <w:rPr>
                <w:rFonts w:ascii="Garamond" w:hAnsi="Garamond"/>
                <w:b/>
                <w:bCs/>
                <w:sz w:val="22"/>
                <w:szCs w:val="22"/>
              </w:rPr>
              <w:t xml:space="preserve">Recommendation </w:t>
            </w:r>
          </w:p>
        </w:tc>
        <w:tc>
          <w:tcPr>
            <w:tcW w:w="5606" w:type="dxa"/>
          </w:tcPr>
          <w:p w14:paraId="3D22B63E" w14:textId="77777777" w:rsidR="00934F06" w:rsidRPr="00206DA8" w:rsidRDefault="00934F06" w:rsidP="007A1DB5">
            <w:pPr>
              <w:rPr>
                <w:rFonts w:ascii="Garamond" w:hAnsi="Garamond"/>
                <w:b/>
                <w:bCs/>
                <w:sz w:val="22"/>
                <w:szCs w:val="22"/>
              </w:rPr>
            </w:pPr>
            <w:r>
              <w:rPr>
                <w:rFonts w:ascii="Garamond" w:hAnsi="Garamond"/>
                <w:b/>
                <w:bCs/>
                <w:sz w:val="22"/>
                <w:szCs w:val="22"/>
              </w:rPr>
              <w:t>Concrete next steps</w:t>
            </w:r>
          </w:p>
        </w:tc>
        <w:tc>
          <w:tcPr>
            <w:tcW w:w="4341" w:type="dxa"/>
          </w:tcPr>
          <w:p w14:paraId="77B6497A" w14:textId="77777777" w:rsidR="00934F06" w:rsidRPr="008425DD" w:rsidRDefault="00934F06" w:rsidP="007A1DB5">
            <w:pPr>
              <w:rPr>
                <w:rFonts w:ascii="Garamond" w:hAnsi="Garamond"/>
                <w:b/>
                <w:bCs/>
                <w:sz w:val="22"/>
                <w:szCs w:val="22"/>
              </w:rPr>
            </w:pPr>
            <w:r w:rsidRPr="008425DD">
              <w:rPr>
                <w:rFonts w:ascii="Garamond" w:hAnsi="Garamond"/>
                <w:b/>
                <w:bCs/>
                <w:sz w:val="22"/>
                <w:szCs w:val="22"/>
              </w:rPr>
              <w:t>Target stakeholders</w:t>
            </w:r>
          </w:p>
        </w:tc>
      </w:tr>
      <w:tr w:rsidR="00934F06" w:rsidRPr="00206DA8" w14:paraId="5A8BFFDC" w14:textId="77777777" w:rsidTr="007A1DB5">
        <w:trPr>
          <w:trHeight w:val="1485"/>
        </w:trPr>
        <w:tc>
          <w:tcPr>
            <w:tcW w:w="1754" w:type="dxa"/>
          </w:tcPr>
          <w:p w14:paraId="23719C95" w14:textId="77777777" w:rsidR="00934F06" w:rsidRPr="008425DD" w:rsidRDefault="00934F06" w:rsidP="00934F06">
            <w:pPr>
              <w:pStyle w:val="ListParagraph"/>
              <w:numPr>
                <w:ilvl w:val="0"/>
                <w:numId w:val="19"/>
              </w:numPr>
              <w:rPr>
                <w:rFonts w:ascii="Garamond" w:hAnsi="Garamond"/>
                <w:sz w:val="22"/>
                <w:szCs w:val="22"/>
              </w:rPr>
            </w:pPr>
            <w:r w:rsidRPr="008425DD">
              <w:rPr>
                <w:rFonts w:ascii="Garamond" w:hAnsi="Garamond"/>
                <w:sz w:val="22"/>
                <w:szCs w:val="22"/>
              </w:rPr>
              <w:t xml:space="preserve">Selecting treatments to include in large trials </w:t>
            </w:r>
          </w:p>
        </w:tc>
        <w:tc>
          <w:tcPr>
            <w:tcW w:w="2636" w:type="dxa"/>
          </w:tcPr>
          <w:p w14:paraId="5890D28D" w14:textId="77777777" w:rsidR="00934F06" w:rsidRPr="008425DD" w:rsidRDefault="00934F06" w:rsidP="007A1DB5">
            <w:pPr>
              <w:rPr>
                <w:rFonts w:ascii="Garamond" w:hAnsi="Garamond"/>
                <w:sz w:val="22"/>
                <w:szCs w:val="22"/>
              </w:rPr>
            </w:pPr>
            <w:r>
              <w:rPr>
                <w:rFonts w:ascii="Garamond" w:hAnsi="Garamond"/>
                <w:sz w:val="22"/>
                <w:szCs w:val="22"/>
              </w:rPr>
              <w:t>U</w:t>
            </w:r>
            <w:r w:rsidRPr="008425DD">
              <w:rPr>
                <w:rFonts w:ascii="Garamond" w:hAnsi="Garamond"/>
                <w:sz w:val="22"/>
                <w:szCs w:val="22"/>
              </w:rPr>
              <w:t>se network meta-analyses to learn from the fast-evolving body of evidence and reach conclusions on which treatments to test in larger trials</w:t>
            </w:r>
          </w:p>
        </w:tc>
        <w:tc>
          <w:tcPr>
            <w:tcW w:w="5606" w:type="dxa"/>
          </w:tcPr>
          <w:p w14:paraId="46EA3D92" w14:textId="77777777" w:rsidR="00934F06" w:rsidRPr="00B118AE" w:rsidRDefault="00934F06" w:rsidP="00934F06">
            <w:pPr>
              <w:pStyle w:val="ListParagraph"/>
              <w:numPr>
                <w:ilvl w:val="0"/>
                <w:numId w:val="20"/>
              </w:numPr>
              <w:rPr>
                <w:rFonts w:ascii="Garamond" w:hAnsi="Garamond"/>
                <w:sz w:val="22"/>
                <w:szCs w:val="22"/>
              </w:rPr>
            </w:pPr>
            <w:r>
              <w:rPr>
                <w:rFonts w:ascii="Garamond" w:hAnsi="Garamond"/>
                <w:sz w:val="22"/>
                <w:szCs w:val="22"/>
              </w:rPr>
              <w:t>Complement WHO’s therapeutic landscape analysis with network meta-analyses of available data</w:t>
            </w:r>
          </w:p>
        </w:tc>
        <w:tc>
          <w:tcPr>
            <w:tcW w:w="4341" w:type="dxa"/>
          </w:tcPr>
          <w:p w14:paraId="2348D56B" w14:textId="77777777" w:rsidR="00934F06" w:rsidRDefault="00934F06" w:rsidP="00934F06">
            <w:pPr>
              <w:pStyle w:val="ListParagraph"/>
              <w:numPr>
                <w:ilvl w:val="0"/>
                <w:numId w:val="20"/>
              </w:numPr>
              <w:rPr>
                <w:rFonts w:ascii="Garamond" w:hAnsi="Garamond"/>
                <w:sz w:val="22"/>
                <w:szCs w:val="22"/>
              </w:rPr>
            </w:pPr>
            <w:r>
              <w:rPr>
                <w:rFonts w:ascii="Garamond" w:hAnsi="Garamond"/>
                <w:sz w:val="22"/>
                <w:szCs w:val="22"/>
              </w:rPr>
              <w:t>WHO</w:t>
            </w:r>
          </w:p>
          <w:p w14:paraId="3C30395F" w14:textId="77777777" w:rsidR="00934F06" w:rsidRDefault="00934F06" w:rsidP="00934F06">
            <w:pPr>
              <w:pStyle w:val="ListParagraph"/>
              <w:numPr>
                <w:ilvl w:val="0"/>
                <w:numId w:val="20"/>
              </w:numPr>
              <w:rPr>
                <w:rFonts w:ascii="Garamond" w:hAnsi="Garamond"/>
                <w:sz w:val="22"/>
                <w:szCs w:val="22"/>
              </w:rPr>
            </w:pPr>
            <w:r>
              <w:rPr>
                <w:rFonts w:ascii="Garamond" w:hAnsi="Garamond"/>
                <w:sz w:val="22"/>
                <w:szCs w:val="22"/>
              </w:rPr>
              <w:t>Research funders (including industry)</w:t>
            </w:r>
          </w:p>
          <w:p w14:paraId="2115C0A3" w14:textId="77777777" w:rsidR="00934F06" w:rsidRPr="00B118AE" w:rsidRDefault="00934F06" w:rsidP="00934F06">
            <w:pPr>
              <w:pStyle w:val="ListParagraph"/>
              <w:numPr>
                <w:ilvl w:val="0"/>
                <w:numId w:val="20"/>
              </w:numPr>
              <w:rPr>
                <w:rFonts w:ascii="Garamond" w:hAnsi="Garamond"/>
                <w:sz w:val="22"/>
                <w:szCs w:val="22"/>
              </w:rPr>
            </w:pPr>
            <w:r>
              <w:rPr>
                <w:rFonts w:ascii="Garamond" w:hAnsi="Garamond"/>
                <w:sz w:val="22"/>
                <w:szCs w:val="22"/>
              </w:rPr>
              <w:t>Research community (trialists and meta-analysts)</w:t>
            </w:r>
          </w:p>
        </w:tc>
      </w:tr>
      <w:tr w:rsidR="00934F06" w:rsidRPr="00206DA8" w14:paraId="5E3B9853" w14:textId="77777777" w:rsidTr="007A1DB5">
        <w:trPr>
          <w:trHeight w:val="2085"/>
        </w:trPr>
        <w:tc>
          <w:tcPr>
            <w:tcW w:w="1754" w:type="dxa"/>
          </w:tcPr>
          <w:p w14:paraId="47E3822C" w14:textId="77777777" w:rsidR="00934F06" w:rsidRPr="008425DD" w:rsidRDefault="00934F06" w:rsidP="00934F06">
            <w:pPr>
              <w:pStyle w:val="ListParagraph"/>
              <w:numPr>
                <w:ilvl w:val="0"/>
                <w:numId w:val="19"/>
              </w:numPr>
              <w:rPr>
                <w:rFonts w:ascii="Garamond" w:hAnsi="Garamond"/>
                <w:sz w:val="22"/>
                <w:szCs w:val="22"/>
              </w:rPr>
            </w:pPr>
            <w:r w:rsidRPr="008425DD">
              <w:rPr>
                <w:rFonts w:ascii="Garamond" w:hAnsi="Garamond"/>
                <w:sz w:val="22"/>
                <w:szCs w:val="22"/>
              </w:rPr>
              <w:t>Streamlining trial designs</w:t>
            </w:r>
          </w:p>
        </w:tc>
        <w:tc>
          <w:tcPr>
            <w:tcW w:w="2636" w:type="dxa"/>
          </w:tcPr>
          <w:p w14:paraId="7E05B75C" w14:textId="77777777" w:rsidR="00934F06" w:rsidRPr="008425DD" w:rsidRDefault="00934F06" w:rsidP="007A1DB5">
            <w:pPr>
              <w:rPr>
                <w:rFonts w:ascii="Garamond" w:hAnsi="Garamond"/>
                <w:sz w:val="22"/>
                <w:szCs w:val="22"/>
              </w:rPr>
            </w:pPr>
            <w:r w:rsidRPr="008425DD">
              <w:rPr>
                <w:rFonts w:ascii="Garamond" w:hAnsi="Garamond"/>
                <w:sz w:val="22"/>
                <w:szCs w:val="22"/>
              </w:rPr>
              <w:t>Ensure that future trials collect data on core outcome measures</w:t>
            </w:r>
          </w:p>
        </w:tc>
        <w:tc>
          <w:tcPr>
            <w:tcW w:w="5606" w:type="dxa"/>
          </w:tcPr>
          <w:p w14:paraId="3C583B69"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Streamline core outcome sets</w:t>
            </w:r>
          </w:p>
          <w:p w14:paraId="1FEBEFB5"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Encourage (or mandate, where possible) use of core outcome sets in trials</w:t>
            </w:r>
          </w:p>
          <w:p w14:paraId="3957ADF3" w14:textId="77777777" w:rsidR="00934F06" w:rsidRPr="00B118AE" w:rsidRDefault="00934F06" w:rsidP="00934F06">
            <w:pPr>
              <w:pStyle w:val="ListParagraph"/>
              <w:numPr>
                <w:ilvl w:val="0"/>
                <w:numId w:val="21"/>
              </w:numPr>
              <w:rPr>
                <w:rFonts w:ascii="Garamond" w:hAnsi="Garamond"/>
                <w:sz w:val="22"/>
                <w:szCs w:val="22"/>
              </w:rPr>
            </w:pPr>
            <w:r>
              <w:rPr>
                <w:rFonts w:ascii="Garamond" w:hAnsi="Garamond"/>
                <w:sz w:val="22"/>
                <w:szCs w:val="22"/>
              </w:rPr>
              <w:t>Develop and communicate regulatory and health technology assessment guidance on preferred trial designs</w:t>
            </w:r>
          </w:p>
        </w:tc>
        <w:tc>
          <w:tcPr>
            <w:tcW w:w="4341" w:type="dxa"/>
          </w:tcPr>
          <w:p w14:paraId="73B909C8"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WHO</w:t>
            </w:r>
          </w:p>
          <w:p w14:paraId="1CB93AF0"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Research funders (including industry)</w:t>
            </w:r>
          </w:p>
          <w:p w14:paraId="0916D7A4"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Ethics committees</w:t>
            </w:r>
          </w:p>
          <w:p w14:paraId="4C5B68DF"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Regulatory agencies (e.g., FDA, EMA)</w:t>
            </w:r>
          </w:p>
          <w:p w14:paraId="69D318FD" w14:textId="77777777" w:rsidR="00934F06" w:rsidRDefault="00934F06" w:rsidP="00934F06">
            <w:pPr>
              <w:pStyle w:val="ListParagraph"/>
              <w:numPr>
                <w:ilvl w:val="0"/>
                <w:numId w:val="21"/>
              </w:numPr>
              <w:rPr>
                <w:rFonts w:ascii="Garamond" w:hAnsi="Garamond"/>
                <w:sz w:val="22"/>
                <w:szCs w:val="22"/>
              </w:rPr>
            </w:pPr>
            <w:r>
              <w:rPr>
                <w:rFonts w:ascii="Garamond" w:hAnsi="Garamond"/>
                <w:sz w:val="22"/>
                <w:szCs w:val="22"/>
              </w:rPr>
              <w:t>Health technology assessment bodies (e.g., NICE)</w:t>
            </w:r>
          </w:p>
          <w:p w14:paraId="627283EA" w14:textId="77777777" w:rsidR="00934F06" w:rsidRPr="00B118AE" w:rsidRDefault="00934F06" w:rsidP="00934F06">
            <w:pPr>
              <w:pStyle w:val="ListParagraph"/>
              <w:numPr>
                <w:ilvl w:val="0"/>
                <w:numId w:val="21"/>
              </w:numPr>
              <w:rPr>
                <w:rFonts w:ascii="Garamond" w:hAnsi="Garamond"/>
                <w:sz w:val="22"/>
                <w:szCs w:val="22"/>
              </w:rPr>
            </w:pPr>
            <w:r>
              <w:rPr>
                <w:rFonts w:ascii="Garamond" w:hAnsi="Garamond"/>
                <w:sz w:val="22"/>
                <w:szCs w:val="22"/>
              </w:rPr>
              <w:t>Research community (trialists and meta-analysts)</w:t>
            </w:r>
          </w:p>
        </w:tc>
      </w:tr>
      <w:tr w:rsidR="00934F06" w:rsidRPr="00206DA8" w14:paraId="33804A47" w14:textId="77777777" w:rsidTr="007A1DB5">
        <w:trPr>
          <w:trHeight w:val="1695"/>
        </w:trPr>
        <w:tc>
          <w:tcPr>
            <w:tcW w:w="1754" w:type="dxa"/>
          </w:tcPr>
          <w:p w14:paraId="2F4F8CB5" w14:textId="77777777" w:rsidR="00934F06" w:rsidRPr="008425DD" w:rsidRDefault="00934F06" w:rsidP="00934F06">
            <w:pPr>
              <w:pStyle w:val="ListParagraph"/>
              <w:numPr>
                <w:ilvl w:val="0"/>
                <w:numId w:val="19"/>
              </w:numPr>
              <w:rPr>
                <w:rFonts w:ascii="Garamond" w:hAnsi="Garamond"/>
                <w:sz w:val="22"/>
                <w:szCs w:val="22"/>
              </w:rPr>
            </w:pPr>
            <w:r w:rsidRPr="008425DD">
              <w:rPr>
                <w:rFonts w:ascii="Garamond" w:hAnsi="Garamond"/>
                <w:sz w:val="22"/>
                <w:szCs w:val="22"/>
              </w:rPr>
              <w:t>Sharing data</w:t>
            </w:r>
          </w:p>
        </w:tc>
        <w:tc>
          <w:tcPr>
            <w:tcW w:w="2636" w:type="dxa"/>
          </w:tcPr>
          <w:p w14:paraId="19D5CC74" w14:textId="77777777" w:rsidR="00934F06" w:rsidRPr="008425DD" w:rsidRDefault="00934F06" w:rsidP="007A1DB5">
            <w:pPr>
              <w:rPr>
                <w:rFonts w:ascii="Garamond" w:hAnsi="Garamond"/>
                <w:sz w:val="22"/>
                <w:szCs w:val="22"/>
              </w:rPr>
            </w:pPr>
            <w:r w:rsidRPr="008425DD">
              <w:rPr>
                <w:rFonts w:ascii="Garamond" w:hAnsi="Garamond"/>
                <w:sz w:val="22"/>
                <w:szCs w:val="22"/>
              </w:rPr>
              <w:t xml:space="preserve">Share individual participant data in a timely manner </w:t>
            </w:r>
          </w:p>
        </w:tc>
        <w:tc>
          <w:tcPr>
            <w:tcW w:w="5606" w:type="dxa"/>
          </w:tcPr>
          <w:p w14:paraId="3A1149AB"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Monitor and publicly report data sharing practices of all trial sponsors</w:t>
            </w:r>
          </w:p>
          <w:p w14:paraId="4444028F"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 xml:space="preserve">Incentivise (or mandate, where possible) data sharing </w:t>
            </w:r>
          </w:p>
          <w:p w14:paraId="0022EED6" w14:textId="77777777" w:rsidR="00934F06" w:rsidRPr="00B118AE" w:rsidRDefault="00934F06" w:rsidP="00934F06">
            <w:pPr>
              <w:pStyle w:val="ListParagraph"/>
              <w:numPr>
                <w:ilvl w:val="0"/>
                <w:numId w:val="22"/>
              </w:numPr>
              <w:rPr>
                <w:rFonts w:ascii="Garamond" w:hAnsi="Garamond"/>
                <w:sz w:val="22"/>
                <w:szCs w:val="22"/>
              </w:rPr>
            </w:pPr>
            <w:r>
              <w:rPr>
                <w:rFonts w:ascii="Garamond" w:hAnsi="Garamond"/>
                <w:sz w:val="22"/>
                <w:szCs w:val="22"/>
              </w:rPr>
              <w:t>Prioritise sharing trial data with researchers planning to conduct comparative effectiveness assessments</w:t>
            </w:r>
          </w:p>
        </w:tc>
        <w:tc>
          <w:tcPr>
            <w:tcW w:w="4341" w:type="dxa"/>
          </w:tcPr>
          <w:p w14:paraId="573134C6"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WHO</w:t>
            </w:r>
          </w:p>
          <w:p w14:paraId="15C27024"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Research funders (including industry sponsors)</w:t>
            </w:r>
          </w:p>
          <w:p w14:paraId="5F54DFA1"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Ethics committees</w:t>
            </w:r>
          </w:p>
          <w:p w14:paraId="5614196D"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Regulatory agencies</w:t>
            </w:r>
          </w:p>
          <w:p w14:paraId="5C2040B0" w14:textId="77777777" w:rsidR="00934F06" w:rsidRDefault="00934F06" w:rsidP="00934F06">
            <w:pPr>
              <w:pStyle w:val="ListParagraph"/>
              <w:numPr>
                <w:ilvl w:val="0"/>
                <w:numId w:val="22"/>
              </w:numPr>
              <w:rPr>
                <w:rFonts w:ascii="Garamond" w:hAnsi="Garamond"/>
                <w:sz w:val="22"/>
                <w:szCs w:val="22"/>
              </w:rPr>
            </w:pPr>
            <w:r>
              <w:rPr>
                <w:rFonts w:ascii="Garamond" w:hAnsi="Garamond"/>
                <w:sz w:val="22"/>
                <w:szCs w:val="22"/>
              </w:rPr>
              <w:t>Academic institutions</w:t>
            </w:r>
          </w:p>
          <w:p w14:paraId="5C5E94D3" w14:textId="77777777" w:rsidR="00934F06" w:rsidRPr="00B118AE" w:rsidRDefault="00934F06" w:rsidP="00934F06">
            <w:pPr>
              <w:pStyle w:val="ListParagraph"/>
              <w:numPr>
                <w:ilvl w:val="0"/>
                <w:numId w:val="22"/>
              </w:numPr>
              <w:rPr>
                <w:rFonts w:ascii="Garamond" w:hAnsi="Garamond"/>
                <w:sz w:val="22"/>
                <w:szCs w:val="22"/>
              </w:rPr>
            </w:pPr>
            <w:r>
              <w:rPr>
                <w:rFonts w:ascii="Garamond" w:hAnsi="Garamond"/>
                <w:sz w:val="22"/>
                <w:szCs w:val="22"/>
              </w:rPr>
              <w:t>Research community (trialists and meta-analysts)</w:t>
            </w:r>
          </w:p>
        </w:tc>
      </w:tr>
      <w:tr w:rsidR="00934F06" w:rsidRPr="00206DA8" w14:paraId="66AB56F1" w14:textId="77777777" w:rsidTr="007A1DB5">
        <w:trPr>
          <w:trHeight w:val="738"/>
        </w:trPr>
        <w:tc>
          <w:tcPr>
            <w:tcW w:w="1754" w:type="dxa"/>
          </w:tcPr>
          <w:p w14:paraId="5BAE67A6" w14:textId="77777777" w:rsidR="00934F06" w:rsidRPr="008425DD" w:rsidRDefault="00934F06" w:rsidP="00934F06">
            <w:pPr>
              <w:pStyle w:val="ListParagraph"/>
              <w:numPr>
                <w:ilvl w:val="0"/>
                <w:numId w:val="19"/>
              </w:numPr>
              <w:rPr>
                <w:rFonts w:ascii="Garamond" w:hAnsi="Garamond"/>
                <w:sz w:val="22"/>
                <w:szCs w:val="22"/>
              </w:rPr>
            </w:pPr>
            <w:r w:rsidRPr="008425DD">
              <w:rPr>
                <w:rFonts w:ascii="Garamond" w:hAnsi="Garamond"/>
                <w:sz w:val="22"/>
                <w:szCs w:val="22"/>
              </w:rPr>
              <w:t xml:space="preserve">Assessing comparative effectiveness </w:t>
            </w:r>
          </w:p>
        </w:tc>
        <w:tc>
          <w:tcPr>
            <w:tcW w:w="2636" w:type="dxa"/>
          </w:tcPr>
          <w:p w14:paraId="4CCB2DAF" w14:textId="77777777" w:rsidR="00934F06" w:rsidRPr="008425DD" w:rsidRDefault="00934F06" w:rsidP="007A1DB5">
            <w:pPr>
              <w:rPr>
                <w:rFonts w:ascii="Garamond" w:hAnsi="Garamond"/>
                <w:sz w:val="22"/>
                <w:szCs w:val="22"/>
              </w:rPr>
            </w:pPr>
            <w:r w:rsidRPr="008425DD">
              <w:rPr>
                <w:rFonts w:ascii="Garamond" w:hAnsi="Garamond"/>
                <w:sz w:val="22"/>
                <w:szCs w:val="22"/>
              </w:rPr>
              <w:t>Pre-plan and conduct individual participant data network meta-analyses shortly after trial completion</w:t>
            </w:r>
          </w:p>
        </w:tc>
        <w:tc>
          <w:tcPr>
            <w:tcW w:w="5606" w:type="dxa"/>
          </w:tcPr>
          <w:p w14:paraId="29A47F5F"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 xml:space="preserve">Minimise (or eliminate, if possible) duplication across multiple groups planning comparative effectiveness assessments </w:t>
            </w:r>
          </w:p>
          <w:p w14:paraId="26B72F76"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Develop a consortium of researchers, regulatory agencies, health technology assessment bodies, and payers, convened by WHO</w:t>
            </w:r>
          </w:p>
          <w:p w14:paraId="5CA49470" w14:textId="77777777" w:rsidR="00934F06" w:rsidRPr="00B118AE" w:rsidRDefault="00934F06" w:rsidP="00934F06">
            <w:pPr>
              <w:pStyle w:val="ListParagraph"/>
              <w:numPr>
                <w:ilvl w:val="0"/>
                <w:numId w:val="23"/>
              </w:numPr>
              <w:rPr>
                <w:rFonts w:ascii="Garamond" w:hAnsi="Garamond"/>
                <w:sz w:val="22"/>
                <w:szCs w:val="22"/>
              </w:rPr>
            </w:pPr>
            <w:r>
              <w:rPr>
                <w:rFonts w:ascii="Garamond" w:hAnsi="Garamond"/>
                <w:sz w:val="22"/>
                <w:szCs w:val="22"/>
              </w:rPr>
              <w:lastRenderedPageBreak/>
              <w:t>Prospectively design network meta-analyses in collaboration with trialists to ensure timely availability of results shortly after trial completion</w:t>
            </w:r>
          </w:p>
        </w:tc>
        <w:tc>
          <w:tcPr>
            <w:tcW w:w="4341" w:type="dxa"/>
          </w:tcPr>
          <w:p w14:paraId="30DF6CF9"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lastRenderedPageBreak/>
              <w:t>WHO</w:t>
            </w:r>
          </w:p>
          <w:p w14:paraId="06644F99"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Research funders (including industry sponsors)</w:t>
            </w:r>
          </w:p>
          <w:p w14:paraId="514E4A77"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Ethics committees</w:t>
            </w:r>
          </w:p>
          <w:p w14:paraId="438BA5AD"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Regulatory agencies</w:t>
            </w:r>
          </w:p>
          <w:p w14:paraId="5F5FADA5"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Academic institutions</w:t>
            </w:r>
          </w:p>
          <w:p w14:paraId="74957DF0" w14:textId="77777777" w:rsidR="00934F06" w:rsidRDefault="00934F06" w:rsidP="00934F06">
            <w:pPr>
              <w:pStyle w:val="ListParagraph"/>
              <w:numPr>
                <w:ilvl w:val="0"/>
                <w:numId w:val="23"/>
              </w:numPr>
              <w:rPr>
                <w:rFonts w:ascii="Garamond" w:hAnsi="Garamond"/>
                <w:sz w:val="22"/>
                <w:szCs w:val="22"/>
              </w:rPr>
            </w:pPr>
            <w:r>
              <w:rPr>
                <w:rFonts w:ascii="Garamond" w:hAnsi="Garamond"/>
                <w:sz w:val="22"/>
                <w:szCs w:val="22"/>
              </w:rPr>
              <w:t>Non-profit organisations (e.g., Cochrane)</w:t>
            </w:r>
          </w:p>
          <w:p w14:paraId="260D48B7" w14:textId="77777777" w:rsidR="00934F06" w:rsidRPr="00B118AE" w:rsidRDefault="00934F06" w:rsidP="00934F06">
            <w:pPr>
              <w:pStyle w:val="ListParagraph"/>
              <w:numPr>
                <w:ilvl w:val="0"/>
                <w:numId w:val="23"/>
              </w:numPr>
              <w:rPr>
                <w:rFonts w:ascii="Garamond" w:hAnsi="Garamond"/>
                <w:sz w:val="22"/>
                <w:szCs w:val="22"/>
              </w:rPr>
            </w:pPr>
            <w:r>
              <w:rPr>
                <w:rFonts w:ascii="Garamond" w:hAnsi="Garamond"/>
                <w:sz w:val="22"/>
                <w:szCs w:val="22"/>
              </w:rPr>
              <w:lastRenderedPageBreak/>
              <w:t>Research community (trialists and meta-analysts)</w:t>
            </w:r>
          </w:p>
        </w:tc>
      </w:tr>
      <w:tr w:rsidR="00934F06" w:rsidRPr="00206DA8" w14:paraId="180B752A" w14:textId="77777777" w:rsidTr="007A1DB5">
        <w:trPr>
          <w:trHeight w:val="911"/>
        </w:trPr>
        <w:tc>
          <w:tcPr>
            <w:tcW w:w="1754" w:type="dxa"/>
          </w:tcPr>
          <w:p w14:paraId="563339CF" w14:textId="77777777" w:rsidR="00934F06" w:rsidRPr="008425DD" w:rsidRDefault="00934F06" w:rsidP="00934F06">
            <w:pPr>
              <w:pStyle w:val="ListParagraph"/>
              <w:numPr>
                <w:ilvl w:val="0"/>
                <w:numId w:val="19"/>
              </w:numPr>
              <w:rPr>
                <w:rFonts w:ascii="Garamond" w:hAnsi="Garamond"/>
                <w:sz w:val="22"/>
                <w:szCs w:val="22"/>
              </w:rPr>
            </w:pPr>
            <w:r w:rsidRPr="008425DD">
              <w:rPr>
                <w:rFonts w:ascii="Garamond" w:hAnsi="Garamond"/>
                <w:sz w:val="22"/>
                <w:szCs w:val="22"/>
              </w:rPr>
              <w:lastRenderedPageBreak/>
              <w:t>Transforming data into guidance to inform policy and practice</w:t>
            </w:r>
          </w:p>
        </w:tc>
        <w:tc>
          <w:tcPr>
            <w:tcW w:w="2636" w:type="dxa"/>
          </w:tcPr>
          <w:p w14:paraId="063DA760" w14:textId="77777777" w:rsidR="00934F06" w:rsidRPr="008425DD" w:rsidRDefault="00934F06" w:rsidP="007A1DB5">
            <w:pPr>
              <w:rPr>
                <w:rFonts w:ascii="Garamond" w:hAnsi="Garamond"/>
                <w:sz w:val="22"/>
                <w:szCs w:val="22"/>
              </w:rPr>
            </w:pPr>
            <w:r w:rsidRPr="008425DD">
              <w:rPr>
                <w:rFonts w:ascii="Garamond" w:hAnsi="Garamond"/>
                <w:sz w:val="22"/>
                <w:szCs w:val="22"/>
              </w:rPr>
              <w:t>Use comparative evidence to generate rapid, living and trustworthy guidance</w:t>
            </w:r>
          </w:p>
        </w:tc>
        <w:tc>
          <w:tcPr>
            <w:tcW w:w="5606" w:type="dxa"/>
          </w:tcPr>
          <w:p w14:paraId="064AB3F1" w14:textId="77777777" w:rsidR="00934F06" w:rsidRPr="00B118AE" w:rsidRDefault="00934F06" w:rsidP="00934F06">
            <w:pPr>
              <w:pStyle w:val="ListParagraph"/>
              <w:numPr>
                <w:ilvl w:val="0"/>
                <w:numId w:val="24"/>
              </w:numPr>
              <w:rPr>
                <w:rFonts w:ascii="Garamond" w:hAnsi="Garamond"/>
                <w:sz w:val="22"/>
                <w:szCs w:val="22"/>
              </w:rPr>
            </w:pPr>
            <w:r>
              <w:rPr>
                <w:rFonts w:ascii="Garamond" w:hAnsi="Garamond"/>
                <w:sz w:val="22"/>
                <w:szCs w:val="22"/>
              </w:rPr>
              <w:t>Use interoperable platforms to digitally structure comparative data for rapid dissemination of recommendations and development of interactive evidence summaries</w:t>
            </w:r>
          </w:p>
        </w:tc>
        <w:tc>
          <w:tcPr>
            <w:tcW w:w="4341" w:type="dxa"/>
          </w:tcPr>
          <w:p w14:paraId="7AE5E283" w14:textId="77777777" w:rsidR="00934F06" w:rsidRDefault="00934F06" w:rsidP="00934F06">
            <w:pPr>
              <w:pStyle w:val="ListParagraph"/>
              <w:numPr>
                <w:ilvl w:val="0"/>
                <w:numId w:val="24"/>
              </w:numPr>
              <w:rPr>
                <w:rFonts w:ascii="Garamond" w:hAnsi="Garamond"/>
                <w:sz w:val="22"/>
                <w:szCs w:val="22"/>
              </w:rPr>
            </w:pPr>
            <w:r>
              <w:rPr>
                <w:rFonts w:ascii="Garamond" w:hAnsi="Garamond"/>
                <w:sz w:val="22"/>
                <w:szCs w:val="22"/>
              </w:rPr>
              <w:t>WHO</w:t>
            </w:r>
          </w:p>
          <w:p w14:paraId="602FC41C" w14:textId="77777777" w:rsidR="00934F06" w:rsidRDefault="00934F06" w:rsidP="00934F06">
            <w:pPr>
              <w:pStyle w:val="ListParagraph"/>
              <w:numPr>
                <w:ilvl w:val="0"/>
                <w:numId w:val="24"/>
              </w:numPr>
              <w:rPr>
                <w:rFonts w:ascii="Garamond" w:hAnsi="Garamond"/>
                <w:sz w:val="22"/>
                <w:szCs w:val="22"/>
              </w:rPr>
            </w:pPr>
            <w:r>
              <w:rPr>
                <w:rFonts w:ascii="Garamond" w:hAnsi="Garamond"/>
                <w:sz w:val="22"/>
                <w:szCs w:val="22"/>
              </w:rPr>
              <w:t xml:space="preserve">Interoperable evidence platforms (e.g., </w:t>
            </w:r>
            <w:proofErr w:type="spellStart"/>
            <w:r>
              <w:rPr>
                <w:rFonts w:ascii="Garamond" w:hAnsi="Garamond"/>
                <w:sz w:val="22"/>
                <w:szCs w:val="22"/>
              </w:rPr>
              <w:t>MAGICapp</w:t>
            </w:r>
            <w:proofErr w:type="spellEnd"/>
            <w:r>
              <w:rPr>
                <w:rFonts w:ascii="Garamond" w:hAnsi="Garamond"/>
                <w:sz w:val="22"/>
                <w:szCs w:val="22"/>
              </w:rPr>
              <w:t>)</w:t>
            </w:r>
          </w:p>
          <w:p w14:paraId="23833E37" w14:textId="77777777" w:rsidR="00934F06" w:rsidRDefault="00934F06" w:rsidP="00934F06">
            <w:pPr>
              <w:pStyle w:val="ListParagraph"/>
              <w:numPr>
                <w:ilvl w:val="0"/>
                <w:numId w:val="24"/>
              </w:numPr>
              <w:rPr>
                <w:rFonts w:ascii="Garamond" w:hAnsi="Garamond"/>
                <w:sz w:val="22"/>
                <w:szCs w:val="22"/>
              </w:rPr>
            </w:pPr>
            <w:r>
              <w:rPr>
                <w:rFonts w:ascii="Garamond" w:hAnsi="Garamond"/>
                <w:sz w:val="22"/>
                <w:szCs w:val="22"/>
              </w:rPr>
              <w:t>Guideline developers</w:t>
            </w:r>
          </w:p>
          <w:p w14:paraId="7CF687DD" w14:textId="77777777" w:rsidR="00934F06" w:rsidRDefault="00934F06" w:rsidP="00934F06">
            <w:pPr>
              <w:pStyle w:val="ListParagraph"/>
              <w:numPr>
                <w:ilvl w:val="0"/>
                <w:numId w:val="24"/>
              </w:numPr>
              <w:rPr>
                <w:rFonts w:ascii="Garamond" w:hAnsi="Garamond"/>
                <w:sz w:val="22"/>
                <w:szCs w:val="22"/>
              </w:rPr>
            </w:pPr>
            <w:r>
              <w:rPr>
                <w:rFonts w:ascii="Garamond" w:hAnsi="Garamond"/>
                <w:sz w:val="22"/>
                <w:szCs w:val="22"/>
              </w:rPr>
              <w:t>Health technology assessment bodies</w:t>
            </w:r>
          </w:p>
          <w:p w14:paraId="18C718DB" w14:textId="77777777" w:rsidR="00934F06" w:rsidRDefault="00934F06" w:rsidP="00934F06">
            <w:pPr>
              <w:pStyle w:val="ListParagraph"/>
              <w:numPr>
                <w:ilvl w:val="0"/>
                <w:numId w:val="24"/>
              </w:numPr>
              <w:rPr>
                <w:rFonts w:ascii="Garamond" w:hAnsi="Garamond"/>
                <w:sz w:val="22"/>
                <w:szCs w:val="22"/>
              </w:rPr>
            </w:pPr>
            <w:r>
              <w:rPr>
                <w:rFonts w:ascii="Garamond" w:hAnsi="Garamond"/>
                <w:sz w:val="22"/>
                <w:szCs w:val="22"/>
              </w:rPr>
              <w:t>Non-profit organisations (e.g., Cochrane)</w:t>
            </w:r>
          </w:p>
          <w:p w14:paraId="29114EDE" w14:textId="77777777" w:rsidR="00934F06" w:rsidRPr="00B118AE" w:rsidRDefault="00934F06" w:rsidP="00934F06">
            <w:pPr>
              <w:pStyle w:val="ListParagraph"/>
              <w:numPr>
                <w:ilvl w:val="0"/>
                <w:numId w:val="24"/>
              </w:numPr>
              <w:rPr>
                <w:rFonts w:ascii="Garamond" w:hAnsi="Garamond"/>
                <w:sz w:val="22"/>
                <w:szCs w:val="22"/>
              </w:rPr>
            </w:pPr>
            <w:r>
              <w:rPr>
                <w:rFonts w:ascii="Garamond" w:hAnsi="Garamond"/>
                <w:sz w:val="22"/>
                <w:szCs w:val="22"/>
              </w:rPr>
              <w:t xml:space="preserve">Scientific journals and publishers (e.g., </w:t>
            </w:r>
            <w:r w:rsidRPr="00B118AE">
              <w:rPr>
                <w:rFonts w:ascii="Garamond" w:hAnsi="Garamond"/>
                <w:i/>
                <w:iCs/>
                <w:sz w:val="22"/>
                <w:szCs w:val="22"/>
              </w:rPr>
              <w:t>The BMJ</w:t>
            </w:r>
            <w:r>
              <w:rPr>
                <w:rFonts w:ascii="Garamond" w:hAnsi="Garamond"/>
                <w:sz w:val="22"/>
                <w:szCs w:val="22"/>
              </w:rPr>
              <w:t>)</w:t>
            </w:r>
          </w:p>
        </w:tc>
      </w:tr>
    </w:tbl>
    <w:p w14:paraId="2860801F" w14:textId="77777777" w:rsidR="00190B45" w:rsidRDefault="00190B45" w:rsidP="00480ED9">
      <w:pPr>
        <w:rPr>
          <w:rFonts w:ascii="Garamond" w:hAnsi="Garamond"/>
        </w:rPr>
      </w:pPr>
    </w:p>
    <w:p w14:paraId="6DD85794" w14:textId="77777777" w:rsidR="00AA3099" w:rsidRDefault="00AA3099" w:rsidP="00AA3099">
      <w:pPr>
        <w:rPr>
          <w:rFonts w:ascii="Garamond" w:hAnsi="Garamond"/>
        </w:rPr>
      </w:pPr>
    </w:p>
    <w:p w14:paraId="1FA4C479" w14:textId="02E11B1A" w:rsidR="00AA3099" w:rsidRDefault="00AA3099" w:rsidP="00AA3099">
      <w:pPr>
        <w:rPr>
          <w:rFonts w:ascii="Garamond" w:hAnsi="Garamond"/>
        </w:rPr>
      </w:pPr>
    </w:p>
    <w:p w14:paraId="0F122B9A" w14:textId="77777777" w:rsidR="00AA3099" w:rsidRDefault="00AA3099" w:rsidP="00AA3099">
      <w:pPr>
        <w:rPr>
          <w:rFonts w:ascii="Garamond" w:hAnsi="Garamond"/>
        </w:rPr>
      </w:pPr>
    </w:p>
    <w:p w14:paraId="51186C7D" w14:textId="77777777" w:rsidR="00934F06" w:rsidRDefault="00934F06" w:rsidP="00AA3099">
      <w:pPr>
        <w:rPr>
          <w:rFonts w:ascii="Garamond" w:hAnsi="Garamond"/>
        </w:rPr>
        <w:sectPr w:rsidR="00934F06" w:rsidSect="00934F06">
          <w:pgSz w:w="16840" w:h="11900" w:orient="landscape"/>
          <w:pgMar w:top="1440" w:right="1440" w:bottom="1440" w:left="1440" w:header="720" w:footer="720" w:gutter="0"/>
          <w:cols w:space="720"/>
          <w:docGrid w:linePitch="360"/>
        </w:sectPr>
      </w:pPr>
    </w:p>
    <w:p w14:paraId="3324D4F0" w14:textId="2E2E15B6" w:rsidR="00AA3099" w:rsidRDefault="00AA3099" w:rsidP="00AA3099">
      <w:pPr>
        <w:rPr>
          <w:rFonts w:ascii="Garamond" w:hAnsi="Garamond"/>
        </w:rPr>
      </w:pPr>
      <w:r w:rsidRPr="00F641D7">
        <w:rPr>
          <w:rFonts w:ascii="Garamond" w:hAnsi="Garamond"/>
          <w:b/>
          <w:bCs/>
        </w:rPr>
        <w:lastRenderedPageBreak/>
        <w:t>Table</w:t>
      </w:r>
      <w:r w:rsidR="00EB31E4">
        <w:rPr>
          <w:rFonts w:ascii="Garamond" w:hAnsi="Garamond"/>
          <w:b/>
          <w:bCs/>
        </w:rPr>
        <w:t xml:space="preserve"> 2</w:t>
      </w:r>
      <w:r>
        <w:rPr>
          <w:rFonts w:ascii="Garamond" w:hAnsi="Garamond"/>
        </w:rPr>
        <w:t>. Therapeutics included in selected large trials.</w:t>
      </w:r>
    </w:p>
    <w:tbl>
      <w:tblPr>
        <w:tblW w:w="9000" w:type="dxa"/>
        <w:tblCellMar>
          <w:left w:w="0" w:type="dxa"/>
          <w:right w:w="0" w:type="dxa"/>
        </w:tblCellMar>
        <w:tblLook w:val="0420" w:firstRow="1" w:lastRow="0" w:firstColumn="0" w:lastColumn="0" w:noHBand="0" w:noVBand="1"/>
      </w:tblPr>
      <w:tblGrid>
        <w:gridCol w:w="1594"/>
        <w:gridCol w:w="2224"/>
        <w:gridCol w:w="3685"/>
        <w:gridCol w:w="1497"/>
      </w:tblGrid>
      <w:tr w:rsidR="0061753B" w:rsidRPr="006548A0" w14:paraId="2109F4F6" w14:textId="45545DB4" w:rsidTr="0061753B">
        <w:trPr>
          <w:trHeight w:val="19"/>
        </w:trPr>
        <w:tc>
          <w:tcPr>
            <w:tcW w:w="159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709BA81" w14:textId="77777777" w:rsidR="00E244C8" w:rsidRPr="00F641D7" w:rsidRDefault="00E244C8" w:rsidP="00307895">
            <w:pPr>
              <w:rPr>
                <w:rFonts w:ascii="Garamond" w:hAnsi="Garamond"/>
                <w:sz w:val="21"/>
                <w:szCs w:val="21"/>
              </w:rPr>
            </w:pPr>
            <w:r w:rsidRPr="00F641D7">
              <w:rPr>
                <w:rFonts w:ascii="Garamond" w:hAnsi="Garamond"/>
                <w:b/>
                <w:bCs/>
                <w:sz w:val="21"/>
                <w:szCs w:val="21"/>
                <w:lang w:val="en-US"/>
              </w:rPr>
              <w:t>Trial name</w:t>
            </w:r>
          </w:p>
        </w:tc>
        <w:tc>
          <w:tcPr>
            <w:tcW w:w="222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B44ACFF" w14:textId="77777777" w:rsidR="00E244C8" w:rsidRPr="00F641D7" w:rsidRDefault="00E244C8" w:rsidP="00307895">
            <w:pPr>
              <w:rPr>
                <w:rFonts w:ascii="Garamond" w:hAnsi="Garamond"/>
                <w:sz w:val="21"/>
                <w:szCs w:val="21"/>
              </w:rPr>
            </w:pPr>
            <w:r w:rsidRPr="00F641D7">
              <w:rPr>
                <w:rFonts w:ascii="Garamond" w:hAnsi="Garamond"/>
                <w:b/>
                <w:bCs/>
                <w:sz w:val="21"/>
                <w:szCs w:val="21"/>
                <w:lang w:val="en-US"/>
              </w:rPr>
              <w:t>Primary sponsors</w:t>
            </w:r>
          </w:p>
        </w:tc>
        <w:tc>
          <w:tcPr>
            <w:tcW w:w="36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4AD8D13" w14:textId="28A94A4A" w:rsidR="00E244C8" w:rsidRPr="00F641D7" w:rsidRDefault="00E244C8" w:rsidP="00307895">
            <w:pPr>
              <w:rPr>
                <w:rFonts w:ascii="Garamond" w:hAnsi="Garamond"/>
                <w:sz w:val="21"/>
                <w:szCs w:val="21"/>
              </w:rPr>
            </w:pPr>
            <w:r w:rsidRPr="00F641D7">
              <w:rPr>
                <w:rFonts w:ascii="Garamond" w:hAnsi="Garamond"/>
                <w:b/>
                <w:bCs/>
                <w:sz w:val="21"/>
                <w:szCs w:val="21"/>
                <w:lang w:val="en-US"/>
              </w:rPr>
              <w:t>Comparators</w:t>
            </w:r>
            <w:r w:rsidR="0061753B">
              <w:rPr>
                <w:rFonts w:ascii="Garamond" w:hAnsi="Garamond"/>
                <w:b/>
                <w:bCs/>
                <w:sz w:val="21"/>
                <w:szCs w:val="21"/>
                <w:lang w:val="en-US"/>
              </w:rPr>
              <w:t xml:space="preserve"> </w:t>
            </w:r>
            <w:r w:rsidR="0061753B" w:rsidRPr="004F5E95">
              <w:rPr>
                <w:rFonts w:ascii="Garamond" w:hAnsi="Garamond"/>
                <w:sz w:val="21"/>
                <w:szCs w:val="21"/>
                <w:lang w:val="en-US"/>
              </w:rPr>
              <w:t>(as of 20 July 2020)</w:t>
            </w:r>
          </w:p>
        </w:tc>
        <w:tc>
          <w:tcPr>
            <w:tcW w:w="1497" w:type="dxa"/>
            <w:tcBorders>
              <w:top w:val="single" w:sz="8" w:space="0" w:color="A5A5A5"/>
              <w:left w:val="single" w:sz="8" w:space="0" w:color="A5A5A5"/>
              <w:bottom w:val="single" w:sz="8" w:space="0" w:color="A5A5A5"/>
              <w:right w:val="single" w:sz="8" w:space="0" w:color="A5A5A5"/>
            </w:tcBorders>
            <w:shd w:val="clear" w:color="auto" w:fill="F0F0F0"/>
          </w:tcPr>
          <w:p w14:paraId="509BA2AC" w14:textId="38E64086" w:rsidR="00E244C8" w:rsidRPr="0061753B" w:rsidRDefault="00E244C8" w:rsidP="00307895">
            <w:pPr>
              <w:rPr>
                <w:rFonts w:ascii="Garamond" w:hAnsi="Garamond"/>
                <w:b/>
                <w:bCs/>
                <w:sz w:val="21"/>
                <w:szCs w:val="21"/>
                <w:lang w:val="en-US"/>
              </w:rPr>
            </w:pPr>
            <w:r w:rsidRPr="0061753B">
              <w:rPr>
                <w:rFonts w:ascii="Garamond" w:hAnsi="Garamond"/>
                <w:b/>
                <w:bCs/>
                <w:sz w:val="21"/>
                <w:szCs w:val="21"/>
                <w:lang w:val="en-US"/>
              </w:rPr>
              <w:t xml:space="preserve"> Target sample size</w:t>
            </w:r>
          </w:p>
        </w:tc>
      </w:tr>
      <w:tr w:rsidR="0061753B" w:rsidRPr="006548A0" w14:paraId="7EF0E164" w14:textId="7DBC89FB" w:rsidTr="0061753B">
        <w:trPr>
          <w:trHeight w:val="229"/>
        </w:trPr>
        <w:tc>
          <w:tcPr>
            <w:tcW w:w="159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60739CB" w14:textId="77777777" w:rsidR="00E244C8" w:rsidRPr="00F641D7" w:rsidRDefault="00E244C8" w:rsidP="00307895">
            <w:pPr>
              <w:rPr>
                <w:rFonts w:ascii="Garamond" w:hAnsi="Garamond"/>
                <w:sz w:val="21"/>
                <w:szCs w:val="21"/>
              </w:rPr>
            </w:pPr>
            <w:r w:rsidRPr="00F641D7">
              <w:rPr>
                <w:rFonts w:ascii="Garamond" w:hAnsi="Garamond"/>
                <w:sz w:val="21"/>
                <w:szCs w:val="21"/>
                <w:lang w:val="en-US"/>
              </w:rPr>
              <w:t>GS-US-540-5774</w:t>
            </w:r>
          </w:p>
        </w:tc>
        <w:tc>
          <w:tcPr>
            <w:tcW w:w="222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2E40CB9B" w14:textId="77777777" w:rsidR="00E244C8" w:rsidRPr="00F641D7" w:rsidRDefault="00E244C8" w:rsidP="00307895">
            <w:pPr>
              <w:rPr>
                <w:rFonts w:ascii="Garamond" w:hAnsi="Garamond"/>
                <w:sz w:val="21"/>
                <w:szCs w:val="21"/>
              </w:rPr>
            </w:pPr>
            <w:r w:rsidRPr="00F641D7">
              <w:rPr>
                <w:rFonts w:ascii="Garamond" w:hAnsi="Garamond"/>
                <w:sz w:val="21"/>
                <w:szCs w:val="21"/>
                <w:lang w:val="en-US"/>
              </w:rPr>
              <w:t>Gilead</w:t>
            </w:r>
          </w:p>
        </w:tc>
        <w:tc>
          <w:tcPr>
            <w:tcW w:w="36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06CFCF41" w14:textId="77777777" w:rsidR="00E244C8" w:rsidRPr="00F641D7" w:rsidRDefault="00E244C8" w:rsidP="00307895">
            <w:pPr>
              <w:numPr>
                <w:ilvl w:val="0"/>
                <w:numId w:val="9"/>
              </w:numPr>
              <w:rPr>
                <w:rFonts w:ascii="Garamond" w:hAnsi="Garamond"/>
                <w:sz w:val="21"/>
                <w:szCs w:val="21"/>
              </w:rPr>
            </w:pPr>
            <w:r w:rsidRPr="00F641D7">
              <w:rPr>
                <w:rFonts w:ascii="Garamond" w:hAnsi="Garamond"/>
                <w:sz w:val="21"/>
                <w:szCs w:val="21"/>
                <w:lang w:val="en-US"/>
              </w:rPr>
              <w:t>remdesivir</w:t>
            </w:r>
          </w:p>
          <w:p w14:paraId="6D4EB133" w14:textId="77777777" w:rsidR="00E244C8" w:rsidRPr="00F641D7" w:rsidRDefault="00E244C8" w:rsidP="00307895">
            <w:pPr>
              <w:numPr>
                <w:ilvl w:val="0"/>
                <w:numId w:val="9"/>
              </w:numPr>
              <w:rPr>
                <w:rFonts w:ascii="Garamond" w:hAnsi="Garamond"/>
                <w:sz w:val="21"/>
                <w:szCs w:val="21"/>
              </w:rPr>
            </w:pPr>
            <w:r w:rsidRPr="00F641D7">
              <w:rPr>
                <w:rFonts w:ascii="Garamond" w:hAnsi="Garamond"/>
                <w:sz w:val="21"/>
                <w:szCs w:val="21"/>
                <w:lang w:val="en-US"/>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E1E1E1"/>
          </w:tcPr>
          <w:p w14:paraId="450658CC" w14:textId="4E1B418E" w:rsidR="00E244C8" w:rsidRPr="0061753B" w:rsidRDefault="00EB31E4" w:rsidP="004F5E95">
            <w:pPr>
              <w:ind w:left="360"/>
              <w:rPr>
                <w:rFonts w:ascii="Garamond" w:hAnsi="Garamond"/>
                <w:sz w:val="21"/>
                <w:szCs w:val="21"/>
                <w:lang w:val="en-US"/>
              </w:rPr>
            </w:pPr>
            <w:r w:rsidRPr="004F5E95">
              <w:rPr>
                <w:rFonts w:ascii="Garamond" w:hAnsi="Garamond"/>
                <w:sz w:val="21"/>
                <w:szCs w:val="21"/>
                <w:lang w:val="en-US"/>
              </w:rPr>
              <w:t>1,600</w:t>
            </w:r>
          </w:p>
        </w:tc>
      </w:tr>
      <w:tr w:rsidR="0061753B" w:rsidRPr="006548A0" w14:paraId="6D2C8ADA" w14:textId="1F895245" w:rsidTr="0061753B">
        <w:trPr>
          <w:trHeight w:val="324"/>
        </w:trPr>
        <w:tc>
          <w:tcPr>
            <w:tcW w:w="159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A03C0DF" w14:textId="77777777" w:rsidR="00E244C8" w:rsidRPr="00F641D7" w:rsidRDefault="00E244C8" w:rsidP="00307895">
            <w:pPr>
              <w:rPr>
                <w:rFonts w:ascii="Garamond" w:hAnsi="Garamond"/>
                <w:sz w:val="21"/>
                <w:szCs w:val="21"/>
              </w:rPr>
            </w:pPr>
            <w:r w:rsidRPr="00F641D7">
              <w:rPr>
                <w:rFonts w:ascii="Garamond" w:hAnsi="Garamond"/>
                <w:sz w:val="21"/>
                <w:szCs w:val="21"/>
                <w:lang w:val="en-US"/>
              </w:rPr>
              <w:t>GS-US-540-5773</w:t>
            </w:r>
          </w:p>
        </w:tc>
        <w:tc>
          <w:tcPr>
            <w:tcW w:w="222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7D0B1B7A" w14:textId="77777777" w:rsidR="00E244C8" w:rsidRPr="00F641D7" w:rsidRDefault="00E244C8" w:rsidP="00307895">
            <w:pPr>
              <w:rPr>
                <w:rFonts w:ascii="Garamond" w:hAnsi="Garamond"/>
                <w:sz w:val="21"/>
                <w:szCs w:val="21"/>
              </w:rPr>
            </w:pPr>
            <w:r w:rsidRPr="00F641D7">
              <w:rPr>
                <w:rFonts w:ascii="Garamond" w:hAnsi="Garamond"/>
                <w:sz w:val="21"/>
                <w:szCs w:val="21"/>
                <w:lang w:val="en-US"/>
              </w:rPr>
              <w:t>Gilead</w:t>
            </w:r>
          </w:p>
        </w:tc>
        <w:tc>
          <w:tcPr>
            <w:tcW w:w="36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E2A09E3" w14:textId="77777777" w:rsidR="00E244C8" w:rsidRPr="00F641D7" w:rsidRDefault="00E244C8" w:rsidP="00307895">
            <w:pPr>
              <w:numPr>
                <w:ilvl w:val="0"/>
                <w:numId w:val="10"/>
              </w:numPr>
              <w:rPr>
                <w:rFonts w:ascii="Garamond" w:hAnsi="Garamond"/>
                <w:sz w:val="21"/>
                <w:szCs w:val="21"/>
              </w:rPr>
            </w:pPr>
            <w:r w:rsidRPr="00F641D7">
              <w:rPr>
                <w:rFonts w:ascii="Garamond" w:hAnsi="Garamond"/>
                <w:sz w:val="21"/>
                <w:szCs w:val="21"/>
                <w:lang w:val="en-US"/>
              </w:rPr>
              <w:t>remdesivir</w:t>
            </w:r>
          </w:p>
          <w:p w14:paraId="1DCA18F7" w14:textId="77777777" w:rsidR="00E244C8" w:rsidRPr="00F641D7" w:rsidRDefault="00E244C8" w:rsidP="00307895">
            <w:pPr>
              <w:numPr>
                <w:ilvl w:val="0"/>
                <w:numId w:val="10"/>
              </w:numPr>
              <w:rPr>
                <w:rFonts w:ascii="Garamond" w:hAnsi="Garamond"/>
                <w:sz w:val="21"/>
                <w:szCs w:val="21"/>
              </w:rPr>
            </w:pPr>
            <w:r w:rsidRPr="00F641D7">
              <w:rPr>
                <w:rFonts w:ascii="Garamond" w:hAnsi="Garamond"/>
                <w:sz w:val="21"/>
                <w:szCs w:val="21"/>
                <w:lang w:val="en-US"/>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F0F0F0"/>
          </w:tcPr>
          <w:p w14:paraId="7225D178" w14:textId="6CD2ACE8" w:rsidR="00E244C8" w:rsidRPr="0061753B" w:rsidRDefault="00EB31E4" w:rsidP="004F5E95">
            <w:pPr>
              <w:ind w:left="360"/>
              <w:rPr>
                <w:rFonts w:ascii="Garamond" w:hAnsi="Garamond"/>
                <w:sz w:val="21"/>
                <w:szCs w:val="21"/>
                <w:lang w:val="en-US"/>
              </w:rPr>
            </w:pPr>
            <w:r w:rsidRPr="004F5E95">
              <w:rPr>
                <w:rFonts w:ascii="Garamond" w:hAnsi="Garamond"/>
                <w:sz w:val="21"/>
                <w:szCs w:val="21"/>
                <w:lang w:val="en-US"/>
              </w:rPr>
              <w:t>6,000</w:t>
            </w:r>
          </w:p>
        </w:tc>
      </w:tr>
      <w:tr w:rsidR="0061753B" w:rsidRPr="006548A0" w14:paraId="423D482E" w14:textId="2FE1CF79" w:rsidTr="0061753B">
        <w:trPr>
          <w:trHeight w:val="513"/>
        </w:trPr>
        <w:tc>
          <w:tcPr>
            <w:tcW w:w="159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60D7C634" w14:textId="77777777" w:rsidR="00E244C8" w:rsidRPr="00F641D7" w:rsidRDefault="00E244C8" w:rsidP="00307895">
            <w:pPr>
              <w:rPr>
                <w:rFonts w:ascii="Garamond" w:hAnsi="Garamond"/>
                <w:sz w:val="21"/>
                <w:szCs w:val="21"/>
              </w:rPr>
            </w:pPr>
            <w:r w:rsidRPr="00F641D7">
              <w:rPr>
                <w:rFonts w:ascii="Garamond" w:hAnsi="Garamond"/>
                <w:sz w:val="21"/>
                <w:szCs w:val="21"/>
                <w:lang w:val="en-US"/>
              </w:rPr>
              <w:t>SOLIDARITY</w:t>
            </w:r>
          </w:p>
        </w:tc>
        <w:tc>
          <w:tcPr>
            <w:tcW w:w="222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50DBA037" w14:textId="77777777" w:rsidR="00E244C8" w:rsidRPr="00F641D7" w:rsidRDefault="00E244C8" w:rsidP="00307895">
            <w:pPr>
              <w:rPr>
                <w:rFonts w:ascii="Garamond" w:hAnsi="Garamond"/>
                <w:sz w:val="21"/>
                <w:szCs w:val="21"/>
              </w:rPr>
            </w:pPr>
            <w:r w:rsidRPr="00F641D7">
              <w:rPr>
                <w:rFonts w:ascii="Garamond" w:hAnsi="Garamond"/>
                <w:sz w:val="21"/>
                <w:szCs w:val="21"/>
                <w:lang w:val="en-US"/>
              </w:rPr>
              <w:t>WHO</w:t>
            </w:r>
          </w:p>
        </w:tc>
        <w:tc>
          <w:tcPr>
            <w:tcW w:w="36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149E4A54" w14:textId="77777777" w:rsidR="00E244C8" w:rsidRPr="00F641D7" w:rsidRDefault="00E244C8" w:rsidP="00307895">
            <w:pPr>
              <w:numPr>
                <w:ilvl w:val="0"/>
                <w:numId w:val="13"/>
              </w:numPr>
              <w:rPr>
                <w:rFonts w:ascii="Garamond" w:hAnsi="Garamond"/>
                <w:sz w:val="21"/>
                <w:szCs w:val="21"/>
              </w:rPr>
            </w:pPr>
            <w:r w:rsidRPr="00F641D7">
              <w:rPr>
                <w:rFonts w:ascii="Garamond" w:hAnsi="Garamond"/>
                <w:sz w:val="21"/>
                <w:szCs w:val="21"/>
                <w:lang w:val="en-US"/>
              </w:rPr>
              <w:t>remdesivir</w:t>
            </w:r>
          </w:p>
          <w:p w14:paraId="17964505" w14:textId="327420A5" w:rsidR="00E244C8" w:rsidRPr="00F641D7" w:rsidRDefault="00E244C8" w:rsidP="00307895">
            <w:pPr>
              <w:numPr>
                <w:ilvl w:val="0"/>
                <w:numId w:val="13"/>
              </w:numPr>
              <w:rPr>
                <w:rFonts w:ascii="Garamond" w:hAnsi="Garamond"/>
                <w:sz w:val="21"/>
                <w:szCs w:val="21"/>
              </w:rPr>
            </w:pPr>
            <w:r w:rsidRPr="00F641D7">
              <w:rPr>
                <w:rFonts w:ascii="Garamond" w:hAnsi="Garamond"/>
                <w:sz w:val="21"/>
                <w:szCs w:val="21"/>
                <w:lang w:val="en-US"/>
              </w:rPr>
              <w:t>lopinavir/ritonavir</w:t>
            </w:r>
            <w:r w:rsidR="0061753B">
              <w:rPr>
                <w:rFonts w:ascii="Garamond" w:hAnsi="Garamond"/>
                <w:sz w:val="21"/>
                <w:szCs w:val="21"/>
                <w:lang w:val="en-US"/>
              </w:rPr>
              <w:t xml:space="preserve"> (discontinued)</w:t>
            </w:r>
          </w:p>
          <w:p w14:paraId="7AE295BF" w14:textId="752DA1C6" w:rsidR="00E244C8" w:rsidRPr="00F641D7" w:rsidRDefault="00E244C8" w:rsidP="00307895">
            <w:pPr>
              <w:numPr>
                <w:ilvl w:val="0"/>
                <w:numId w:val="13"/>
              </w:numPr>
              <w:rPr>
                <w:rFonts w:ascii="Garamond" w:hAnsi="Garamond"/>
                <w:sz w:val="21"/>
                <w:szCs w:val="21"/>
              </w:rPr>
            </w:pPr>
            <w:r w:rsidRPr="00F641D7">
              <w:rPr>
                <w:rFonts w:ascii="Garamond" w:hAnsi="Garamond"/>
                <w:sz w:val="21"/>
                <w:szCs w:val="21"/>
                <w:lang w:val="en-US"/>
              </w:rPr>
              <w:t>lopinavir/ritonavir + interferon beta-1a</w:t>
            </w:r>
            <w:r w:rsidR="0061753B">
              <w:rPr>
                <w:rFonts w:ascii="Garamond" w:hAnsi="Garamond"/>
                <w:sz w:val="21"/>
                <w:szCs w:val="21"/>
                <w:lang w:val="en-US"/>
              </w:rPr>
              <w:t xml:space="preserve"> (discontinued)</w:t>
            </w:r>
          </w:p>
          <w:p w14:paraId="6197C4C9" w14:textId="0AEDE2F6" w:rsidR="00E244C8" w:rsidRPr="00F641D7" w:rsidRDefault="00E244C8" w:rsidP="00307895">
            <w:pPr>
              <w:numPr>
                <w:ilvl w:val="0"/>
                <w:numId w:val="13"/>
              </w:numPr>
              <w:rPr>
                <w:rFonts w:ascii="Garamond" w:hAnsi="Garamond"/>
                <w:sz w:val="21"/>
                <w:szCs w:val="21"/>
              </w:rPr>
            </w:pPr>
            <w:r w:rsidRPr="00F641D7">
              <w:rPr>
                <w:rFonts w:ascii="Garamond" w:hAnsi="Garamond"/>
                <w:sz w:val="21"/>
                <w:szCs w:val="21"/>
                <w:lang w:val="en-US"/>
              </w:rPr>
              <w:t>hydroxychloroquine</w:t>
            </w:r>
            <w:r w:rsidR="0061753B">
              <w:rPr>
                <w:rFonts w:ascii="Garamond" w:hAnsi="Garamond"/>
                <w:sz w:val="21"/>
                <w:szCs w:val="21"/>
                <w:lang w:val="en-US"/>
              </w:rPr>
              <w:t xml:space="preserve"> (discontinued)</w:t>
            </w:r>
          </w:p>
          <w:p w14:paraId="16652B5D" w14:textId="77777777" w:rsidR="00E244C8" w:rsidRPr="00F641D7" w:rsidRDefault="00E244C8" w:rsidP="00307895">
            <w:pPr>
              <w:numPr>
                <w:ilvl w:val="0"/>
                <w:numId w:val="13"/>
              </w:numPr>
              <w:rPr>
                <w:rFonts w:ascii="Garamond" w:hAnsi="Garamond"/>
                <w:sz w:val="21"/>
                <w:szCs w:val="21"/>
              </w:rPr>
            </w:pPr>
            <w:r w:rsidRPr="00F641D7">
              <w:rPr>
                <w:rFonts w:ascii="Garamond" w:hAnsi="Garamond"/>
                <w:sz w:val="21"/>
                <w:szCs w:val="21"/>
                <w:lang w:val="en-US"/>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E1E1E1"/>
          </w:tcPr>
          <w:p w14:paraId="04E11792" w14:textId="06B454DD" w:rsidR="00E244C8" w:rsidRPr="0061753B" w:rsidRDefault="0061753B" w:rsidP="004F5E95">
            <w:pPr>
              <w:ind w:left="360"/>
              <w:rPr>
                <w:rFonts w:ascii="Garamond" w:hAnsi="Garamond"/>
                <w:sz w:val="21"/>
                <w:szCs w:val="21"/>
                <w:lang w:val="en-US"/>
              </w:rPr>
            </w:pPr>
            <w:r w:rsidRPr="004F5E95">
              <w:rPr>
                <w:rFonts w:ascii="Garamond" w:hAnsi="Garamond"/>
                <w:sz w:val="21"/>
                <w:szCs w:val="21"/>
                <w:lang w:val="en-US"/>
              </w:rPr>
              <w:t>No specific sample size (target enrolment of several thousand participants)</w:t>
            </w:r>
          </w:p>
        </w:tc>
      </w:tr>
      <w:tr w:rsidR="0061753B" w:rsidRPr="006548A0" w14:paraId="716FE296" w14:textId="4A5201DF" w:rsidTr="0061753B">
        <w:trPr>
          <w:trHeight w:val="513"/>
        </w:trPr>
        <w:tc>
          <w:tcPr>
            <w:tcW w:w="159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tcPr>
          <w:p w14:paraId="4406EBCC" w14:textId="77777777" w:rsidR="00E244C8" w:rsidRPr="00854FD9" w:rsidRDefault="00E244C8" w:rsidP="00307895">
            <w:pPr>
              <w:rPr>
                <w:rFonts w:ascii="Garamond" w:hAnsi="Garamond"/>
                <w:sz w:val="21"/>
                <w:szCs w:val="21"/>
                <w:lang w:val="en-US"/>
              </w:rPr>
            </w:pPr>
            <w:r w:rsidRPr="00F641D7">
              <w:rPr>
                <w:rFonts w:ascii="Garamond" w:hAnsi="Garamond"/>
                <w:sz w:val="21"/>
                <w:szCs w:val="21"/>
                <w:lang w:val="en-US"/>
              </w:rPr>
              <w:t>DISCOVERY</w:t>
            </w:r>
          </w:p>
        </w:tc>
        <w:tc>
          <w:tcPr>
            <w:tcW w:w="222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tcPr>
          <w:p w14:paraId="0CCF198D" w14:textId="77777777" w:rsidR="00BA1894" w:rsidRPr="004F5E95" w:rsidRDefault="00BA1894" w:rsidP="00BA1894">
            <w:pPr>
              <w:rPr>
                <w:rFonts w:ascii="Garamond" w:hAnsi="Garamond"/>
                <w:sz w:val="21"/>
                <w:szCs w:val="21"/>
                <w:lang w:val="nb-NO"/>
              </w:rPr>
            </w:pPr>
            <w:r w:rsidRPr="004F5E95">
              <w:rPr>
                <w:rFonts w:ascii="Garamond" w:hAnsi="Garamond"/>
                <w:sz w:val="21"/>
                <w:szCs w:val="21"/>
                <w:lang w:val="nb-NO"/>
              </w:rPr>
              <w:t>Institut National de la Santé Et de la Recherche Médicale, France</w:t>
            </w:r>
          </w:p>
          <w:p w14:paraId="5890B7D7" w14:textId="3903BAD0" w:rsidR="00E244C8" w:rsidRPr="004F5E95" w:rsidRDefault="00E244C8" w:rsidP="00307895">
            <w:pPr>
              <w:rPr>
                <w:rFonts w:ascii="Garamond" w:hAnsi="Garamond"/>
                <w:sz w:val="21"/>
                <w:szCs w:val="21"/>
                <w:lang w:val="nb-NO"/>
              </w:rPr>
            </w:pPr>
          </w:p>
        </w:tc>
        <w:tc>
          <w:tcPr>
            <w:tcW w:w="36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tcPr>
          <w:p w14:paraId="42E99EED" w14:textId="77777777" w:rsidR="00E244C8" w:rsidRPr="00F641D7" w:rsidRDefault="00E244C8" w:rsidP="00527D9C">
            <w:pPr>
              <w:numPr>
                <w:ilvl w:val="0"/>
                <w:numId w:val="13"/>
              </w:numPr>
              <w:rPr>
                <w:rFonts w:ascii="Garamond" w:hAnsi="Garamond"/>
                <w:sz w:val="21"/>
                <w:szCs w:val="21"/>
                <w:lang w:val="en-US"/>
              </w:rPr>
            </w:pPr>
            <w:r w:rsidRPr="00F641D7">
              <w:rPr>
                <w:rFonts w:ascii="Garamond" w:hAnsi="Garamond"/>
                <w:sz w:val="21"/>
                <w:szCs w:val="21"/>
                <w:lang w:val="en-US"/>
              </w:rPr>
              <w:t>remdesivir</w:t>
            </w:r>
          </w:p>
          <w:p w14:paraId="1782D28D" w14:textId="4D824E1B" w:rsidR="00E244C8" w:rsidRPr="00F641D7" w:rsidRDefault="00E244C8" w:rsidP="00527D9C">
            <w:pPr>
              <w:numPr>
                <w:ilvl w:val="0"/>
                <w:numId w:val="13"/>
              </w:numPr>
              <w:rPr>
                <w:rFonts w:ascii="Garamond" w:hAnsi="Garamond"/>
                <w:sz w:val="21"/>
                <w:szCs w:val="21"/>
                <w:lang w:val="en-US"/>
              </w:rPr>
            </w:pPr>
            <w:r w:rsidRPr="00F641D7">
              <w:rPr>
                <w:rFonts w:ascii="Garamond" w:hAnsi="Garamond"/>
                <w:sz w:val="21"/>
                <w:szCs w:val="21"/>
                <w:lang w:val="en-US"/>
              </w:rPr>
              <w:t>lopinavir/ritonavir</w:t>
            </w:r>
            <w:r w:rsidR="0061753B">
              <w:rPr>
                <w:rFonts w:ascii="Garamond" w:hAnsi="Garamond"/>
                <w:sz w:val="21"/>
                <w:szCs w:val="21"/>
                <w:lang w:val="en-US"/>
              </w:rPr>
              <w:t xml:space="preserve"> (discontinued)</w:t>
            </w:r>
          </w:p>
          <w:p w14:paraId="10D426A5" w14:textId="0ED66846" w:rsidR="00E244C8" w:rsidRPr="00F641D7" w:rsidRDefault="00E244C8" w:rsidP="00527D9C">
            <w:pPr>
              <w:numPr>
                <w:ilvl w:val="0"/>
                <w:numId w:val="13"/>
              </w:numPr>
              <w:rPr>
                <w:rFonts w:ascii="Garamond" w:hAnsi="Garamond"/>
                <w:sz w:val="21"/>
                <w:szCs w:val="21"/>
                <w:lang w:val="en-US"/>
              </w:rPr>
            </w:pPr>
            <w:r w:rsidRPr="00F641D7">
              <w:rPr>
                <w:rFonts w:ascii="Garamond" w:hAnsi="Garamond"/>
                <w:sz w:val="21"/>
                <w:szCs w:val="21"/>
                <w:lang w:val="en-US"/>
              </w:rPr>
              <w:t>lopinavir/ritonavir + interferon beta-1a</w:t>
            </w:r>
            <w:r w:rsidR="0061753B">
              <w:rPr>
                <w:rFonts w:ascii="Garamond" w:hAnsi="Garamond"/>
                <w:sz w:val="21"/>
                <w:szCs w:val="21"/>
                <w:lang w:val="en-US"/>
              </w:rPr>
              <w:t xml:space="preserve"> (discontinued)</w:t>
            </w:r>
          </w:p>
          <w:p w14:paraId="35DB3CFE" w14:textId="572D8E48" w:rsidR="00E244C8" w:rsidRPr="00F641D7" w:rsidRDefault="00E244C8" w:rsidP="00527D9C">
            <w:pPr>
              <w:numPr>
                <w:ilvl w:val="0"/>
                <w:numId w:val="13"/>
              </w:numPr>
              <w:rPr>
                <w:rFonts w:ascii="Garamond" w:hAnsi="Garamond"/>
                <w:sz w:val="21"/>
                <w:szCs w:val="21"/>
                <w:lang w:val="en-US"/>
              </w:rPr>
            </w:pPr>
            <w:r w:rsidRPr="00F641D7">
              <w:rPr>
                <w:rFonts w:ascii="Garamond" w:hAnsi="Garamond"/>
                <w:sz w:val="21"/>
                <w:szCs w:val="21"/>
                <w:lang w:val="en-US"/>
              </w:rPr>
              <w:t>hydroxychloroquine</w:t>
            </w:r>
            <w:r w:rsidR="0061753B">
              <w:rPr>
                <w:rFonts w:ascii="Garamond" w:hAnsi="Garamond"/>
                <w:sz w:val="21"/>
                <w:szCs w:val="21"/>
                <w:lang w:val="en-US"/>
              </w:rPr>
              <w:t xml:space="preserve"> (discontinued)</w:t>
            </w:r>
          </w:p>
          <w:p w14:paraId="36BFA6D4" w14:textId="77777777" w:rsidR="00E244C8" w:rsidRPr="00854FD9" w:rsidRDefault="00E244C8" w:rsidP="00307895">
            <w:pPr>
              <w:numPr>
                <w:ilvl w:val="0"/>
                <w:numId w:val="13"/>
              </w:numPr>
              <w:rPr>
                <w:rFonts w:ascii="Garamond" w:hAnsi="Garamond"/>
                <w:sz w:val="21"/>
                <w:szCs w:val="21"/>
                <w:lang w:val="en-US"/>
              </w:rPr>
            </w:pPr>
            <w:r w:rsidRPr="00F641D7">
              <w:rPr>
                <w:rFonts w:ascii="Garamond" w:hAnsi="Garamond"/>
                <w:sz w:val="21"/>
                <w:szCs w:val="21"/>
                <w:lang w:val="en-US"/>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E1E1E1"/>
          </w:tcPr>
          <w:p w14:paraId="471EACF1" w14:textId="27C794F0" w:rsidR="00E244C8" w:rsidRPr="0061753B" w:rsidRDefault="00EB31E4" w:rsidP="004F5E95">
            <w:pPr>
              <w:ind w:left="360"/>
              <w:rPr>
                <w:rFonts w:ascii="Garamond" w:hAnsi="Garamond"/>
                <w:sz w:val="21"/>
                <w:szCs w:val="21"/>
                <w:lang w:val="en-US"/>
              </w:rPr>
            </w:pPr>
            <w:r w:rsidRPr="004F5E95">
              <w:rPr>
                <w:rFonts w:ascii="Garamond" w:hAnsi="Garamond"/>
                <w:sz w:val="21"/>
                <w:szCs w:val="21"/>
                <w:lang w:val="en-US"/>
              </w:rPr>
              <w:t>3,100</w:t>
            </w:r>
          </w:p>
        </w:tc>
      </w:tr>
      <w:tr w:rsidR="0061753B" w:rsidRPr="006548A0" w14:paraId="237649D7" w14:textId="7EDD66B9" w:rsidTr="0061753B">
        <w:trPr>
          <w:trHeight w:val="607"/>
        </w:trPr>
        <w:tc>
          <w:tcPr>
            <w:tcW w:w="159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C5490F2" w14:textId="77777777" w:rsidR="00E244C8" w:rsidRPr="00F641D7" w:rsidRDefault="00E244C8" w:rsidP="00307895">
            <w:pPr>
              <w:rPr>
                <w:rFonts w:ascii="Garamond" w:hAnsi="Garamond"/>
                <w:sz w:val="21"/>
                <w:szCs w:val="21"/>
              </w:rPr>
            </w:pPr>
            <w:r w:rsidRPr="00F641D7">
              <w:rPr>
                <w:rFonts w:ascii="Garamond" w:hAnsi="Garamond"/>
                <w:sz w:val="21"/>
                <w:szCs w:val="21"/>
                <w:lang w:val="en-US"/>
              </w:rPr>
              <w:t>RECOVERY</w:t>
            </w:r>
          </w:p>
        </w:tc>
        <w:tc>
          <w:tcPr>
            <w:tcW w:w="222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34988E2" w14:textId="4C790334" w:rsidR="00E244C8" w:rsidRPr="00F641D7" w:rsidRDefault="00BA1894" w:rsidP="00307895">
            <w:pPr>
              <w:rPr>
                <w:rFonts w:ascii="Garamond" w:hAnsi="Garamond"/>
                <w:sz w:val="21"/>
                <w:szCs w:val="21"/>
              </w:rPr>
            </w:pPr>
            <w:r>
              <w:rPr>
                <w:rFonts w:ascii="Garamond" w:hAnsi="Garamond"/>
                <w:sz w:val="21"/>
                <w:szCs w:val="21"/>
                <w:lang w:val="en-US"/>
              </w:rPr>
              <w:t>UK Research and Innovation</w:t>
            </w:r>
            <w:r w:rsidR="00E244C8" w:rsidRPr="00F641D7">
              <w:rPr>
                <w:rFonts w:ascii="Garamond" w:hAnsi="Garamond"/>
                <w:sz w:val="21"/>
                <w:szCs w:val="21"/>
                <w:lang w:val="en-US"/>
              </w:rPr>
              <w:t xml:space="preserve">, </w:t>
            </w:r>
            <w:r w:rsidR="0061753B">
              <w:rPr>
                <w:rFonts w:ascii="Garamond" w:hAnsi="Garamond"/>
                <w:sz w:val="21"/>
                <w:szCs w:val="21"/>
                <w:lang w:val="en-US"/>
              </w:rPr>
              <w:t xml:space="preserve">UK </w:t>
            </w:r>
            <w:r>
              <w:rPr>
                <w:rFonts w:ascii="Garamond" w:hAnsi="Garamond"/>
                <w:sz w:val="21"/>
                <w:szCs w:val="21"/>
                <w:lang w:val="en-US"/>
              </w:rPr>
              <w:t>National Institute for Health Research</w:t>
            </w:r>
          </w:p>
        </w:tc>
        <w:tc>
          <w:tcPr>
            <w:tcW w:w="36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714E80C" w14:textId="2961D6DD" w:rsidR="00E244C8" w:rsidRPr="00F641D7" w:rsidRDefault="00E244C8" w:rsidP="00307895">
            <w:pPr>
              <w:numPr>
                <w:ilvl w:val="0"/>
                <w:numId w:val="14"/>
              </w:numPr>
              <w:rPr>
                <w:rFonts w:ascii="Garamond" w:hAnsi="Garamond"/>
                <w:sz w:val="21"/>
                <w:szCs w:val="21"/>
              </w:rPr>
            </w:pPr>
            <w:r w:rsidRPr="00F641D7">
              <w:rPr>
                <w:rFonts w:ascii="Garamond" w:hAnsi="Garamond"/>
                <w:sz w:val="21"/>
                <w:szCs w:val="21"/>
              </w:rPr>
              <w:t xml:space="preserve">lopinavir-ritonavir </w:t>
            </w:r>
            <w:r w:rsidR="0061753B">
              <w:rPr>
                <w:rFonts w:ascii="Garamond" w:hAnsi="Garamond"/>
                <w:sz w:val="21"/>
                <w:szCs w:val="21"/>
              </w:rPr>
              <w:t>(discontinued)</w:t>
            </w:r>
          </w:p>
          <w:p w14:paraId="3816D2B4" w14:textId="60EE63DF" w:rsidR="00E244C8" w:rsidRPr="00F641D7" w:rsidRDefault="00E244C8" w:rsidP="00307895">
            <w:pPr>
              <w:numPr>
                <w:ilvl w:val="0"/>
                <w:numId w:val="14"/>
              </w:numPr>
              <w:rPr>
                <w:rFonts w:ascii="Garamond" w:hAnsi="Garamond"/>
                <w:sz w:val="21"/>
                <w:szCs w:val="21"/>
              </w:rPr>
            </w:pPr>
            <w:r w:rsidRPr="00F641D7">
              <w:rPr>
                <w:rFonts w:ascii="Garamond" w:hAnsi="Garamond"/>
                <w:sz w:val="21"/>
                <w:szCs w:val="21"/>
              </w:rPr>
              <w:t>dexamethasone</w:t>
            </w:r>
            <w:r w:rsidR="0061753B">
              <w:rPr>
                <w:rFonts w:ascii="Garamond" w:hAnsi="Garamond"/>
                <w:sz w:val="21"/>
                <w:szCs w:val="21"/>
              </w:rPr>
              <w:t xml:space="preserve"> (only children)</w:t>
            </w:r>
          </w:p>
          <w:p w14:paraId="5E9E12AA" w14:textId="3F50B89E" w:rsidR="00E244C8" w:rsidRPr="00F641D7" w:rsidRDefault="00E244C8" w:rsidP="00307895">
            <w:pPr>
              <w:numPr>
                <w:ilvl w:val="0"/>
                <w:numId w:val="14"/>
              </w:numPr>
              <w:rPr>
                <w:rFonts w:ascii="Garamond" w:hAnsi="Garamond"/>
                <w:sz w:val="21"/>
                <w:szCs w:val="21"/>
              </w:rPr>
            </w:pPr>
            <w:r w:rsidRPr="00F641D7">
              <w:rPr>
                <w:rFonts w:ascii="Garamond" w:hAnsi="Garamond"/>
                <w:sz w:val="21"/>
                <w:szCs w:val="21"/>
              </w:rPr>
              <w:t>hydroxychloroquine</w:t>
            </w:r>
            <w:r w:rsidR="0061753B">
              <w:rPr>
                <w:rFonts w:ascii="Garamond" w:hAnsi="Garamond"/>
                <w:sz w:val="21"/>
                <w:szCs w:val="21"/>
              </w:rPr>
              <w:t xml:space="preserve"> (discontinued)</w:t>
            </w:r>
          </w:p>
          <w:p w14:paraId="713EE456" w14:textId="77777777" w:rsidR="00E244C8" w:rsidRPr="00F641D7" w:rsidRDefault="00E244C8" w:rsidP="00307895">
            <w:pPr>
              <w:numPr>
                <w:ilvl w:val="0"/>
                <w:numId w:val="14"/>
              </w:numPr>
              <w:rPr>
                <w:rFonts w:ascii="Garamond" w:hAnsi="Garamond"/>
                <w:sz w:val="21"/>
                <w:szCs w:val="21"/>
              </w:rPr>
            </w:pPr>
            <w:r w:rsidRPr="00F641D7">
              <w:rPr>
                <w:rFonts w:ascii="Garamond" w:hAnsi="Garamond"/>
                <w:sz w:val="21"/>
                <w:szCs w:val="21"/>
              </w:rPr>
              <w:t>azithromycin</w:t>
            </w:r>
          </w:p>
          <w:p w14:paraId="14CABC9E" w14:textId="2B205A67" w:rsidR="00E244C8" w:rsidRDefault="00E244C8" w:rsidP="00307895">
            <w:pPr>
              <w:numPr>
                <w:ilvl w:val="0"/>
                <w:numId w:val="14"/>
              </w:numPr>
              <w:rPr>
                <w:rFonts w:ascii="Garamond" w:hAnsi="Garamond"/>
                <w:sz w:val="21"/>
                <w:szCs w:val="21"/>
              </w:rPr>
            </w:pPr>
            <w:r w:rsidRPr="00F641D7">
              <w:rPr>
                <w:rFonts w:ascii="Garamond" w:hAnsi="Garamond"/>
                <w:sz w:val="21"/>
                <w:szCs w:val="21"/>
              </w:rPr>
              <w:t>tocilizumab</w:t>
            </w:r>
          </w:p>
          <w:p w14:paraId="1338F0B3" w14:textId="0983AC56" w:rsidR="00BA1894" w:rsidRPr="00F641D7" w:rsidRDefault="00BA1894" w:rsidP="00307895">
            <w:pPr>
              <w:numPr>
                <w:ilvl w:val="0"/>
                <w:numId w:val="14"/>
              </w:numPr>
              <w:rPr>
                <w:rFonts w:ascii="Garamond" w:hAnsi="Garamond"/>
                <w:sz w:val="21"/>
                <w:szCs w:val="21"/>
              </w:rPr>
            </w:pPr>
            <w:r>
              <w:rPr>
                <w:rFonts w:ascii="Garamond" w:hAnsi="Garamond"/>
                <w:sz w:val="21"/>
                <w:szCs w:val="21"/>
              </w:rPr>
              <w:t>convalescent plasma</w:t>
            </w:r>
          </w:p>
          <w:p w14:paraId="40B2B92A" w14:textId="73B38C81" w:rsidR="00E244C8" w:rsidRPr="00F641D7" w:rsidRDefault="00E244C8" w:rsidP="00307895">
            <w:pPr>
              <w:numPr>
                <w:ilvl w:val="0"/>
                <w:numId w:val="14"/>
              </w:numPr>
              <w:rPr>
                <w:rFonts w:ascii="Garamond" w:hAnsi="Garamond"/>
                <w:sz w:val="21"/>
                <w:szCs w:val="21"/>
              </w:rPr>
            </w:pPr>
            <w:r w:rsidRPr="00F641D7">
              <w:rPr>
                <w:rFonts w:ascii="Garamond" w:hAnsi="Garamond"/>
                <w:sz w:val="21"/>
                <w:szCs w:val="21"/>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F0F0F0"/>
          </w:tcPr>
          <w:p w14:paraId="0EBACADC" w14:textId="45E68673" w:rsidR="00E244C8" w:rsidRPr="0061753B" w:rsidRDefault="00EB31E4" w:rsidP="004F5E95">
            <w:pPr>
              <w:ind w:left="360"/>
              <w:rPr>
                <w:rFonts w:ascii="Garamond" w:hAnsi="Garamond"/>
                <w:sz w:val="21"/>
                <w:szCs w:val="21"/>
              </w:rPr>
            </w:pPr>
            <w:r w:rsidRPr="004F5E95">
              <w:rPr>
                <w:rFonts w:ascii="Garamond" w:hAnsi="Garamond"/>
                <w:sz w:val="21"/>
                <w:szCs w:val="21"/>
              </w:rPr>
              <w:t>12,500</w:t>
            </w:r>
          </w:p>
        </w:tc>
      </w:tr>
      <w:tr w:rsidR="0061753B" w:rsidRPr="006548A0" w14:paraId="53670373" w14:textId="2F0512F2" w:rsidTr="0061753B">
        <w:trPr>
          <w:trHeight w:val="607"/>
        </w:trPr>
        <w:tc>
          <w:tcPr>
            <w:tcW w:w="159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0BFB7ED2" w14:textId="77777777" w:rsidR="00E244C8" w:rsidRPr="00F641D7" w:rsidRDefault="00E244C8" w:rsidP="00307895">
            <w:pPr>
              <w:rPr>
                <w:rFonts w:ascii="Garamond" w:hAnsi="Garamond"/>
                <w:sz w:val="21"/>
                <w:szCs w:val="21"/>
                <w:lang w:val="en-US"/>
              </w:rPr>
            </w:pPr>
            <w:r>
              <w:rPr>
                <w:rFonts w:ascii="Garamond" w:hAnsi="Garamond"/>
                <w:sz w:val="21"/>
                <w:szCs w:val="21"/>
                <w:lang w:val="en-US"/>
              </w:rPr>
              <w:t>PRINCIPLE</w:t>
            </w:r>
          </w:p>
        </w:tc>
        <w:tc>
          <w:tcPr>
            <w:tcW w:w="222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4A3CFD3B" w14:textId="597CB7C2" w:rsidR="00E244C8" w:rsidRPr="00F641D7" w:rsidRDefault="00BA1894" w:rsidP="00307895">
            <w:pPr>
              <w:rPr>
                <w:rFonts w:ascii="Garamond" w:hAnsi="Garamond"/>
                <w:sz w:val="21"/>
                <w:szCs w:val="21"/>
                <w:lang w:val="en-US"/>
              </w:rPr>
            </w:pPr>
            <w:r>
              <w:rPr>
                <w:rFonts w:ascii="Garamond" w:hAnsi="Garamond"/>
                <w:sz w:val="21"/>
                <w:szCs w:val="21"/>
                <w:lang w:val="en-US"/>
              </w:rPr>
              <w:t>UK Office of the Chief Medical Officer</w:t>
            </w:r>
          </w:p>
        </w:tc>
        <w:tc>
          <w:tcPr>
            <w:tcW w:w="36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20CB8A17" w14:textId="20A26D76" w:rsidR="00E244C8" w:rsidRDefault="0061753B" w:rsidP="00307895">
            <w:pPr>
              <w:numPr>
                <w:ilvl w:val="0"/>
                <w:numId w:val="14"/>
              </w:numPr>
              <w:rPr>
                <w:rFonts w:ascii="Garamond" w:hAnsi="Garamond"/>
                <w:sz w:val="21"/>
                <w:szCs w:val="21"/>
              </w:rPr>
            </w:pPr>
            <w:r>
              <w:rPr>
                <w:rFonts w:ascii="Garamond" w:hAnsi="Garamond"/>
                <w:sz w:val="21"/>
                <w:szCs w:val="21"/>
              </w:rPr>
              <w:t>azithromycin</w:t>
            </w:r>
          </w:p>
          <w:p w14:paraId="3B7D5D09" w14:textId="77777777" w:rsidR="00E244C8" w:rsidRPr="00F641D7" w:rsidRDefault="00E244C8" w:rsidP="00307895">
            <w:pPr>
              <w:numPr>
                <w:ilvl w:val="0"/>
                <w:numId w:val="14"/>
              </w:numPr>
              <w:rPr>
                <w:rFonts w:ascii="Garamond" w:hAnsi="Garamond"/>
                <w:sz w:val="21"/>
                <w:szCs w:val="21"/>
              </w:rPr>
            </w:pPr>
            <w:r>
              <w:rPr>
                <w:rFonts w:ascii="Garamond" w:hAnsi="Garamond"/>
                <w:sz w:val="21"/>
                <w:szCs w:val="21"/>
              </w:rPr>
              <w:t>standard of care</w:t>
            </w:r>
          </w:p>
        </w:tc>
        <w:tc>
          <w:tcPr>
            <w:tcW w:w="1497" w:type="dxa"/>
            <w:tcBorders>
              <w:top w:val="single" w:sz="8" w:space="0" w:color="A5A5A5"/>
              <w:left w:val="single" w:sz="8" w:space="0" w:color="A5A5A5"/>
              <w:bottom w:val="single" w:sz="8" w:space="0" w:color="A5A5A5"/>
              <w:right w:val="single" w:sz="8" w:space="0" w:color="A5A5A5"/>
            </w:tcBorders>
            <w:shd w:val="clear" w:color="auto" w:fill="F0F0F0"/>
          </w:tcPr>
          <w:p w14:paraId="70B48A27" w14:textId="26C764D5" w:rsidR="00E244C8" w:rsidRPr="0061753B" w:rsidRDefault="00BA1894" w:rsidP="004F5E95">
            <w:pPr>
              <w:ind w:left="360"/>
              <w:rPr>
                <w:rFonts w:ascii="Garamond" w:hAnsi="Garamond"/>
                <w:sz w:val="21"/>
                <w:szCs w:val="21"/>
              </w:rPr>
            </w:pPr>
            <w:r w:rsidRPr="004F5E95">
              <w:rPr>
                <w:rFonts w:ascii="Garamond" w:hAnsi="Garamond"/>
                <w:sz w:val="21"/>
                <w:szCs w:val="21"/>
              </w:rPr>
              <w:t>3,000</w:t>
            </w:r>
          </w:p>
        </w:tc>
      </w:tr>
      <w:tr w:rsidR="0061753B" w:rsidRPr="006548A0" w14:paraId="7F54329A" w14:textId="5924FBDE" w:rsidTr="0061753B">
        <w:trPr>
          <w:trHeight w:val="607"/>
        </w:trPr>
        <w:tc>
          <w:tcPr>
            <w:tcW w:w="159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2E117E68" w14:textId="639EFE56" w:rsidR="00E244C8" w:rsidRPr="0061753B" w:rsidRDefault="00E244C8" w:rsidP="00307895">
            <w:pPr>
              <w:rPr>
                <w:rFonts w:ascii="Garamond" w:hAnsi="Garamond"/>
                <w:sz w:val="21"/>
                <w:szCs w:val="21"/>
                <w:lang w:val="en-US"/>
              </w:rPr>
            </w:pPr>
            <w:r w:rsidRPr="0061753B">
              <w:rPr>
                <w:rFonts w:ascii="Garamond" w:hAnsi="Garamond"/>
                <w:sz w:val="21"/>
                <w:szCs w:val="21"/>
                <w:lang w:val="en-US"/>
              </w:rPr>
              <w:t>REMAP-CAP</w:t>
            </w:r>
          </w:p>
        </w:tc>
        <w:tc>
          <w:tcPr>
            <w:tcW w:w="222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702B1B05" w14:textId="3538EE85" w:rsidR="00E244C8" w:rsidRPr="0061753B" w:rsidRDefault="00BA1894" w:rsidP="00307895">
            <w:pPr>
              <w:rPr>
                <w:rFonts w:ascii="Garamond" w:hAnsi="Garamond"/>
                <w:sz w:val="21"/>
                <w:szCs w:val="21"/>
                <w:lang w:val="en-US"/>
              </w:rPr>
            </w:pPr>
            <w:r w:rsidRPr="004F5E95">
              <w:rPr>
                <w:rFonts w:ascii="Garamond" w:hAnsi="Garamond"/>
                <w:sz w:val="21"/>
                <w:szCs w:val="21"/>
                <w:lang w:val="en-US"/>
              </w:rPr>
              <w:t xml:space="preserve">Canadian Institutes for Health Research, </w:t>
            </w:r>
            <w:r w:rsidR="0061753B" w:rsidRPr="004F5E95">
              <w:rPr>
                <w:rFonts w:ascii="Garamond" w:hAnsi="Garamond"/>
                <w:sz w:val="21"/>
                <w:szCs w:val="21"/>
                <w:lang w:val="en-US"/>
              </w:rPr>
              <w:t xml:space="preserve">European Commission, UK National </w:t>
            </w:r>
            <w:r w:rsidR="0061753B" w:rsidRPr="0061753B">
              <w:rPr>
                <w:rFonts w:ascii="Garamond" w:hAnsi="Garamond"/>
                <w:sz w:val="21"/>
                <w:szCs w:val="21"/>
                <w:lang w:val="en-US"/>
              </w:rPr>
              <w:t>Institute for Health Research, Health Research Council of New Zealand, Australian National Health and Medical Research Council</w:t>
            </w:r>
          </w:p>
        </w:tc>
        <w:tc>
          <w:tcPr>
            <w:tcW w:w="36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45B001F9" w14:textId="77777777" w:rsidR="00EB31E4" w:rsidRPr="004F5E95" w:rsidRDefault="00EB31E4" w:rsidP="004F5E95">
            <w:pPr>
              <w:numPr>
                <w:ilvl w:val="0"/>
                <w:numId w:val="14"/>
              </w:numPr>
              <w:rPr>
                <w:rFonts w:ascii="Garamond" w:hAnsi="Garamond"/>
                <w:sz w:val="21"/>
                <w:szCs w:val="21"/>
              </w:rPr>
            </w:pPr>
            <w:r w:rsidRPr="004F5E95">
              <w:rPr>
                <w:rFonts w:ascii="Garamond" w:hAnsi="Garamond"/>
                <w:sz w:val="21"/>
                <w:szCs w:val="21"/>
              </w:rPr>
              <w:t>antibiotics</w:t>
            </w:r>
          </w:p>
          <w:p w14:paraId="7009BA63" w14:textId="77777777" w:rsidR="00EB31E4" w:rsidRPr="004F5E95" w:rsidRDefault="00EB31E4" w:rsidP="004F5E95">
            <w:pPr>
              <w:numPr>
                <w:ilvl w:val="0"/>
                <w:numId w:val="14"/>
              </w:numPr>
              <w:rPr>
                <w:rFonts w:ascii="Garamond" w:hAnsi="Garamond"/>
                <w:sz w:val="21"/>
                <w:szCs w:val="21"/>
              </w:rPr>
            </w:pPr>
            <w:r w:rsidRPr="004F5E95">
              <w:rPr>
                <w:rFonts w:ascii="Garamond" w:hAnsi="Garamond"/>
                <w:sz w:val="21"/>
                <w:szCs w:val="21"/>
              </w:rPr>
              <w:t xml:space="preserve">antivirals </w:t>
            </w:r>
          </w:p>
          <w:p w14:paraId="35A5AE24" w14:textId="77777777" w:rsidR="00EB31E4" w:rsidRPr="004F5E95" w:rsidRDefault="00EB31E4" w:rsidP="004F5E95">
            <w:pPr>
              <w:numPr>
                <w:ilvl w:val="0"/>
                <w:numId w:val="14"/>
              </w:numPr>
              <w:rPr>
                <w:rFonts w:ascii="Garamond" w:hAnsi="Garamond"/>
                <w:sz w:val="21"/>
                <w:szCs w:val="21"/>
              </w:rPr>
            </w:pPr>
            <w:r w:rsidRPr="004F5E95">
              <w:rPr>
                <w:rFonts w:ascii="Garamond" w:hAnsi="Garamond"/>
                <w:sz w:val="21"/>
                <w:szCs w:val="21"/>
              </w:rPr>
              <w:t>host immunomodulation with extended macrolide therapy</w:t>
            </w:r>
          </w:p>
          <w:p w14:paraId="69F50A3E" w14:textId="77777777" w:rsidR="00BA1894" w:rsidRPr="0061753B" w:rsidRDefault="00EB31E4" w:rsidP="00BA1894">
            <w:pPr>
              <w:numPr>
                <w:ilvl w:val="0"/>
                <w:numId w:val="14"/>
              </w:numPr>
              <w:rPr>
                <w:rFonts w:ascii="Garamond" w:hAnsi="Garamond"/>
                <w:sz w:val="21"/>
                <w:szCs w:val="21"/>
              </w:rPr>
            </w:pPr>
            <w:r w:rsidRPr="004F5E95">
              <w:rPr>
                <w:rFonts w:ascii="Garamond" w:hAnsi="Garamond"/>
                <w:sz w:val="21"/>
                <w:szCs w:val="21"/>
              </w:rPr>
              <w:t>corticosteroid regimens</w:t>
            </w:r>
          </w:p>
          <w:p w14:paraId="1AE6F7E1" w14:textId="1E4586D4" w:rsidR="00BA1894" w:rsidRPr="004F5E95" w:rsidRDefault="00BA1894" w:rsidP="004F5E95">
            <w:pPr>
              <w:numPr>
                <w:ilvl w:val="0"/>
                <w:numId w:val="14"/>
              </w:numPr>
              <w:rPr>
                <w:rFonts w:ascii="Garamond" w:hAnsi="Garamond"/>
                <w:sz w:val="21"/>
                <w:szCs w:val="21"/>
              </w:rPr>
            </w:pPr>
            <w:r w:rsidRPr="0061753B">
              <w:rPr>
                <w:rFonts w:ascii="Garamond" w:hAnsi="Garamond"/>
                <w:sz w:val="21"/>
                <w:szCs w:val="21"/>
              </w:rPr>
              <w:t>h</w:t>
            </w:r>
            <w:r w:rsidRPr="004F5E95">
              <w:rPr>
                <w:rFonts w:ascii="Garamond" w:hAnsi="Garamond"/>
                <w:sz w:val="21"/>
                <w:szCs w:val="21"/>
              </w:rPr>
              <w:t>ydroxychloroquine</w:t>
            </w:r>
          </w:p>
          <w:p w14:paraId="48D6AB5C" w14:textId="78725250" w:rsidR="00BA1894" w:rsidRPr="004F5E95" w:rsidRDefault="00BA1894" w:rsidP="004F5E95">
            <w:pPr>
              <w:numPr>
                <w:ilvl w:val="0"/>
                <w:numId w:val="14"/>
              </w:numPr>
              <w:rPr>
                <w:rFonts w:ascii="Garamond" w:hAnsi="Garamond"/>
                <w:sz w:val="21"/>
                <w:szCs w:val="21"/>
              </w:rPr>
            </w:pPr>
            <w:r w:rsidRPr="0061753B">
              <w:rPr>
                <w:rFonts w:ascii="Garamond" w:hAnsi="Garamond"/>
                <w:sz w:val="21"/>
                <w:szCs w:val="21"/>
              </w:rPr>
              <w:t>h</w:t>
            </w:r>
            <w:r w:rsidRPr="004F5E95">
              <w:rPr>
                <w:rFonts w:ascii="Garamond" w:hAnsi="Garamond"/>
                <w:sz w:val="21"/>
                <w:szCs w:val="21"/>
              </w:rPr>
              <w:t>ydroxychloroquine + lopinavir/ritonavir</w:t>
            </w:r>
          </w:p>
          <w:p w14:paraId="0CBCA075" w14:textId="39D7141E" w:rsidR="00BA1894" w:rsidRPr="004F5E95" w:rsidRDefault="00BA1894" w:rsidP="004F5E95">
            <w:pPr>
              <w:numPr>
                <w:ilvl w:val="0"/>
                <w:numId w:val="14"/>
              </w:numPr>
              <w:rPr>
                <w:rFonts w:ascii="Garamond" w:hAnsi="Garamond"/>
                <w:sz w:val="21"/>
                <w:szCs w:val="21"/>
              </w:rPr>
            </w:pPr>
            <w:r w:rsidRPr="0061753B">
              <w:rPr>
                <w:rFonts w:ascii="Garamond" w:hAnsi="Garamond"/>
                <w:sz w:val="21"/>
                <w:szCs w:val="21"/>
              </w:rPr>
              <w:t>i</w:t>
            </w:r>
            <w:r w:rsidRPr="004F5E95">
              <w:rPr>
                <w:rFonts w:ascii="Garamond" w:hAnsi="Garamond"/>
                <w:sz w:val="21"/>
                <w:szCs w:val="21"/>
              </w:rPr>
              <w:t>nterferon-β1a</w:t>
            </w:r>
          </w:p>
          <w:p w14:paraId="48953F74" w14:textId="39DE5DEF" w:rsidR="00BA1894" w:rsidRPr="004F5E95" w:rsidRDefault="00BA1894" w:rsidP="004F5E95">
            <w:pPr>
              <w:numPr>
                <w:ilvl w:val="0"/>
                <w:numId w:val="14"/>
              </w:numPr>
              <w:rPr>
                <w:rFonts w:ascii="Garamond" w:hAnsi="Garamond"/>
                <w:sz w:val="21"/>
                <w:szCs w:val="21"/>
              </w:rPr>
            </w:pPr>
            <w:r w:rsidRPr="0061753B">
              <w:rPr>
                <w:rFonts w:ascii="Garamond" w:hAnsi="Garamond"/>
                <w:sz w:val="21"/>
                <w:szCs w:val="21"/>
              </w:rPr>
              <w:t>a</w:t>
            </w:r>
            <w:r w:rsidRPr="004F5E95">
              <w:rPr>
                <w:rFonts w:ascii="Garamond" w:hAnsi="Garamond"/>
                <w:sz w:val="21"/>
                <w:szCs w:val="21"/>
              </w:rPr>
              <w:t>nakinra</w:t>
            </w:r>
          </w:p>
          <w:p w14:paraId="5A85869D" w14:textId="54D9CDE0" w:rsidR="00BA1894" w:rsidRPr="004F5E95" w:rsidRDefault="00BA1894" w:rsidP="004F5E95">
            <w:pPr>
              <w:numPr>
                <w:ilvl w:val="0"/>
                <w:numId w:val="14"/>
              </w:numPr>
              <w:rPr>
                <w:rFonts w:ascii="Garamond" w:hAnsi="Garamond"/>
                <w:sz w:val="21"/>
                <w:szCs w:val="21"/>
              </w:rPr>
            </w:pPr>
            <w:r w:rsidRPr="0061753B">
              <w:rPr>
                <w:rFonts w:ascii="Garamond" w:hAnsi="Garamond"/>
                <w:sz w:val="21"/>
                <w:szCs w:val="21"/>
              </w:rPr>
              <w:t>t</w:t>
            </w:r>
            <w:r w:rsidRPr="004F5E95">
              <w:rPr>
                <w:rFonts w:ascii="Garamond" w:hAnsi="Garamond"/>
                <w:sz w:val="21"/>
                <w:szCs w:val="21"/>
              </w:rPr>
              <w:t>ocilizumab</w:t>
            </w:r>
          </w:p>
          <w:p w14:paraId="40B87458" w14:textId="77C198D5" w:rsidR="00EB31E4" w:rsidRPr="0061753B" w:rsidRDefault="00BA1894" w:rsidP="00BA1894">
            <w:pPr>
              <w:numPr>
                <w:ilvl w:val="0"/>
                <w:numId w:val="14"/>
              </w:numPr>
              <w:rPr>
                <w:rFonts w:ascii="Garamond" w:hAnsi="Garamond"/>
                <w:sz w:val="21"/>
                <w:szCs w:val="21"/>
              </w:rPr>
            </w:pPr>
            <w:r w:rsidRPr="0061753B">
              <w:rPr>
                <w:rFonts w:ascii="Garamond" w:hAnsi="Garamond"/>
                <w:sz w:val="21"/>
                <w:szCs w:val="21"/>
              </w:rPr>
              <w:t>s</w:t>
            </w:r>
            <w:r w:rsidRPr="004F5E95">
              <w:rPr>
                <w:rFonts w:ascii="Garamond" w:hAnsi="Garamond"/>
                <w:sz w:val="21"/>
                <w:szCs w:val="21"/>
              </w:rPr>
              <w:t>arilumab</w:t>
            </w:r>
          </w:p>
        </w:tc>
        <w:tc>
          <w:tcPr>
            <w:tcW w:w="1497" w:type="dxa"/>
            <w:tcBorders>
              <w:top w:val="single" w:sz="8" w:space="0" w:color="A5A5A5"/>
              <w:left w:val="single" w:sz="8" w:space="0" w:color="A5A5A5"/>
              <w:bottom w:val="single" w:sz="8" w:space="0" w:color="A5A5A5"/>
              <w:right w:val="single" w:sz="8" w:space="0" w:color="A5A5A5"/>
            </w:tcBorders>
            <w:shd w:val="clear" w:color="auto" w:fill="F0F0F0"/>
          </w:tcPr>
          <w:p w14:paraId="7ADF5DAB" w14:textId="7FEE3410" w:rsidR="00E244C8" w:rsidRPr="004F5E95" w:rsidRDefault="00EB31E4" w:rsidP="004F5E95">
            <w:pPr>
              <w:ind w:left="360"/>
              <w:rPr>
                <w:rFonts w:ascii="Garamond" w:hAnsi="Garamond"/>
                <w:sz w:val="21"/>
                <w:szCs w:val="21"/>
              </w:rPr>
            </w:pPr>
            <w:r w:rsidRPr="004F5E95">
              <w:rPr>
                <w:rFonts w:ascii="Garamond" w:hAnsi="Garamond"/>
                <w:sz w:val="21"/>
                <w:szCs w:val="21"/>
              </w:rPr>
              <w:t>7,100</w:t>
            </w:r>
          </w:p>
        </w:tc>
      </w:tr>
    </w:tbl>
    <w:p w14:paraId="31FC432C" w14:textId="77777777" w:rsidR="00AA3099" w:rsidRPr="00F641D7" w:rsidRDefault="00AA3099" w:rsidP="00AA3099">
      <w:pPr>
        <w:rPr>
          <w:rFonts w:ascii="Garamond" w:hAnsi="Garamond"/>
          <w:sz w:val="22"/>
          <w:szCs w:val="22"/>
        </w:rPr>
      </w:pPr>
      <w:r w:rsidRPr="00F641D7">
        <w:rPr>
          <w:rFonts w:ascii="Garamond" w:hAnsi="Garamond"/>
          <w:b/>
          <w:bCs/>
          <w:sz w:val="22"/>
          <w:szCs w:val="22"/>
        </w:rPr>
        <w:t>Notes</w:t>
      </w:r>
      <w:r w:rsidRPr="00F641D7">
        <w:rPr>
          <w:rFonts w:ascii="Garamond" w:hAnsi="Garamond"/>
          <w:sz w:val="22"/>
          <w:szCs w:val="22"/>
        </w:rPr>
        <w:t xml:space="preserve">: </w:t>
      </w:r>
      <w:r>
        <w:rPr>
          <w:rFonts w:ascii="Garamond" w:hAnsi="Garamond"/>
          <w:sz w:val="22"/>
          <w:szCs w:val="22"/>
        </w:rPr>
        <w:t xml:space="preserve">The </w:t>
      </w:r>
      <w:r w:rsidRPr="00F641D7">
        <w:rPr>
          <w:rFonts w:ascii="Garamond" w:hAnsi="Garamond"/>
          <w:sz w:val="22"/>
          <w:szCs w:val="22"/>
        </w:rPr>
        <w:t>DISCOVERY trial is nested in SOLIDARITY as a “daughter” trial, allowing for more detailed data collection than its more simple and larger “mother” trial.</w:t>
      </w:r>
    </w:p>
    <w:p w14:paraId="4BB94B95" w14:textId="77777777" w:rsidR="00C03383" w:rsidRDefault="00C03383">
      <w:pPr>
        <w:rPr>
          <w:rFonts w:ascii="Garamond" w:hAnsi="Garamond"/>
        </w:rPr>
      </w:pPr>
    </w:p>
    <w:sectPr w:rsidR="00C03383" w:rsidSect="00934F0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1C79" w14:textId="77777777" w:rsidR="00E7625E" w:rsidRDefault="00E7625E" w:rsidP="00AC3A89">
      <w:r>
        <w:separator/>
      </w:r>
    </w:p>
  </w:endnote>
  <w:endnote w:type="continuationSeparator" w:id="0">
    <w:p w14:paraId="2481DD6A" w14:textId="77777777" w:rsidR="00E7625E" w:rsidRDefault="00E7625E" w:rsidP="00AC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5849502"/>
      <w:docPartObj>
        <w:docPartGallery w:val="Page Numbers (Bottom of Page)"/>
        <w:docPartUnique/>
      </w:docPartObj>
    </w:sdtPr>
    <w:sdtEndPr>
      <w:rPr>
        <w:rStyle w:val="PageNumber"/>
      </w:rPr>
    </w:sdtEndPr>
    <w:sdtContent>
      <w:p w14:paraId="2E6E62D6" w14:textId="3333BB24" w:rsidR="004F5E95" w:rsidRDefault="004F5E95" w:rsidP="003078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D5E7B" w14:textId="77777777" w:rsidR="004F5E95" w:rsidRDefault="004F5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1999414520"/>
      <w:docPartObj>
        <w:docPartGallery w:val="Page Numbers (Bottom of Page)"/>
        <w:docPartUnique/>
      </w:docPartObj>
    </w:sdtPr>
    <w:sdtEndPr>
      <w:rPr>
        <w:rStyle w:val="PageNumber"/>
      </w:rPr>
    </w:sdtEndPr>
    <w:sdtContent>
      <w:p w14:paraId="388D3878" w14:textId="2186B6B5" w:rsidR="004F5E95" w:rsidRPr="00AC3A89" w:rsidRDefault="004F5E95" w:rsidP="00307895">
        <w:pPr>
          <w:pStyle w:val="Footer"/>
          <w:framePr w:wrap="none" w:vAnchor="text" w:hAnchor="margin" w:xAlign="center" w:y="1"/>
          <w:rPr>
            <w:rStyle w:val="PageNumber"/>
            <w:rFonts w:ascii="Garamond" w:hAnsi="Garamond"/>
          </w:rPr>
        </w:pPr>
        <w:r w:rsidRPr="00AC3A89">
          <w:rPr>
            <w:rStyle w:val="PageNumber"/>
            <w:rFonts w:ascii="Garamond" w:hAnsi="Garamond"/>
          </w:rPr>
          <w:fldChar w:fldCharType="begin"/>
        </w:r>
        <w:r w:rsidRPr="00AC3A89">
          <w:rPr>
            <w:rStyle w:val="PageNumber"/>
            <w:rFonts w:ascii="Garamond" w:hAnsi="Garamond"/>
          </w:rPr>
          <w:instrText xml:space="preserve"> PAGE </w:instrText>
        </w:r>
        <w:r w:rsidRPr="00AC3A89">
          <w:rPr>
            <w:rStyle w:val="PageNumber"/>
            <w:rFonts w:ascii="Garamond" w:hAnsi="Garamond"/>
          </w:rPr>
          <w:fldChar w:fldCharType="separate"/>
        </w:r>
        <w:r w:rsidRPr="00AC3A89">
          <w:rPr>
            <w:rStyle w:val="PageNumber"/>
            <w:rFonts w:ascii="Garamond" w:hAnsi="Garamond"/>
            <w:noProof/>
          </w:rPr>
          <w:t>1</w:t>
        </w:r>
        <w:r w:rsidRPr="00AC3A89">
          <w:rPr>
            <w:rStyle w:val="PageNumber"/>
            <w:rFonts w:ascii="Garamond" w:hAnsi="Garamond"/>
          </w:rPr>
          <w:fldChar w:fldCharType="end"/>
        </w:r>
      </w:p>
    </w:sdtContent>
  </w:sdt>
  <w:p w14:paraId="21619B3D" w14:textId="77777777" w:rsidR="004F5E95" w:rsidRDefault="004F5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CB53" w14:textId="77777777" w:rsidR="00E7625E" w:rsidRDefault="00E7625E" w:rsidP="00AC3A89">
      <w:r>
        <w:separator/>
      </w:r>
    </w:p>
  </w:footnote>
  <w:footnote w:type="continuationSeparator" w:id="0">
    <w:p w14:paraId="472D9918" w14:textId="77777777" w:rsidR="00E7625E" w:rsidRDefault="00E7625E" w:rsidP="00AC3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832"/>
    <w:multiLevelType w:val="hybridMultilevel"/>
    <w:tmpl w:val="3D8CA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01C52"/>
    <w:multiLevelType w:val="hybridMultilevel"/>
    <w:tmpl w:val="7BCE3586"/>
    <w:lvl w:ilvl="0" w:tplc="A6AEF81A">
      <w:start w:val="1"/>
      <w:numFmt w:val="bullet"/>
      <w:lvlText w:val="•"/>
      <w:lvlJc w:val="left"/>
      <w:pPr>
        <w:tabs>
          <w:tab w:val="num" w:pos="720"/>
        </w:tabs>
        <w:ind w:left="720" w:hanging="360"/>
      </w:pPr>
      <w:rPr>
        <w:rFonts w:ascii="Arial" w:hAnsi="Arial" w:hint="default"/>
      </w:rPr>
    </w:lvl>
    <w:lvl w:ilvl="1" w:tplc="C9CC23AA" w:tentative="1">
      <w:start w:val="1"/>
      <w:numFmt w:val="bullet"/>
      <w:lvlText w:val="•"/>
      <w:lvlJc w:val="left"/>
      <w:pPr>
        <w:tabs>
          <w:tab w:val="num" w:pos="1440"/>
        </w:tabs>
        <w:ind w:left="1440" w:hanging="360"/>
      </w:pPr>
      <w:rPr>
        <w:rFonts w:ascii="Arial" w:hAnsi="Arial" w:hint="default"/>
      </w:rPr>
    </w:lvl>
    <w:lvl w:ilvl="2" w:tplc="764849CA" w:tentative="1">
      <w:start w:val="1"/>
      <w:numFmt w:val="bullet"/>
      <w:lvlText w:val="•"/>
      <w:lvlJc w:val="left"/>
      <w:pPr>
        <w:tabs>
          <w:tab w:val="num" w:pos="2160"/>
        </w:tabs>
        <w:ind w:left="2160" w:hanging="360"/>
      </w:pPr>
      <w:rPr>
        <w:rFonts w:ascii="Arial" w:hAnsi="Arial" w:hint="default"/>
      </w:rPr>
    </w:lvl>
    <w:lvl w:ilvl="3" w:tplc="36802CA8" w:tentative="1">
      <w:start w:val="1"/>
      <w:numFmt w:val="bullet"/>
      <w:lvlText w:val="•"/>
      <w:lvlJc w:val="left"/>
      <w:pPr>
        <w:tabs>
          <w:tab w:val="num" w:pos="2880"/>
        </w:tabs>
        <w:ind w:left="2880" w:hanging="360"/>
      </w:pPr>
      <w:rPr>
        <w:rFonts w:ascii="Arial" w:hAnsi="Arial" w:hint="default"/>
      </w:rPr>
    </w:lvl>
    <w:lvl w:ilvl="4" w:tplc="864470D6" w:tentative="1">
      <w:start w:val="1"/>
      <w:numFmt w:val="bullet"/>
      <w:lvlText w:val="•"/>
      <w:lvlJc w:val="left"/>
      <w:pPr>
        <w:tabs>
          <w:tab w:val="num" w:pos="3600"/>
        </w:tabs>
        <w:ind w:left="3600" w:hanging="360"/>
      </w:pPr>
      <w:rPr>
        <w:rFonts w:ascii="Arial" w:hAnsi="Arial" w:hint="default"/>
      </w:rPr>
    </w:lvl>
    <w:lvl w:ilvl="5" w:tplc="509A8B3E" w:tentative="1">
      <w:start w:val="1"/>
      <w:numFmt w:val="bullet"/>
      <w:lvlText w:val="•"/>
      <w:lvlJc w:val="left"/>
      <w:pPr>
        <w:tabs>
          <w:tab w:val="num" w:pos="4320"/>
        </w:tabs>
        <w:ind w:left="4320" w:hanging="360"/>
      </w:pPr>
      <w:rPr>
        <w:rFonts w:ascii="Arial" w:hAnsi="Arial" w:hint="default"/>
      </w:rPr>
    </w:lvl>
    <w:lvl w:ilvl="6" w:tplc="67103C1C" w:tentative="1">
      <w:start w:val="1"/>
      <w:numFmt w:val="bullet"/>
      <w:lvlText w:val="•"/>
      <w:lvlJc w:val="left"/>
      <w:pPr>
        <w:tabs>
          <w:tab w:val="num" w:pos="5040"/>
        </w:tabs>
        <w:ind w:left="5040" w:hanging="360"/>
      </w:pPr>
      <w:rPr>
        <w:rFonts w:ascii="Arial" w:hAnsi="Arial" w:hint="default"/>
      </w:rPr>
    </w:lvl>
    <w:lvl w:ilvl="7" w:tplc="767E21B0" w:tentative="1">
      <w:start w:val="1"/>
      <w:numFmt w:val="bullet"/>
      <w:lvlText w:val="•"/>
      <w:lvlJc w:val="left"/>
      <w:pPr>
        <w:tabs>
          <w:tab w:val="num" w:pos="5760"/>
        </w:tabs>
        <w:ind w:left="5760" w:hanging="360"/>
      </w:pPr>
      <w:rPr>
        <w:rFonts w:ascii="Arial" w:hAnsi="Arial" w:hint="default"/>
      </w:rPr>
    </w:lvl>
    <w:lvl w:ilvl="8" w:tplc="B6C893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F41AE8"/>
    <w:multiLevelType w:val="hybridMultilevel"/>
    <w:tmpl w:val="D8AC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2381"/>
    <w:multiLevelType w:val="hybridMultilevel"/>
    <w:tmpl w:val="D382B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6047F"/>
    <w:multiLevelType w:val="multilevel"/>
    <w:tmpl w:val="69DA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53840"/>
    <w:multiLevelType w:val="hybridMultilevel"/>
    <w:tmpl w:val="4C5E1A6C"/>
    <w:lvl w:ilvl="0" w:tplc="0D641600">
      <w:start w:val="1"/>
      <w:numFmt w:val="bullet"/>
      <w:lvlText w:val="•"/>
      <w:lvlJc w:val="left"/>
      <w:pPr>
        <w:tabs>
          <w:tab w:val="num" w:pos="720"/>
        </w:tabs>
        <w:ind w:left="720" w:hanging="360"/>
      </w:pPr>
      <w:rPr>
        <w:rFonts w:ascii="Arial" w:hAnsi="Arial" w:hint="default"/>
      </w:rPr>
    </w:lvl>
    <w:lvl w:ilvl="1" w:tplc="638EB5A6" w:tentative="1">
      <w:start w:val="1"/>
      <w:numFmt w:val="bullet"/>
      <w:lvlText w:val="•"/>
      <w:lvlJc w:val="left"/>
      <w:pPr>
        <w:tabs>
          <w:tab w:val="num" w:pos="1440"/>
        </w:tabs>
        <w:ind w:left="1440" w:hanging="360"/>
      </w:pPr>
      <w:rPr>
        <w:rFonts w:ascii="Arial" w:hAnsi="Arial" w:hint="default"/>
      </w:rPr>
    </w:lvl>
    <w:lvl w:ilvl="2" w:tplc="3D820D58" w:tentative="1">
      <w:start w:val="1"/>
      <w:numFmt w:val="bullet"/>
      <w:lvlText w:val="•"/>
      <w:lvlJc w:val="left"/>
      <w:pPr>
        <w:tabs>
          <w:tab w:val="num" w:pos="2160"/>
        </w:tabs>
        <w:ind w:left="2160" w:hanging="360"/>
      </w:pPr>
      <w:rPr>
        <w:rFonts w:ascii="Arial" w:hAnsi="Arial" w:hint="default"/>
      </w:rPr>
    </w:lvl>
    <w:lvl w:ilvl="3" w:tplc="237A5CE0" w:tentative="1">
      <w:start w:val="1"/>
      <w:numFmt w:val="bullet"/>
      <w:lvlText w:val="•"/>
      <w:lvlJc w:val="left"/>
      <w:pPr>
        <w:tabs>
          <w:tab w:val="num" w:pos="2880"/>
        </w:tabs>
        <w:ind w:left="2880" w:hanging="360"/>
      </w:pPr>
      <w:rPr>
        <w:rFonts w:ascii="Arial" w:hAnsi="Arial" w:hint="default"/>
      </w:rPr>
    </w:lvl>
    <w:lvl w:ilvl="4" w:tplc="647EA42A" w:tentative="1">
      <w:start w:val="1"/>
      <w:numFmt w:val="bullet"/>
      <w:lvlText w:val="•"/>
      <w:lvlJc w:val="left"/>
      <w:pPr>
        <w:tabs>
          <w:tab w:val="num" w:pos="3600"/>
        </w:tabs>
        <w:ind w:left="3600" w:hanging="360"/>
      </w:pPr>
      <w:rPr>
        <w:rFonts w:ascii="Arial" w:hAnsi="Arial" w:hint="default"/>
      </w:rPr>
    </w:lvl>
    <w:lvl w:ilvl="5" w:tplc="8E54C9D2" w:tentative="1">
      <w:start w:val="1"/>
      <w:numFmt w:val="bullet"/>
      <w:lvlText w:val="•"/>
      <w:lvlJc w:val="left"/>
      <w:pPr>
        <w:tabs>
          <w:tab w:val="num" w:pos="4320"/>
        </w:tabs>
        <w:ind w:left="4320" w:hanging="360"/>
      </w:pPr>
      <w:rPr>
        <w:rFonts w:ascii="Arial" w:hAnsi="Arial" w:hint="default"/>
      </w:rPr>
    </w:lvl>
    <w:lvl w:ilvl="6" w:tplc="F4F4F034" w:tentative="1">
      <w:start w:val="1"/>
      <w:numFmt w:val="bullet"/>
      <w:lvlText w:val="•"/>
      <w:lvlJc w:val="left"/>
      <w:pPr>
        <w:tabs>
          <w:tab w:val="num" w:pos="5040"/>
        </w:tabs>
        <w:ind w:left="5040" w:hanging="360"/>
      </w:pPr>
      <w:rPr>
        <w:rFonts w:ascii="Arial" w:hAnsi="Arial" w:hint="default"/>
      </w:rPr>
    </w:lvl>
    <w:lvl w:ilvl="7" w:tplc="B2168E5E" w:tentative="1">
      <w:start w:val="1"/>
      <w:numFmt w:val="bullet"/>
      <w:lvlText w:val="•"/>
      <w:lvlJc w:val="left"/>
      <w:pPr>
        <w:tabs>
          <w:tab w:val="num" w:pos="5760"/>
        </w:tabs>
        <w:ind w:left="5760" w:hanging="360"/>
      </w:pPr>
      <w:rPr>
        <w:rFonts w:ascii="Arial" w:hAnsi="Arial" w:hint="default"/>
      </w:rPr>
    </w:lvl>
    <w:lvl w:ilvl="8" w:tplc="466C11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1B2B43"/>
    <w:multiLevelType w:val="hybridMultilevel"/>
    <w:tmpl w:val="C6B4708E"/>
    <w:lvl w:ilvl="0" w:tplc="5044A620">
      <w:start w:val="9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E2827"/>
    <w:multiLevelType w:val="hybridMultilevel"/>
    <w:tmpl w:val="2ADA3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EA"/>
    <w:multiLevelType w:val="hybridMultilevel"/>
    <w:tmpl w:val="272AFAE2"/>
    <w:lvl w:ilvl="0" w:tplc="6734A42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E87FA1"/>
    <w:multiLevelType w:val="hybridMultilevel"/>
    <w:tmpl w:val="2A426E30"/>
    <w:lvl w:ilvl="0" w:tplc="B762AC3C">
      <w:start w:val="1"/>
      <w:numFmt w:val="bullet"/>
      <w:lvlText w:val="•"/>
      <w:lvlJc w:val="left"/>
      <w:pPr>
        <w:tabs>
          <w:tab w:val="num" w:pos="720"/>
        </w:tabs>
        <w:ind w:left="720" w:hanging="360"/>
      </w:pPr>
      <w:rPr>
        <w:rFonts w:ascii="Arial" w:hAnsi="Arial" w:hint="default"/>
      </w:rPr>
    </w:lvl>
    <w:lvl w:ilvl="1" w:tplc="F0882656" w:tentative="1">
      <w:start w:val="1"/>
      <w:numFmt w:val="bullet"/>
      <w:lvlText w:val="•"/>
      <w:lvlJc w:val="left"/>
      <w:pPr>
        <w:tabs>
          <w:tab w:val="num" w:pos="1440"/>
        </w:tabs>
        <w:ind w:left="1440" w:hanging="360"/>
      </w:pPr>
      <w:rPr>
        <w:rFonts w:ascii="Arial" w:hAnsi="Arial" w:hint="default"/>
      </w:rPr>
    </w:lvl>
    <w:lvl w:ilvl="2" w:tplc="2FDEBBD0" w:tentative="1">
      <w:start w:val="1"/>
      <w:numFmt w:val="bullet"/>
      <w:lvlText w:val="•"/>
      <w:lvlJc w:val="left"/>
      <w:pPr>
        <w:tabs>
          <w:tab w:val="num" w:pos="2160"/>
        </w:tabs>
        <w:ind w:left="2160" w:hanging="360"/>
      </w:pPr>
      <w:rPr>
        <w:rFonts w:ascii="Arial" w:hAnsi="Arial" w:hint="default"/>
      </w:rPr>
    </w:lvl>
    <w:lvl w:ilvl="3" w:tplc="BCFCBF10" w:tentative="1">
      <w:start w:val="1"/>
      <w:numFmt w:val="bullet"/>
      <w:lvlText w:val="•"/>
      <w:lvlJc w:val="left"/>
      <w:pPr>
        <w:tabs>
          <w:tab w:val="num" w:pos="2880"/>
        </w:tabs>
        <w:ind w:left="2880" w:hanging="360"/>
      </w:pPr>
      <w:rPr>
        <w:rFonts w:ascii="Arial" w:hAnsi="Arial" w:hint="default"/>
      </w:rPr>
    </w:lvl>
    <w:lvl w:ilvl="4" w:tplc="484AB990" w:tentative="1">
      <w:start w:val="1"/>
      <w:numFmt w:val="bullet"/>
      <w:lvlText w:val="•"/>
      <w:lvlJc w:val="left"/>
      <w:pPr>
        <w:tabs>
          <w:tab w:val="num" w:pos="3600"/>
        </w:tabs>
        <w:ind w:left="3600" w:hanging="360"/>
      </w:pPr>
      <w:rPr>
        <w:rFonts w:ascii="Arial" w:hAnsi="Arial" w:hint="default"/>
      </w:rPr>
    </w:lvl>
    <w:lvl w:ilvl="5" w:tplc="6100C040" w:tentative="1">
      <w:start w:val="1"/>
      <w:numFmt w:val="bullet"/>
      <w:lvlText w:val="•"/>
      <w:lvlJc w:val="left"/>
      <w:pPr>
        <w:tabs>
          <w:tab w:val="num" w:pos="4320"/>
        </w:tabs>
        <w:ind w:left="4320" w:hanging="360"/>
      </w:pPr>
      <w:rPr>
        <w:rFonts w:ascii="Arial" w:hAnsi="Arial" w:hint="default"/>
      </w:rPr>
    </w:lvl>
    <w:lvl w:ilvl="6" w:tplc="D7C058DC" w:tentative="1">
      <w:start w:val="1"/>
      <w:numFmt w:val="bullet"/>
      <w:lvlText w:val="•"/>
      <w:lvlJc w:val="left"/>
      <w:pPr>
        <w:tabs>
          <w:tab w:val="num" w:pos="5040"/>
        </w:tabs>
        <w:ind w:left="5040" w:hanging="360"/>
      </w:pPr>
      <w:rPr>
        <w:rFonts w:ascii="Arial" w:hAnsi="Arial" w:hint="default"/>
      </w:rPr>
    </w:lvl>
    <w:lvl w:ilvl="7" w:tplc="5D9A7704" w:tentative="1">
      <w:start w:val="1"/>
      <w:numFmt w:val="bullet"/>
      <w:lvlText w:val="•"/>
      <w:lvlJc w:val="left"/>
      <w:pPr>
        <w:tabs>
          <w:tab w:val="num" w:pos="5760"/>
        </w:tabs>
        <w:ind w:left="5760" w:hanging="360"/>
      </w:pPr>
      <w:rPr>
        <w:rFonts w:ascii="Arial" w:hAnsi="Arial" w:hint="default"/>
      </w:rPr>
    </w:lvl>
    <w:lvl w:ilvl="8" w:tplc="3B2421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2E7775"/>
    <w:multiLevelType w:val="hybridMultilevel"/>
    <w:tmpl w:val="0546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92B78"/>
    <w:multiLevelType w:val="hybridMultilevel"/>
    <w:tmpl w:val="87868476"/>
    <w:lvl w:ilvl="0" w:tplc="2AB84A60">
      <w:start w:val="1"/>
      <w:numFmt w:val="bullet"/>
      <w:lvlText w:val="•"/>
      <w:lvlJc w:val="left"/>
      <w:pPr>
        <w:tabs>
          <w:tab w:val="num" w:pos="720"/>
        </w:tabs>
        <w:ind w:left="720" w:hanging="360"/>
      </w:pPr>
      <w:rPr>
        <w:rFonts w:ascii="Arial" w:hAnsi="Arial" w:hint="default"/>
      </w:rPr>
    </w:lvl>
    <w:lvl w:ilvl="1" w:tplc="976EEC52" w:tentative="1">
      <w:start w:val="1"/>
      <w:numFmt w:val="bullet"/>
      <w:lvlText w:val="•"/>
      <w:lvlJc w:val="left"/>
      <w:pPr>
        <w:tabs>
          <w:tab w:val="num" w:pos="1440"/>
        </w:tabs>
        <w:ind w:left="1440" w:hanging="360"/>
      </w:pPr>
      <w:rPr>
        <w:rFonts w:ascii="Arial" w:hAnsi="Arial" w:hint="default"/>
      </w:rPr>
    </w:lvl>
    <w:lvl w:ilvl="2" w:tplc="93BAC5A0" w:tentative="1">
      <w:start w:val="1"/>
      <w:numFmt w:val="bullet"/>
      <w:lvlText w:val="•"/>
      <w:lvlJc w:val="left"/>
      <w:pPr>
        <w:tabs>
          <w:tab w:val="num" w:pos="2160"/>
        </w:tabs>
        <w:ind w:left="2160" w:hanging="360"/>
      </w:pPr>
      <w:rPr>
        <w:rFonts w:ascii="Arial" w:hAnsi="Arial" w:hint="default"/>
      </w:rPr>
    </w:lvl>
    <w:lvl w:ilvl="3" w:tplc="16201B40" w:tentative="1">
      <w:start w:val="1"/>
      <w:numFmt w:val="bullet"/>
      <w:lvlText w:val="•"/>
      <w:lvlJc w:val="left"/>
      <w:pPr>
        <w:tabs>
          <w:tab w:val="num" w:pos="2880"/>
        </w:tabs>
        <w:ind w:left="2880" w:hanging="360"/>
      </w:pPr>
      <w:rPr>
        <w:rFonts w:ascii="Arial" w:hAnsi="Arial" w:hint="default"/>
      </w:rPr>
    </w:lvl>
    <w:lvl w:ilvl="4" w:tplc="ADCE50CC" w:tentative="1">
      <w:start w:val="1"/>
      <w:numFmt w:val="bullet"/>
      <w:lvlText w:val="•"/>
      <w:lvlJc w:val="left"/>
      <w:pPr>
        <w:tabs>
          <w:tab w:val="num" w:pos="3600"/>
        </w:tabs>
        <w:ind w:left="3600" w:hanging="360"/>
      </w:pPr>
      <w:rPr>
        <w:rFonts w:ascii="Arial" w:hAnsi="Arial" w:hint="default"/>
      </w:rPr>
    </w:lvl>
    <w:lvl w:ilvl="5" w:tplc="1C8469D8" w:tentative="1">
      <w:start w:val="1"/>
      <w:numFmt w:val="bullet"/>
      <w:lvlText w:val="•"/>
      <w:lvlJc w:val="left"/>
      <w:pPr>
        <w:tabs>
          <w:tab w:val="num" w:pos="4320"/>
        </w:tabs>
        <w:ind w:left="4320" w:hanging="360"/>
      </w:pPr>
      <w:rPr>
        <w:rFonts w:ascii="Arial" w:hAnsi="Arial" w:hint="default"/>
      </w:rPr>
    </w:lvl>
    <w:lvl w:ilvl="6" w:tplc="009824B4" w:tentative="1">
      <w:start w:val="1"/>
      <w:numFmt w:val="bullet"/>
      <w:lvlText w:val="•"/>
      <w:lvlJc w:val="left"/>
      <w:pPr>
        <w:tabs>
          <w:tab w:val="num" w:pos="5040"/>
        </w:tabs>
        <w:ind w:left="5040" w:hanging="360"/>
      </w:pPr>
      <w:rPr>
        <w:rFonts w:ascii="Arial" w:hAnsi="Arial" w:hint="default"/>
      </w:rPr>
    </w:lvl>
    <w:lvl w:ilvl="7" w:tplc="6FDE10AA" w:tentative="1">
      <w:start w:val="1"/>
      <w:numFmt w:val="bullet"/>
      <w:lvlText w:val="•"/>
      <w:lvlJc w:val="left"/>
      <w:pPr>
        <w:tabs>
          <w:tab w:val="num" w:pos="5760"/>
        </w:tabs>
        <w:ind w:left="5760" w:hanging="360"/>
      </w:pPr>
      <w:rPr>
        <w:rFonts w:ascii="Arial" w:hAnsi="Arial" w:hint="default"/>
      </w:rPr>
    </w:lvl>
    <w:lvl w:ilvl="8" w:tplc="8A3CB6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4C76EF"/>
    <w:multiLevelType w:val="hybridMultilevel"/>
    <w:tmpl w:val="43B4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596580"/>
    <w:multiLevelType w:val="hybridMultilevel"/>
    <w:tmpl w:val="5FFCD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2C016B"/>
    <w:multiLevelType w:val="hybridMultilevel"/>
    <w:tmpl w:val="0AD2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8292C"/>
    <w:multiLevelType w:val="hybridMultilevel"/>
    <w:tmpl w:val="834C8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B4DE3"/>
    <w:multiLevelType w:val="hybridMultilevel"/>
    <w:tmpl w:val="88A8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65F1B"/>
    <w:multiLevelType w:val="hybridMultilevel"/>
    <w:tmpl w:val="D7E883D6"/>
    <w:lvl w:ilvl="0" w:tplc="2E6C6DDE">
      <w:start w:val="1"/>
      <w:numFmt w:val="bullet"/>
      <w:lvlText w:val="•"/>
      <w:lvlJc w:val="left"/>
      <w:pPr>
        <w:tabs>
          <w:tab w:val="num" w:pos="720"/>
        </w:tabs>
        <w:ind w:left="720" w:hanging="360"/>
      </w:pPr>
      <w:rPr>
        <w:rFonts w:ascii="Arial" w:hAnsi="Arial" w:hint="default"/>
      </w:rPr>
    </w:lvl>
    <w:lvl w:ilvl="1" w:tplc="7504A7A4" w:tentative="1">
      <w:start w:val="1"/>
      <w:numFmt w:val="bullet"/>
      <w:lvlText w:val="•"/>
      <w:lvlJc w:val="left"/>
      <w:pPr>
        <w:tabs>
          <w:tab w:val="num" w:pos="1440"/>
        </w:tabs>
        <w:ind w:left="1440" w:hanging="360"/>
      </w:pPr>
      <w:rPr>
        <w:rFonts w:ascii="Arial" w:hAnsi="Arial" w:hint="default"/>
      </w:rPr>
    </w:lvl>
    <w:lvl w:ilvl="2" w:tplc="D57EF6B2" w:tentative="1">
      <w:start w:val="1"/>
      <w:numFmt w:val="bullet"/>
      <w:lvlText w:val="•"/>
      <w:lvlJc w:val="left"/>
      <w:pPr>
        <w:tabs>
          <w:tab w:val="num" w:pos="2160"/>
        </w:tabs>
        <w:ind w:left="2160" w:hanging="360"/>
      </w:pPr>
      <w:rPr>
        <w:rFonts w:ascii="Arial" w:hAnsi="Arial" w:hint="default"/>
      </w:rPr>
    </w:lvl>
    <w:lvl w:ilvl="3" w:tplc="A08A4B7C" w:tentative="1">
      <w:start w:val="1"/>
      <w:numFmt w:val="bullet"/>
      <w:lvlText w:val="•"/>
      <w:lvlJc w:val="left"/>
      <w:pPr>
        <w:tabs>
          <w:tab w:val="num" w:pos="2880"/>
        </w:tabs>
        <w:ind w:left="2880" w:hanging="360"/>
      </w:pPr>
      <w:rPr>
        <w:rFonts w:ascii="Arial" w:hAnsi="Arial" w:hint="default"/>
      </w:rPr>
    </w:lvl>
    <w:lvl w:ilvl="4" w:tplc="464642C0" w:tentative="1">
      <w:start w:val="1"/>
      <w:numFmt w:val="bullet"/>
      <w:lvlText w:val="•"/>
      <w:lvlJc w:val="left"/>
      <w:pPr>
        <w:tabs>
          <w:tab w:val="num" w:pos="3600"/>
        </w:tabs>
        <w:ind w:left="3600" w:hanging="360"/>
      </w:pPr>
      <w:rPr>
        <w:rFonts w:ascii="Arial" w:hAnsi="Arial" w:hint="default"/>
      </w:rPr>
    </w:lvl>
    <w:lvl w:ilvl="5" w:tplc="1AB87C42" w:tentative="1">
      <w:start w:val="1"/>
      <w:numFmt w:val="bullet"/>
      <w:lvlText w:val="•"/>
      <w:lvlJc w:val="left"/>
      <w:pPr>
        <w:tabs>
          <w:tab w:val="num" w:pos="4320"/>
        </w:tabs>
        <w:ind w:left="4320" w:hanging="360"/>
      </w:pPr>
      <w:rPr>
        <w:rFonts w:ascii="Arial" w:hAnsi="Arial" w:hint="default"/>
      </w:rPr>
    </w:lvl>
    <w:lvl w:ilvl="6" w:tplc="6332DE70" w:tentative="1">
      <w:start w:val="1"/>
      <w:numFmt w:val="bullet"/>
      <w:lvlText w:val="•"/>
      <w:lvlJc w:val="left"/>
      <w:pPr>
        <w:tabs>
          <w:tab w:val="num" w:pos="5040"/>
        </w:tabs>
        <w:ind w:left="5040" w:hanging="360"/>
      </w:pPr>
      <w:rPr>
        <w:rFonts w:ascii="Arial" w:hAnsi="Arial" w:hint="default"/>
      </w:rPr>
    </w:lvl>
    <w:lvl w:ilvl="7" w:tplc="0E4CD3C4" w:tentative="1">
      <w:start w:val="1"/>
      <w:numFmt w:val="bullet"/>
      <w:lvlText w:val="•"/>
      <w:lvlJc w:val="left"/>
      <w:pPr>
        <w:tabs>
          <w:tab w:val="num" w:pos="5760"/>
        </w:tabs>
        <w:ind w:left="5760" w:hanging="360"/>
      </w:pPr>
      <w:rPr>
        <w:rFonts w:ascii="Arial" w:hAnsi="Arial" w:hint="default"/>
      </w:rPr>
    </w:lvl>
    <w:lvl w:ilvl="8" w:tplc="A4AE1A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C1188B"/>
    <w:multiLevelType w:val="hybridMultilevel"/>
    <w:tmpl w:val="94A4BAD6"/>
    <w:lvl w:ilvl="0" w:tplc="5952FAA6">
      <w:start w:val="1"/>
      <w:numFmt w:val="bullet"/>
      <w:lvlText w:val="•"/>
      <w:lvlJc w:val="left"/>
      <w:pPr>
        <w:tabs>
          <w:tab w:val="num" w:pos="720"/>
        </w:tabs>
        <w:ind w:left="720" w:hanging="360"/>
      </w:pPr>
      <w:rPr>
        <w:rFonts w:ascii="Arial" w:hAnsi="Arial" w:hint="default"/>
      </w:rPr>
    </w:lvl>
    <w:lvl w:ilvl="1" w:tplc="4DE4745C" w:tentative="1">
      <w:start w:val="1"/>
      <w:numFmt w:val="bullet"/>
      <w:lvlText w:val="•"/>
      <w:lvlJc w:val="left"/>
      <w:pPr>
        <w:tabs>
          <w:tab w:val="num" w:pos="1440"/>
        </w:tabs>
        <w:ind w:left="1440" w:hanging="360"/>
      </w:pPr>
      <w:rPr>
        <w:rFonts w:ascii="Arial" w:hAnsi="Arial" w:hint="default"/>
      </w:rPr>
    </w:lvl>
    <w:lvl w:ilvl="2" w:tplc="5A4ED8BE" w:tentative="1">
      <w:start w:val="1"/>
      <w:numFmt w:val="bullet"/>
      <w:lvlText w:val="•"/>
      <w:lvlJc w:val="left"/>
      <w:pPr>
        <w:tabs>
          <w:tab w:val="num" w:pos="2160"/>
        </w:tabs>
        <w:ind w:left="2160" w:hanging="360"/>
      </w:pPr>
      <w:rPr>
        <w:rFonts w:ascii="Arial" w:hAnsi="Arial" w:hint="default"/>
      </w:rPr>
    </w:lvl>
    <w:lvl w:ilvl="3" w:tplc="A2CAC1EA" w:tentative="1">
      <w:start w:val="1"/>
      <w:numFmt w:val="bullet"/>
      <w:lvlText w:val="•"/>
      <w:lvlJc w:val="left"/>
      <w:pPr>
        <w:tabs>
          <w:tab w:val="num" w:pos="2880"/>
        </w:tabs>
        <w:ind w:left="2880" w:hanging="360"/>
      </w:pPr>
      <w:rPr>
        <w:rFonts w:ascii="Arial" w:hAnsi="Arial" w:hint="default"/>
      </w:rPr>
    </w:lvl>
    <w:lvl w:ilvl="4" w:tplc="C570F626" w:tentative="1">
      <w:start w:val="1"/>
      <w:numFmt w:val="bullet"/>
      <w:lvlText w:val="•"/>
      <w:lvlJc w:val="left"/>
      <w:pPr>
        <w:tabs>
          <w:tab w:val="num" w:pos="3600"/>
        </w:tabs>
        <w:ind w:left="3600" w:hanging="360"/>
      </w:pPr>
      <w:rPr>
        <w:rFonts w:ascii="Arial" w:hAnsi="Arial" w:hint="default"/>
      </w:rPr>
    </w:lvl>
    <w:lvl w:ilvl="5" w:tplc="B7DE33C8" w:tentative="1">
      <w:start w:val="1"/>
      <w:numFmt w:val="bullet"/>
      <w:lvlText w:val="•"/>
      <w:lvlJc w:val="left"/>
      <w:pPr>
        <w:tabs>
          <w:tab w:val="num" w:pos="4320"/>
        </w:tabs>
        <w:ind w:left="4320" w:hanging="360"/>
      </w:pPr>
      <w:rPr>
        <w:rFonts w:ascii="Arial" w:hAnsi="Arial" w:hint="default"/>
      </w:rPr>
    </w:lvl>
    <w:lvl w:ilvl="6" w:tplc="DC02FCB6" w:tentative="1">
      <w:start w:val="1"/>
      <w:numFmt w:val="bullet"/>
      <w:lvlText w:val="•"/>
      <w:lvlJc w:val="left"/>
      <w:pPr>
        <w:tabs>
          <w:tab w:val="num" w:pos="5040"/>
        </w:tabs>
        <w:ind w:left="5040" w:hanging="360"/>
      </w:pPr>
      <w:rPr>
        <w:rFonts w:ascii="Arial" w:hAnsi="Arial" w:hint="default"/>
      </w:rPr>
    </w:lvl>
    <w:lvl w:ilvl="7" w:tplc="5A88A65E" w:tentative="1">
      <w:start w:val="1"/>
      <w:numFmt w:val="bullet"/>
      <w:lvlText w:val="•"/>
      <w:lvlJc w:val="left"/>
      <w:pPr>
        <w:tabs>
          <w:tab w:val="num" w:pos="5760"/>
        </w:tabs>
        <w:ind w:left="5760" w:hanging="360"/>
      </w:pPr>
      <w:rPr>
        <w:rFonts w:ascii="Arial" w:hAnsi="Arial" w:hint="default"/>
      </w:rPr>
    </w:lvl>
    <w:lvl w:ilvl="8" w:tplc="F558E4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11172A"/>
    <w:multiLevelType w:val="hybridMultilevel"/>
    <w:tmpl w:val="6C10F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0C1F80"/>
    <w:multiLevelType w:val="hybridMultilevel"/>
    <w:tmpl w:val="4426ED9C"/>
    <w:lvl w:ilvl="0" w:tplc="A6AEF81A">
      <w:start w:val="1"/>
      <w:numFmt w:val="bullet"/>
      <w:lvlText w:val="•"/>
      <w:lvlJc w:val="left"/>
      <w:pPr>
        <w:tabs>
          <w:tab w:val="num" w:pos="274"/>
        </w:tabs>
        <w:ind w:left="274" w:hanging="360"/>
      </w:pPr>
      <w:rPr>
        <w:rFonts w:ascii="Arial" w:hAnsi="Arial" w:hint="default"/>
      </w:rPr>
    </w:lvl>
    <w:lvl w:ilvl="1" w:tplc="08090003" w:tentative="1">
      <w:start w:val="1"/>
      <w:numFmt w:val="bullet"/>
      <w:lvlText w:val="o"/>
      <w:lvlJc w:val="left"/>
      <w:pPr>
        <w:ind w:left="994" w:hanging="360"/>
      </w:pPr>
      <w:rPr>
        <w:rFonts w:ascii="Courier New" w:hAnsi="Courier New" w:cs="Courier New" w:hint="default"/>
      </w:rPr>
    </w:lvl>
    <w:lvl w:ilvl="2" w:tplc="08090005" w:tentative="1">
      <w:start w:val="1"/>
      <w:numFmt w:val="bullet"/>
      <w:lvlText w:val=""/>
      <w:lvlJc w:val="left"/>
      <w:pPr>
        <w:ind w:left="1714" w:hanging="360"/>
      </w:pPr>
      <w:rPr>
        <w:rFonts w:ascii="Wingdings" w:hAnsi="Wingdings" w:hint="default"/>
      </w:rPr>
    </w:lvl>
    <w:lvl w:ilvl="3" w:tplc="08090001" w:tentative="1">
      <w:start w:val="1"/>
      <w:numFmt w:val="bullet"/>
      <w:lvlText w:val=""/>
      <w:lvlJc w:val="left"/>
      <w:pPr>
        <w:ind w:left="2434" w:hanging="360"/>
      </w:pPr>
      <w:rPr>
        <w:rFonts w:ascii="Symbol" w:hAnsi="Symbol" w:hint="default"/>
      </w:rPr>
    </w:lvl>
    <w:lvl w:ilvl="4" w:tplc="08090003" w:tentative="1">
      <w:start w:val="1"/>
      <w:numFmt w:val="bullet"/>
      <w:lvlText w:val="o"/>
      <w:lvlJc w:val="left"/>
      <w:pPr>
        <w:ind w:left="3154" w:hanging="360"/>
      </w:pPr>
      <w:rPr>
        <w:rFonts w:ascii="Courier New" w:hAnsi="Courier New" w:cs="Courier New" w:hint="default"/>
      </w:rPr>
    </w:lvl>
    <w:lvl w:ilvl="5" w:tplc="08090005" w:tentative="1">
      <w:start w:val="1"/>
      <w:numFmt w:val="bullet"/>
      <w:lvlText w:val=""/>
      <w:lvlJc w:val="left"/>
      <w:pPr>
        <w:ind w:left="3874" w:hanging="360"/>
      </w:pPr>
      <w:rPr>
        <w:rFonts w:ascii="Wingdings" w:hAnsi="Wingdings" w:hint="default"/>
      </w:rPr>
    </w:lvl>
    <w:lvl w:ilvl="6" w:tplc="08090001" w:tentative="1">
      <w:start w:val="1"/>
      <w:numFmt w:val="bullet"/>
      <w:lvlText w:val=""/>
      <w:lvlJc w:val="left"/>
      <w:pPr>
        <w:ind w:left="4594" w:hanging="360"/>
      </w:pPr>
      <w:rPr>
        <w:rFonts w:ascii="Symbol" w:hAnsi="Symbol" w:hint="default"/>
      </w:rPr>
    </w:lvl>
    <w:lvl w:ilvl="7" w:tplc="08090003" w:tentative="1">
      <w:start w:val="1"/>
      <w:numFmt w:val="bullet"/>
      <w:lvlText w:val="o"/>
      <w:lvlJc w:val="left"/>
      <w:pPr>
        <w:ind w:left="5314" w:hanging="360"/>
      </w:pPr>
      <w:rPr>
        <w:rFonts w:ascii="Courier New" w:hAnsi="Courier New" w:cs="Courier New" w:hint="default"/>
      </w:rPr>
    </w:lvl>
    <w:lvl w:ilvl="8" w:tplc="08090005" w:tentative="1">
      <w:start w:val="1"/>
      <w:numFmt w:val="bullet"/>
      <w:lvlText w:val=""/>
      <w:lvlJc w:val="left"/>
      <w:pPr>
        <w:ind w:left="6034" w:hanging="360"/>
      </w:pPr>
      <w:rPr>
        <w:rFonts w:ascii="Wingdings" w:hAnsi="Wingdings" w:hint="default"/>
      </w:rPr>
    </w:lvl>
  </w:abstractNum>
  <w:abstractNum w:abstractNumId="21" w15:restartNumberingAfterBreak="0">
    <w:nsid w:val="721027D4"/>
    <w:multiLevelType w:val="multilevel"/>
    <w:tmpl w:val="5C5A5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0724B"/>
    <w:multiLevelType w:val="hybridMultilevel"/>
    <w:tmpl w:val="63BA40C8"/>
    <w:lvl w:ilvl="0" w:tplc="A400359A">
      <w:start w:val="1"/>
      <w:numFmt w:val="decimal"/>
      <w:lvlText w:val="%1."/>
      <w:lvlJc w:val="left"/>
      <w:pPr>
        <w:ind w:left="360" w:hanging="360"/>
      </w:pPr>
      <w:rPr>
        <w:rFonts w:hint="default"/>
        <w:sz w:val="24"/>
        <w:szCs w:val="24"/>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2869B2"/>
    <w:multiLevelType w:val="hybridMultilevel"/>
    <w:tmpl w:val="31F60252"/>
    <w:lvl w:ilvl="0" w:tplc="56763E64">
      <w:start w:val="1"/>
      <w:numFmt w:val="bullet"/>
      <w:lvlText w:val="•"/>
      <w:lvlJc w:val="left"/>
      <w:pPr>
        <w:tabs>
          <w:tab w:val="num" w:pos="720"/>
        </w:tabs>
        <w:ind w:left="720" w:hanging="360"/>
      </w:pPr>
      <w:rPr>
        <w:rFonts w:ascii="Arial" w:hAnsi="Arial" w:hint="default"/>
      </w:rPr>
    </w:lvl>
    <w:lvl w:ilvl="1" w:tplc="CDFCFD0E" w:tentative="1">
      <w:start w:val="1"/>
      <w:numFmt w:val="bullet"/>
      <w:lvlText w:val="•"/>
      <w:lvlJc w:val="left"/>
      <w:pPr>
        <w:tabs>
          <w:tab w:val="num" w:pos="1440"/>
        </w:tabs>
        <w:ind w:left="1440" w:hanging="360"/>
      </w:pPr>
      <w:rPr>
        <w:rFonts w:ascii="Arial" w:hAnsi="Arial" w:hint="default"/>
      </w:rPr>
    </w:lvl>
    <w:lvl w:ilvl="2" w:tplc="C18E0BFE" w:tentative="1">
      <w:start w:val="1"/>
      <w:numFmt w:val="bullet"/>
      <w:lvlText w:val="•"/>
      <w:lvlJc w:val="left"/>
      <w:pPr>
        <w:tabs>
          <w:tab w:val="num" w:pos="2160"/>
        </w:tabs>
        <w:ind w:left="2160" w:hanging="360"/>
      </w:pPr>
      <w:rPr>
        <w:rFonts w:ascii="Arial" w:hAnsi="Arial" w:hint="default"/>
      </w:rPr>
    </w:lvl>
    <w:lvl w:ilvl="3" w:tplc="9328D566" w:tentative="1">
      <w:start w:val="1"/>
      <w:numFmt w:val="bullet"/>
      <w:lvlText w:val="•"/>
      <w:lvlJc w:val="left"/>
      <w:pPr>
        <w:tabs>
          <w:tab w:val="num" w:pos="2880"/>
        </w:tabs>
        <w:ind w:left="2880" w:hanging="360"/>
      </w:pPr>
      <w:rPr>
        <w:rFonts w:ascii="Arial" w:hAnsi="Arial" w:hint="default"/>
      </w:rPr>
    </w:lvl>
    <w:lvl w:ilvl="4" w:tplc="276CC9E4" w:tentative="1">
      <w:start w:val="1"/>
      <w:numFmt w:val="bullet"/>
      <w:lvlText w:val="•"/>
      <w:lvlJc w:val="left"/>
      <w:pPr>
        <w:tabs>
          <w:tab w:val="num" w:pos="3600"/>
        </w:tabs>
        <w:ind w:left="3600" w:hanging="360"/>
      </w:pPr>
      <w:rPr>
        <w:rFonts w:ascii="Arial" w:hAnsi="Arial" w:hint="default"/>
      </w:rPr>
    </w:lvl>
    <w:lvl w:ilvl="5" w:tplc="BF34E62C" w:tentative="1">
      <w:start w:val="1"/>
      <w:numFmt w:val="bullet"/>
      <w:lvlText w:val="•"/>
      <w:lvlJc w:val="left"/>
      <w:pPr>
        <w:tabs>
          <w:tab w:val="num" w:pos="4320"/>
        </w:tabs>
        <w:ind w:left="4320" w:hanging="360"/>
      </w:pPr>
      <w:rPr>
        <w:rFonts w:ascii="Arial" w:hAnsi="Arial" w:hint="default"/>
      </w:rPr>
    </w:lvl>
    <w:lvl w:ilvl="6" w:tplc="EAD6B498" w:tentative="1">
      <w:start w:val="1"/>
      <w:numFmt w:val="bullet"/>
      <w:lvlText w:val="•"/>
      <w:lvlJc w:val="left"/>
      <w:pPr>
        <w:tabs>
          <w:tab w:val="num" w:pos="5040"/>
        </w:tabs>
        <w:ind w:left="5040" w:hanging="360"/>
      </w:pPr>
      <w:rPr>
        <w:rFonts w:ascii="Arial" w:hAnsi="Arial" w:hint="default"/>
      </w:rPr>
    </w:lvl>
    <w:lvl w:ilvl="7" w:tplc="E3BA0D84" w:tentative="1">
      <w:start w:val="1"/>
      <w:numFmt w:val="bullet"/>
      <w:lvlText w:val="•"/>
      <w:lvlJc w:val="left"/>
      <w:pPr>
        <w:tabs>
          <w:tab w:val="num" w:pos="5760"/>
        </w:tabs>
        <w:ind w:left="5760" w:hanging="360"/>
      </w:pPr>
      <w:rPr>
        <w:rFonts w:ascii="Arial" w:hAnsi="Arial" w:hint="default"/>
      </w:rPr>
    </w:lvl>
    <w:lvl w:ilvl="8" w:tplc="FC24793A" w:tentative="1">
      <w:start w:val="1"/>
      <w:numFmt w:val="bullet"/>
      <w:lvlText w:val="•"/>
      <w:lvlJc w:val="left"/>
      <w:pPr>
        <w:tabs>
          <w:tab w:val="num" w:pos="6480"/>
        </w:tabs>
        <w:ind w:left="6480" w:hanging="360"/>
      </w:pPr>
      <w:rPr>
        <w:rFonts w:ascii="Arial" w:hAnsi="Arial" w:hint="default"/>
      </w:rPr>
    </w:lvl>
  </w:abstractNum>
  <w:num w:numId="1" w16cid:durableId="1672247667">
    <w:abstractNumId w:val="22"/>
  </w:num>
  <w:num w:numId="2" w16cid:durableId="548103451">
    <w:abstractNumId w:val="7"/>
  </w:num>
  <w:num w:numId="3" w16cid:durableId="90126158">
    <w:abstractNumId w:val="13"/>
  </w:num>
  <w:num w:numId="4" w16cid:durableId="639113362">
    <w:abstractNumId w:val="14"/>
  </w:num>
  <w:num w:numId="5" w16cid:durableId="112134759">
    <w:abstractNumId w:val="10"/>
  </w:num>
  <w:num w:numId="6" w16cid:durableId="662322301">
    <w:abstractNumId w:val="21"/>
  </w:num>
  <w:num w:numId="7" w16cid:durableId="413747018">
    <w:abstractNumId w:val="4"/>
  </w:num>
  <w:num w:numId="8" w16cid:durableId="479275960">
    <w:abstractNumId w:val="6"/>
  </w:num>
  <w:num w:numId="9" w16cid:durableId="1362365782">
    <w:abstractNumId w:val="23"/>
  </w:num>
  <w:num w:numId="10" w16cid:durableId="1090584725">
    <w:abstractNumId w:val="17"/>
  </w:num>
  <w:num w:numId="11" w16cid:durableId="2145073576">
    <w:abstractNumId w:val="9"/>
  </w:num>
  <w:num w:numId="12" w16cid:durableId="640352426">
    <w:abstractNumId w:val="5"/>
  </w:num>
  <w:num w:numId="13" w16cid:durableId="1463310352">
    <w:abstractNumId w:val="1"/>
  </w:num>
  <w:num w:numId="14" w16cid:durableId="435952345">
    <w:abstractNumId w:val="18"/>
  </w:num>
  <w:num w:numId="15" w16cid:durableId="1822308810">
    <w:abstractNumId w:val="11"/>
  </w:num>
  <w:num w:numId="16" w16cid:durableId="1717926367">
    <w:abstractNumId w:val="20"/>
  </w:num>
  <w:num w:numId="17" w16cid:durableId="1482506789">
    <w:abstractNumId w:val="2"/>
  </w:num>
  <w:num w:numId="18" w16cid:durableId="1046761692">
    <w:abstractNumId w:val="16"/>
  </w:num>
  <w:num w:numId="19" w16cid:durableId="101465234">
    <w:abstractNumId w:val="8"/>
  </w:num>
  <w:num w:numId="20" w16cid:durableId="1016150756">
    <w:abstractNumId w:val="3"/>
  </w:num>
  <w:num w:numId="21" w16cid:durableId="311954724">
    <w:abstractNumId w:val="12"/>
  </w:num>
  <w:num w:numId="22" w16cid:durableId="1915050135">
    <w:abstractNumId w:val="15"/>
  </w:num>
  <w:num w:numId="23" w16cid:durableId="242227982">
    <w:abstractNumId w:val="19"/>
  </w:num>
  <w:num w:numId="24" w16cid:durableId="68906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0"/>
    <w:rsid w:val="0000021A"/>
    <w:rsid w:val="00004D7F"/>
    <w:rsid w:val="0001346C"/>
    <w:rsid w:val="00030A92"/>
    <w:rsid w:val="0003423C"/>
    <w:rsid w:val="00035C42"/>
    <w:rsid w:val="00042A70"/>
    <w:rsid w:val="00043C41"/>
    <w:rsid w:val="000453B6"/>
    <w:rsid w:val="00055DCB"/>
    <w:rsid w:val="000565F4"/>
    <w:rsid w:val="00060BD5"/>
    <w:rsid w:val="00062E7F"/>
    <w:rsid w:val="00065CF2"/>
    <w:rsid w:val="00065DD8"/>
    <w:rsid w:val="0007014A"/>
    <w:rsid w:val="00070469"/>
    <w:rsid w:val="00070612"/>
    <w:rsid w:val="00070729"/>
    <w:rsid w:val="0007118D"/>
    <w:rsid w:val="00076880"/>
    <w:rsid w:val="00076A83"/>
    <w:rsid w:val="000807A9"/>
    <w:rsid w:val="00085084"/>
    <w:rsid w:val="0008690F"/>
    <w:rsid w:val="00087126"/>
    <w:rsid w:val="00092AB3"/>
    <w:rsid w:val="000A22E4"/>
    <w:rsid w:val="000B7C53"/>
    <w:rsid w:val="000C3103"/>
    <w:rsid w:val="000C511C"/>
    <w:rsid w:val="000D5F88"/>
    <w:rsid w:val="000E0E5D"/>
    <w:rsid w:val="000E3149"/>
    <w:rsid w:val="000E618D"/>
    <w:rsid w:val="000F4F6E"/>
    <w:rsid w:val="000F5061"/>
    <w:rsid w:val="000F72A9"/>
    <w:rsid w:val="0010098E"/>
    <w:rsid w:val="00105BE3"/>
    <w:rsid w:val="00106831"/>
    <w:rsid w:val="00112783"/>
    <w:rsid w:val="00113304"/>
    <w:rsid w:val="00114C87"/>
    <w:rsid w:val="00116773"/>
    <w:rsid w:val="00117F6E"/>
    <w:rsid w:val="00122A72"/>
    <w:rsid w:val="00123A16"/>
    <w:rsid w:val="00132045"/>
    <w:rsid w:val="00134237"/>
    <w:rsid w:val="00144717"/>
    <w:rsid w:val="00155072"/>
    <w:rsid w:val="00161037"/>
    <w:rsid w:val="00162DBB"/>
    <w:rsid w:val="0016458B"/>
    <w:rsid w:val="001675E1"/>
    <w:rsid w:val="00171E34"/>
    <w:rsid w:val="00173B20"/>
    <w:rsid w:val="001745CE"/>
    <w:rsid w:val="00177875"/>
    <w:rsid w:val="00177D80"/>
    <w:rsid w:val="00187134"/>
    <w:rsid w:val="001900D0"/>
    <w:rsid w:val="00190B45"/>
    <w:rsid w:val="00195DEC"/>
    <w:rsid w:val="001A43A9"/>
    <w:rsid w:val="001B3DE9"/>
    <w:rsid w:val="001B6463"/>
    <w:rsid w:val="001C28BC"/>
    <w:rsid w:val="001C39BE"/>
    <w:rsid w:val="001C3A51"/>
    <w:rsid w:val="001D0682"/>
    <w:rsid w:val="001D11F8"/>
    <w:rsid w:val="001D2AE4"/>
    <w:rsid w:val="001D326C"/>
    <w:rsid w:val="001D7F2E"/>
    <w:rsid w:val="001E1DB2"/>
    <w:rsid w:val="001F134C"/>
    <w:rsid w:val="001F251B"/>
    <w:rsid w:val="001F4F89"/>
    <w:rsid w:val="001F65F1"/>
    <w:rsid w:val="00206DA8"/>
    <w:rsid w:val="00210208"/>
    <w:rsid w:val="002129D6"/>
    <w:rsid w:val="002146B3"/>
    <w:rsid w:val="0022041C"/>
    <w:rsid w:val="00220898"/>
    <w:rsid w:val="00221AF6"/>
    <w:rsid w:val="00222682"/>
    <w:rsid w:val="00230B26"/>
    <w:rsid w:val="00230CA0"/>
    <w:rsid w:val="00232553"/>
    <w:rsid w:val="00233EA2"/>
    <w:rsid w:val="00234F52"/>
    <w:rsid w:val="00235215"/>
    <w:rsid w:val="002353D8"/>
    <w:rsid w:val="00240379"/>
    <w:rsid w:val="00242423"/>
    <w:rsid w:val="00253E03"/>
    <w:rsid w:val="00253F33"/>
    <w:rsid w:val="00255605"/>
    <w:rsid w:val="00255FF0"/>
    <w:rsid w:val="00256E06"/>
    <w:rsid w:val="0025744F"/>
    <w:rsid w:val="00263571"/>
    <w:rsid w:val="00263F8D"/>
    <w:rsid w:val="00272ACE"/>
    <w:rsid w:val="00273126"/>
    <w:rsid w:val="002830A0"/>
    <w:rsid w:val="00283656"/>
    <w:rsid w:val="00283705"/>
    <w:rsid w:val="00291EC9"/>
    <w:rsid w:val="00295814"/>
    <w:rsid w:val="00297429"/>
    <w:rsid w:val="002A13DB"/>
    <w:rsid w:val="002A1933"/>
    <w:rsid w:val="002A1A86"/>
    <w:rsid w:val="002A400F"/>
    <w:rsid w:val="002A4223"/>
    <w:rsid w:val="002A4832"/>
    <w:rsid w:val="002A4E81"/>
    <w:rsid w:val="002C4F06"/>
    <w:rsid w:val="002E2FA9"/>
    <w:rsid w:val="002E61D9"/>
    <w:rsid w:val="002E79C8"/>
    <w:rsid w:val="002F1DAB"/>
    <w:rsid w:val="00300297"/>
    <w:rsid w:val="0030104C"/>
    <w:rsid w:val="00301263"/>
    <w:rsid w:val="003069E0"/>
    <w:rsid w:val="00307895"/>
    <w:rsid w:val="00312894"/>
    <w:rsid w:val="003129D4"/>
    <w:rsid w:val="00315C92"/>
    <w:rsid w:val="003257ED"/>
    <w:rsid w:val="00326FE2"/>
    <w:rsid w:val="00327CAE"/>
    <w:rsid w:val="00327D1D"/>
    <w:rsid w:val="00331609"/>
    <w:rsid w:val="00333975"/>
    <w:rsid w:val="003354F5"/>
    <w:rsid w:val="00344D18"/>
    <w:rsid w:val="00354CE4"/>
    <w:rsid w:val="00357BFE"/>
    <w:rsid w:val="00360563"/>
    <w:rsid w:val="003668D9"/>
    <w:rsid w:val="003800F3"/>
    <w:rsid w:val="003A1119"/>
    <w:rsid w:val="003A44A8"/>
    <w:rsid w:val="003B0093"/>
    <w:rsid w:val="003B403A"/>
    <w:rsid w:val="003C0479"/>
    <w:rsid w:val="003C0BAB"/>
    <w:rsid w:val="003D744B"/>
    <w:rsid w:val="003E1995"/>
    <w:rsid w:val="003E2542"/>
    <w:rsid w:val="003E4256"/>
    <w:rsid w:val="003E5B5C"/>
    <w:rsid w:val="0040655C"/>
    <w:rsid w:val="00406D41"/>
    <w:rsid w:val="00420E50"/>
    <w:rsid w:val="004275A6"/>
    <w:rsid w:val="00427745"/>
    <w:rsid w:val="00431DD7"/>
    <w:rsid w:val="00435491"/>
    <w:rsid w:val="00437E74"/>
    <w:rsid w:val="00443DD6"/>
    <w:rsid w:val="00451B2F"/>
    <w:rsid w:val="00454989"/>
    <w:rsid w:val="004603C5"/>
    <w:rsid w:val="00461093"/>
    <w:rsid w:val="00462FCD"/>
    <w:rsid w:val="00462FD4"/>
    <w:rsid w:val="0046318A"/>
    <w:rsid w:val="00471BA5"/>
    <w:rsid w:val="00480ED9"/>
    <w:rsid w:val="00484001"/>
    <w:rsid w:val="00484CD4"/>
    <w:rsid w:val="00486280"/>
    <w:rsid w:val="00495ABD"/>
    <w:rsid w:val="0049617E"/>
    <w:rsid w:val="004A6848"/>
    <w:rsid w:val="004A7F38"/>
    <w:rsid w:val="004B65EB"/>
    <w:rsid w:val="004C1E9D"/>
    <w:rsid w:val="004C2B0E"/>
    <w:rsid w:val="004C2DA3"/>
    <w:rsid w:val="004C5464"/>
    <w:rsid w:val="004C5C6C"/>
    <w:rsid w:val="004C6267"/>
    <w:rsid w:val="004D64E8"/>
    <w:rsid w:val="004D78CD"/>
    <w:rsid w:val="004E669F"/>
    <w:rsid w:val="004F006E"/>
    <w:rsid w:val="004F1184"/>
    <w:rsid w:val="004F125B"/>
    <w:rsid w:val="004F130A"/>
    <w:rsid w:val="004F5E95"/>
    <w:rsid w:val="004F687F"/>
    <w:rsid w:val="004F78DD"/>
    <w:rsid w:val="0050384A"/>
    <w:rsid w:val="0050499E"/>
    <w:rsid w:val="0052759C"/>
    <w:rsid w:val="00527D9C"/>
    <w:rsid w:val="005308CA"/>
    <w:rsid w:val="00534310"/>
    <w:rsid w:val="0054366C"/>
    <w:rsid w:val="00546C3C"/>
    <w:rsid w:val="005520C4"/>
    <w:rsid w:val="00560B40"/>
    <w:rsid w:val="00563C4D"/>
    <w:rsid w:val="0057763E"/>
    <w:rsid w:val="00581E84"/>
    <w:rsid w:val="005965B4"/>
    <w:rsid w:val="00597AF7"/>
    <w:rsid w:val="005A4F07"/>
    <w:rsid w:val="005B0517"/>
    <w:rsid w:val="005B50A5"/>
    <w:rsid w:val="005E1AB1"/>
    <w:rsid w:val="005E290C"/>
    <w:rsid w:val="005E5DB7"/>
    <w:rsid w:val="006036A5"/>
    <w:rsid w:val="00606C22"/>
    <w:rsid w:val="006137B0"/>
    <w:rsid w:val="0061753B"/>
    <w:rsid w:val="00617E8A"/>
    <w:rsid w:val="006221D4"/>
    <w:rsid w:val="006233BA"/>
    <w:rsid w:val="00626B25"/>
    <w:rsid w:val="0063047F"/>
    <w:rsid w:val="00632885"/>
    <w:rsid w:val="00632EEF"/>
    <w:rsid w:val="00645D70"/>
    <w:rsid w:val="006504F8"/>
    <w:rsid w:val="006548A0"/>
    <w:rsid w:val="0065701E"/>
    <w:rsid w:val="00664766"/>
    <w:rsid w:val="00671386"/>
    <w:rsid w:val="00671BBD"/>
    <w:rsid w:val="00673F46"/>
    <w:rsid w:val="00674D72"/>
    <w:rsid w:val="00675E5C"/>
    <w:rsid w:val="00680ADD"/>
    <w:rsid w:val="00683E18"/>
    <w:rsid w:val="00684F05"/>
    <w:rsid w:val="00690C30"/>
    <w:rsid w:val="00691763"/>
    <w:rsid w:val="00693756"/>
    <w:rsid w:val="00697B14"/>
    <w:rsid w:val="006A1094"/>
    <w:rsid w:val="006A2802"/>
    <w:rsid w:val="006A35F0"/>
    <w:rsid w:val="006A3CDE"/>
    <w:rsid w:val="006B0C30"/>
    <w:rsid w:val="006B5917"/>
    <w:rsid w:val="006D0C18"/>
    <w:rsid w:val="006D3B70"/>
    <w:rsid w:val="006E1EF3"/>
    <w:rsid w:val="006E2D7B"/>
    <w:rsid w:val="006E5701"/>
    <w:rsid w:val="006E605C"/>
    <w:rsid w:val="006F1E0A"/>
    <w:rsid w:val="006F3A39"/>
    <w:rsid w:val="007031A8"/>
    <w:rsid w:val="00703292"/>
    <w:rsid w:val="00710740"/>
    <w:rsid w:val="007150C0"/>
    <w:rsid w:val="00717B55"/>
    <w:rsid w:val="00731B24"/>
    <w:rsid w:val="00734A77"/>
    <w:rsid w:val="00735FA1"/>
    <w:rsid w:val="00742C47"/>
    <w:rsid w:val="00745323"/>
    <w:rsid w:val="00746589"/>
    <w:rsid w:val="00760DCE"/>
    <w:rsid w:val="0076152B"/>
    <w:rsid w:val="0076365B"/>
    <w:rsid w:val="00764BFD"/>
    <w:rsid w:val="00766C03"/>
    <w:rsid w:val="007734BC"/>
    <w:rsid w:val="007815E8"/>
    <w:rsid w:val="00782281"/>
    <w:rsid w:val="00785B19"/>
    <w:rsid w:val="007954C5"/>
    <w:rsid w:val="00796A53"/>
    <w:rsid w:val="007A1DB5"/>
    <w:rsid w:val="007A1F2B"/>
    <w:rsid w:val="007A4100"/>
    <w:rsid w:val="007A61B0"/>
    <w:rsid w:val="007A7021"/>
    <w:rsid w:val="007C2BA5"/>
    <w:rsid w:val="007C664A"/>
    <w:rsid w:val="007D3689"/>
    <w:rsid w:val="007E1050"/>
    <w:rsid w:val="00805349"/>
    <w:rsid w:val="008060C8"/>
    <w:rsid w:val="008065BB"/>
    <w:rsid w:val="0080754F"/>
    <w:rsid w:val="00814A91"/>
    <w:rsid w:val="00823F4D"/>
    <w:rsid w:val="0082688B"/>
    <w:rsid w:val="00833DDA"/>
    <w:rsid w:val="00834C00"/>
    <w:rsid w:val="00837EE7"/>
    <w:rsid w:val="00841614"/>
    <w:rsid w:val="00847C0C"/>
    <w:rsid w:val="008503F8"/>
    <w:rsid w:val="00854FD9"/>
    <w:rsid w:val="00856444"/>
    <w:rsid w:val="00861D87"/>
    <w:rsid w:val="00864682"/>
    <w:rsid w:val="008656A6"/>
    <w:rsid w:val="00870CAC"/>
    <w:rsid w:val="0087122C"/>
    <w:rsid w:val="00876C87"/>
    <w:rsid w:val="00881D44"/>
    <w:rsid w:val="00882F4F"/>
    <w:rsid w:val="00885107"/>
    <w:rsid w:val="00887B0B"/>
    <w:rsid w:val="00892742"/>
    <w:rsid w:val="008949EC"/>
    <w:rsid w:val="0089537C"/>
    <w:rsid w:val="008B2ECC"/>
    <w:rsid w:val="008B41DD"/>
    <w:rsid w:val="008B42AA"/>
    <w:rsid w:val="008B5E45"/>
    <w:rsid w:val="008B7365"/>
    <w:rsid w:val="008C1A3D"/>
    <w:rsid w:val="008C5ACF"/>
    <w:rsid w:val="008C5D80"/>
    <w:rsid w:val="008D38CF"/>
    <w:rsid w:val="008D70F9"/>
    <w:rsid w:val="008E5938"/>
    <w:rsid w:val="008F4A1B"/>
    <w:rsid w:val="008F5B5D"/>
    <w:rsid w:val="008F62A8"/>
    <w:rsid w:val="0090026E"/>
    <w:rsid w:val="00900880"/>
    <w:rsid w:val="00905C5D"/>
    <w:rsid w:val="00907922"/>
    <w:rsid w:val="00916A0D"/>
    <w:rsid w:val="00916FFC"/>
    <w:rsid w:val="00917802"/>
    <w:rsid w:val="00920A20"/>
    <w:rsid w:val="00921713"/>
    <w:rsid w:val="00926139"/>
    <w:rsid w:val="00933751"/>
    <w:rsid w:val="00934F06"/>
    <w:rsid w:val="0094143B"/>
    <w:rsid w:val="00941D67"/>
    <w:rsid w:val="00944104"/>
    <w:rsid w:val="00946670"/>
    <w:rsid w:val="0096593B"/>
    <w:rsid w:val="00967525"/>
    <w:rsid w:val="00967890"/>
    <w:rsid w:val="00970CCE"/>
    <w:rsid w:val="00970FE5"/>
    <w:rsid w:val="0097117F"/>
    <w:rsid w:val="00971F58"/>
    <w:rsid w:val="009775DB"/>
    <w:rsid w:val="009A07FB"/>
    <w:rsid w:val="009B40FA"/>
    <w:rsid w:val="009C18EB"/>
    <w:rsid w:val="009C1E58"/>
    <w:rsid w:val="009C461D"/>
    <w:rsid w:val="009D3006"/>
    <w:rsid w:val="009D7D5F"/>
    <w:rsid w:val="009E03C0"/>
    <w:rsid w:val="00A05CA0"/>
    <w:rsid w:val="00A14441"/>
    <w:rsid w:val="00A14D60"/>
    <w:rsid w:val="00A244DC"/>
    <w:rsid w:val="00A32A73"/>
    <w:rsid w:val="00A33E14"/>
    <w:rsid w:val="00A37E72"/>
    <w:rsid w:val="00A4794E"/>
    <w:rsid w:val="00A53384"/>
    <w:rsid w:val="00A57A6A"/>
    <w:rsid w:val="00A7091A"/>
    <w:rsid w:val="00A732C9"/>
    <w:rsid w:val="00A753C1"/>
    <w:rsid w:val="00A808B6"/>
    <w:rsid w:val="00A83065"/>
    <w:rsid w:val="00A9439B"/>
    <w:rsid w:val="00AA3099"/>
    <w:rsid w:val="00AB1C7A"/>
    <w:rsid w:val="00AC3A89"/>
    <w:rsid w:val="00AE207E"/>
    <w:rsid w:val="00AE7AF7"/>
    <w:rsid w:val="00AF3E95"/>
    <w:rsid w:val="00AF7DEB"/>
    <w:rsid w:val="00B0511E"/>
    <w:rsid w:val="00B06BFD"/>
    <w:rsid w:val="00B11796"/>
    <w:rsid w:val="00B14335"/>
    <w:rsid w:val="00B22EEC"/>
    <w:rsid w:val="00B312A0"/>
    <w:rsid w:val="00B43CD5"/>
    <w:rsid w:val="00B43F66"/>
    <w:rsid w:val="00B46EAE"/>
    <w:rsid w:val="00B50A58"/>
    <w:rsid w:val="00B52104"/>
    <w:rsid w:val="00B55CB3"/>
    <w:rsid w:val="00B574F7"/>
    <w:rsid w:val="00B72CA5"/>
    <w:rsid w:val="00B75D78"/>
    <w:rsid w:val="00B8500F"/>
    <w:rsid w:val="00B86646"/>
    <w:rsid w:val="00B96988"/>
    <w:rsid w:val="00BA0BAC"/>
    <w:rsid w:val="00BA1894"/>
    <w:rsid w:val="00BA43DF"/>
    <w:rsid w:val="00BA4455"/>
    <w:rsid w:val="00BB4D81"/>
    <w:rsid w:val="00BC09B0"/>
    <w:rsid w:val="00C03383"/>
    <w:rsid w:val="00C04B41"/>
    <w:rsid w:val="00C04CD5"/>
    <w:rsid w:val="00C05F48"/>
    <w:rsid w:val="00C12096"/>
    <w:rsid w:val="00C177C6"/>
    <w:rsid w:val="00C20744"/>
    <w:rsid w:val="00C20FFC"/>
    <w:rsid w:val="00C23D8B"/>
    <w:rsid w:val="00C33E1D"/>
    <w:rsid w:val="00C35098"/>
    <w:rsid w:val="00C4330A"/>
    <w:rsid w:val="00C44E5C"/>
    <w:rsid w:val="00C503E1"/>
    <w:rsid w:val="00C5758B"/>
    <w:rsid w:val="00C60857"/>
    <w:rsid w:val="00C62B4D"/>
    <w:rsid w:val="00C62DBE"/>
    <w:rsid w:val="00C64B81"/>
    <w:rsid w:val="00C73FBD"/>
    <w:rsid w:val="00C77224"/>
    <w:rsid w:val="00C91C1E"/>
    <w:rsid w:val="00C935E8"/>
    <w:rsid w:val="00CB1F9D"/>
    <w:rsid w:val="00CB40C5"/>
    <w:rsid w:val="00CB52DE"/>
    <w:rsid w:val="00CB7A1D"/>
    <w:rsid w:val="00CC24D5"/>
    <w:rsid w:val="00CC2F35"/>
    <w:rsid w:val="00CC48D4"/>
    <w:rsid w:val="00CC6CFC"/>
    <w:rsid w:val="00CC6F6E"/>
    <w:rsid w:val="00CD34B9"/>
    <w:rsid w:val="00CD609D"/>
    <w:rsid w:val="00CD6EE9"/>
    <w:rsid w:val="00CE0952"/>
    <w:rsid w:val="00D02E84"/>
    <w:rsid w:val="00D04F74"/>
    <w:rsid w:val="00D058B5"/>
    <w:rsid w:val="00D17CE3"/>
    <w:rsid w:val="00D22DC3"/>
    <w:rsid w:val="00D251B3"/>
    <w:rsid w:val="00D26B19"/>
    <w:rsid w:val="00D27EDC"/>
    <w:rsid w:val="00D3222B"/>
    <w:rsid w:val="00D37A19"/>
    <w:rsid w:val="00D40204"/>
    <w:rsid w:val="00D40FC4"/>
    <w:rsid w:val="00D436D2"/>
    <w:rsid w:val="00D4399D"/>
    <w:rsid w:val="00D44CC9"/>
    <w:rsid w:val="00D46AFE"/>
    <w:rsid w:val="00D50F3B"/>
    <w:rsid w:val="00D64BEB"/>
    <w:rsid w:val="00D65745"/>
    <w:rsid w:val="00D66777"/>
    <w:rsid w:val="00D70972"/>
    <w:rsid w:val="00D77B2E"/>
    <w:rsid w:val="00D82BAB"/>
    <w:rsid w:val="00D84DCD"/>
    <w:rsid w:val="00D90DF9"/>
    <w:rsid w:val="00D93E10"/>
    <w:rsid w:val="00DA4D46"/>
    <w:rsid w:val="00DA6601"/>
    <w:rsid w:val="00DA7C32"/>
    <w:rsid w:val="00DC6E37"/>
    <w:rsid w:val="00DD4D72"/>
    <w:rsid w:val="00DD597F"/>
    <w:rsid w:val="00DE429A"/>
    <w:rsid w:val="00DF3260"/>
    <w:rsid w:val="00DF4AD0"/>
    <w:rsid w:val="00E022AC"/>
    <w:rsid w:val="00E0339B"/>
    <w:rsid w:val="00E07FF5"/>
    <w:rsid w:val="00E12206"/>
    <w:rsid w:val="00E16D42"/>
    <w:rsid w:val="00E24270"/>
    <w:rsid w:val="00E244C8"/>
    <w:rsid w:val="00E32052"/>
    <w:rsid w:val="00E3206D"/>
    <w:rsid w:val="00E32C93"/>
    <w:rsid w:val="00E34150"/>
    <w:rsid w:val="00E36477"/>
    <w:rsid w:val="00E43797"/>
    <w:rsid w:val="00E44B16"/>
    <w:rsid w:val="00E45E33"/>
    <w:rsid w:val="00E50E8E"/>
    <w:rsid w:val="00E51D75"/>
    <w:rsid w:val="00E527C6"/>
    <w:rsid w:val="00E55958"/>
    <w:rsid w:val="00E5667D"/>
    <w:rsid w:val="00E57B25"/>
    <w:rsid w:val="00E6562B"/>
    <w:rsid w:val="00E666D6"/>
    <w:rsid w:val="00E6738C"/>
    <w:rsid w:val="00E70856"/>
    <w:rsid w:val="00E71588"/>
    <w:rsid w:val="00E71EB6"/>
    <w:rsid w:val="00E75D7D"/>
    <w:rsid w:val="00E7625E"/>
    <w:rsid w:val="00E80CD0"/>
    <w:rsid w:val="00E92866"/>
    <w:rsid w:val="00E92CA9"/>
    <w:rsid w:val="00EA32AB"/>
    <w:rsid w:val="00EA5EF2"/>
    <w:rsid w:val="00EA787B"/>
    <w:rsid w:val="00EA7B99"/>
    <w:rsid w:val="00EB047F"/>
    <w:rsid w:val="00EB1C0F"/>
    <w:rsid w:val="00EB31E4"/>
    <w:rsid w:val="00EB4F10"/>
    <w:rsid w:val="00EC6F14"/>
    <w:rsid w:val="00ED4C15"/>
    <w:rsid w:val="00ED69E8"/>
    <w:rsid w:val="00EF1564"/>
    <w:rsid w:val="00EF27E7"/>
    <w:rsid w:val="00F017E7"/>
    <w:rsid w:val="00F02B2D"/>
    <w:rsid w:val="00F02FA6"/>
    <w:rsid w:val="00F047B7"/>
    <w:rsid w:val="00F1166E"/>
    <w:rsid w:val="00F1354B"/>
    <w:rsid w:val="00F13C77"/>
    <w:rsid w:val="00F22B83"/>
    <w:rsid w:val="00F277F1"/>
    <w:rsid w:val="00F30A5E"/>
    <w:rsid w:val="00F3180F"/>
    <w:rsid w:val="00F32A23"/>
    <w:rsid w:val="00F36069"/>
    <w:rsid w:val="00F41655"/>
    <w:rsid w:val="00F51396"/>
    <w:rsid w:val="00F6352E"/>
    <w:rsid w:val="00F641D7"/>
    <w:rsid w:val="00F72524"/>
    <w:rsid w:val="00F725D4"/>
    <w:rsid w:val="00F731AB"/>
    <w:rsid w:val="00F90C4F"/>
    <w:rsid w:val="00F945F9"/>
    <w:rsid w:val="00F950A8"/>
    <w:rsid w:val="00F97617"/>
    <w:rsid w:val="00FA03DF"/>
    <w:rsid w:val="00FA7123"/>
    <w:rsid w:val="00FA727E"/>
    <w:rsid w:val="00FB07F5"/>
    <w:rsid w:val="00FB6AA9"/>
    <w:rsid w:val="00FD5460"/>
    <w:rsid w:val="00FD6511"/>
    <w:rsid w:val="00FD70A2"/>
    <w:rsid w:val="00FE0803"/>
    <w:rsid w:val="00FE44E7"/>
    <w:rsid w:val="00FE475A"/>
    <w:rsid w:val="00FF20CE"/>
    <w:rsid w:val="00FF4077"/>
    <w:rsid w:val="00FF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3CDC"/>
  <w14:defaultImageDpi w14:val="32767"/>
  <w15:chartTrackingRefBased/>
  <w15:docId w15:val="{0C1A9AA0-26F9-4447-A6EB-006FA4D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0AD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0880"/>
    <w:rPr>
      <w:i/>
      <w:iCs/>
    </w:rPr>
  </w:style>
  <w:style w:type="paragraph" w:styleId="ListParagraph">
    <w:name w:val="List Paragraph"/>
    <w:basedOn w:val="Normal"/>
    <w:uiPriority w:val="34"/>
    <w:qFormat/>
    <w:rsid w:val="00FD6511"/>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EF1564"/>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F156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82BAB"/>
    <w:rPr>
      <w:sz w:val="16"/>
      <w:szCs w:val="16"/>
    </w:rPr>
  </w:style>
  <w:style w:type="paragraph" w:styleId="CommentText">
    <w:name w:val="annotation text"/>
    <w:basedOn w:val="Normal"/>
    <w:link w:val="CommentTextChar"/>
    <w:uiPriority w:val="99"/>
    <w:semiHidden/>
    <w:unhideWhenUsed/>
    <w:rsid w:val="00D82BAB"/>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82BAB"/>
    <w:rPr>
      <w:sz w:val="20"/>
      <w:szCs w:val="20"/>
    </w:rPr>
  </w:style>
  <w:style w:type="paragraph" w:styleId="CommentSubject">
    <w:name w:val="annotation subject"/>
    <w:basedOn w:val="CommentText"/>
    <w:next w:val="CommentText"/>
    <w:link w:val="CommentSubjectChar"/>
    <w:uiPriority w:val="99"/>
    <w:semiHidden/>
    <w:unhideWhenUsed/>
    <w:rsid w:val="00D82BAB"/>
    <w:rPr>
      <w:b/>
      <w:bCs/>
    </w:rPr>
  </w:style>
  <w:style w:type="character" w:customStyle="1" w:styleId="CommentSubjectChar">
    <w:name w:val="Comment Subject Char"/>
    <w:basedOn w:val="CommentTextChar"/>
    <w:link w:val="CommentSubject"/>
    <w:uiPriority w:val="99"/>
    <w:semiHidden/>
    <w:rsid w:val="00D82BAB"/>
    <w:rPr>
      <w:b/>
      <w:bCs/>
      <w:sz w:val="20"/>
      <w:szCs w:val="20"/>
    </w:rPr>
  </w:style>
  <w:style w:type="paragraph" w:styleId="Footer">
    <w:name w:val="footer"/>
    <w:basedOn w:val="Normal"/>
    <w:link w:val="FooterChar"/>
    <w:uiPriority w:val="99"/>
    <w:unhideWhenUsed/>
    <w:rsid w:val="00AC3A89"/>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C3A89"/>
  </w:style>
  <w:style w:type="character" w:styleId="PageNumber">
    <w:name w:val="page number"/>
    <w:basedOn w:val="DefaultParagraphFont"/>
    <w:uiPriority w:val="99"/>
    <w:semiHidden/>
    <w:unhideWhenUsed/>
    <w:rsid w:val="00AC3A89"/>
  </w:style>
  <w:style w:type="paragraph" w:styleId="Header">
    <w:name w:val="header"/>
    <w:basedOn w:val="Normal"/>
    <w:link w:val="HeaderChar"/>
    <w:uiPriority w:val="99"/>
    <w:unhideWhenUsed/>
    <w:rsid w:val="00AC3A89"/>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C3A89"/>
  </w:style>
  <w:style w:type="paragraph" w:customStyle="1" w:styleId="Default">
    <w:name w:val="Default"/>
    <w:rsid w:val="00E6562B"/>
    <w:pPr>
      <w:autoSpaceDE w:val="0"/>
      <w:autoSpaceDN w:val="0"/>
      <w:adjustRightInd w:val="0"/>
    </w:pPr>
    <w:rPr>
      <w:rFonts w:ascii="Calibri" w:hAnsi="Calibri" w:cs="Calibri"/>
      <w:color w:val="000000"/>
    </w:rPr>
  </w:style>
  <w:style w:type="paragraph" w:styleId="Bibliography">
    <w:name w:val="Bibliography"/>
    <w:basedOn w:val="Normal"/>
    <w:next w:val="Normal"/>
    <w:uiPriority w:val="37"/>
    <w:unhideWhenUsed/>
    <w:rsid w:val="00233EA2"/>
    <w:pPr>
      <w:tabs>
        <w:tab w:val="left" w:pos="500"/>
      </w:tabs>
      <w:spacing w:after="240"/>
      <w:ind w:left="504" w:hanging="504"/>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90C30"/>
    <w:rPr>
      <w:color w:val="0563C1" w:themeColor="hyperlink"/>
      <w:u w:val="single"/>
    </w:rPr>
  </w:style>
  <w:style w:type="character" w:styleId="UnresolvedMention">
    <w:name w:val="Unresolved Mention"/>
    <w:basedOn w:val="DefaultParagraphFont"/>
    <w:uiPriority w:val="99"/>
    <w:rsid w:val="00690C30"/>
    <w:rPr>
      <w:color w:val="605E5C"/>
      <w:shd w:val="clear" w:color="auto" w:fill="E1DFDD"/>
    </w:rPr>
  </w:style>
  <w:style w:type="paragraph" w:customStyle="1" w:styleId="EndNoteBibliography">
    <w:name w:val="EndNote Bibliography"/>
    <w:basedOn w:val="Normal"/>
    <w:rsid w:val="00882F4F"/>
    <w:rPr>
      <w:rFonts w:ascii="Georgia" w:eastAsiaTheme="minorHAnsi" w:hAnsi="Georgia" w:cstheme="minorBidi"/>
      <w:sz w:val="22"/>
      <w:lang w:eastAsia="nb-NO"/>
    </w:rPr>
  </w:style>
  <w:style w:type="character" w:styleId="FollowedHyperlink">
    <w:name w:val="FollowedHyperlink"/>
    <w:basedOn w:val="DefaultParagraphFont"/>
    <w:uiPriority w:val="99"/>
    <w:semiHidden/>
    <w:unhideWhenUsed/>
    <w:rsid w:val="00354CE4"/>
    <w:rPr>
      <w:color w:val="954F72" w:themeColor="followedHyperlink"/>
      <w:u w:val="single"/>
    </w:rPr>
  </w:style>
  <w:style w:type="paragraph" w:styleId="Revision">
    <w:name w:val="Revision"/>
    <w:hidden/>
    <w:uiPriority w:val="99"/>
    <w:semiHidden/>
    <w:rsid w:val="00944104"/>
  </w:style>
  <w:style w:type="character" w:customStyle="1" w:styleId="apple-converted-space">
    <w:name w:val="apple-converted-space"/>
    <w:basedOn w:val="DefaultParagraphFont"/>
    <w:rsid w:val="007A7021"/>
  </w:style>
  <w:style w:type="paragraph" w:styleId="NormalWeb">
    <w:name w:val="Normal (Web)"/>
    <w:basedOn w:val="Normal"/>
    <w:uiPriority w:val="99"/>
    <w:semiHidden/>
    <w:unhideWhenUsed/>
    <w:rsid w:val="00307895"/>
    <w:pPr>
      <w:spacing w:before="100" w:beforeAutospacing="1" w:after="100" w:afterAutospacing="1"/>
    </w:pPr>
  </w:style>
  <w:style w:type="table" w:styleId="TableGrid">
    <w:name w:val="Table Grid"/>
    <w:basedOn w:val="TableNormal"/>
    <w:uiPriority w:val="39"/>
    <w:rsid w:val="00360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0148">
      <w:bodyDiv w:val="1"/>
      <w:marLeft w:val="0"/>
      <w:marRight w:val="0"/>
      <w:marTop w:val="0"/>
      <w:marBottom w:val="0"/>
      <w:divBdr>
        <w:top w:val="none" w:sz="0" w:space="0" w:color="auto"/>
        <w:left w:val="none" w:sz="0" w:space="0" w:color="auto"/>
        <w:bottom w:val="none" w:sz="0" w:space="0" w:color="auto"/>
        <w:right w:val="none" w:sz="0" w:space="0" w:color="auto"/>
      </w:divBdr>
    </w:div>
    <w:div w:id="14113643">
      <w:bodyDiv w:val="1"/>
      <w:marLeft w:val="0"/>
      <w:marRight w:val="0"/>
      <w:marTop w:val="0"/>
      <w:marBottom w:val="0"/>
      <w:divBdr>
        <w:top w:val="none" w:sz="0" w:space="0" w:color="auto"/>
        <w:left w:val="none" w:sz="0" w:space="0" w:color="auto"/>
        <w:bottom w:val="none" w:sz="0" w:space="0" w:color="auto"/>
        <w:right w:val="none" w:sz="0" w:space="0" w:color="auto"/>
      </w:divBdr>
    </w:div>
    <w:div w:id="96025654">
      <w:bodyDiv w:val="1"/>
      <w:marLeft w:val="0"/>
      <w:marRight w:val="0"/>
      <w:marTop w:val="0"/>
      <w:marBottom w:val="0"/>
      <w:divBdr>
        <w:top w:val="none" w:sz="0" w:space="0" w:color="auto"/>
        <w:left w:val="none" w:sz="0" w:space="0" w:color="auto"/>
        <w:bottom w:val="none" w:sz="0" w:space="0" w:color="auto"/>
        <w:right w:val="none" w:sz="0" w:space="0" w:color="auto"/>
      </w:divBdr>
    </w:div>
    <w:div w:id="131024930">
      <w:bodyDiv w:val="1"/>
      <w:marLeft w:val="0"/>
      <w:marRight w:val="0"/>
      <w:marTop w:val="0"/>
      <w:marBottom w:val="0"/>
      <w:divBdr>
        <w:top w:val="none" w:sz="0" w:space="0" w:color="auto"/>
        <w:left w:val="none" w:sz="0" w:space="0" w:color="auto"/>
        <w:bottom w:val="none" w:sz="0" w:space="0" w:color="auto"/>
        <w:right w:val="none" w:sz="0" w:space="0" w:color="auto"/>
      </w:divBdr>
    </w:div>
    <w:div w:id="201795054">
      <w:bodyDiv w:val="1"/>
      <w:marLeft w:val="0"/>
      <w:marRight w:val="0"/>
      <w:marTop w:val="0"/>
      <w:marBottom w:val="0"/>
      <w:divBdr>
        <w:top w:val="none" w:sz="0" w:space="0" w:color="auto"/>
        <w:left w:val="none" w:sz="0" w:space="0" w:color="auto"/>
        <w:bottom w:val="none" w:sz="0" w:space="0" w:color="auto"/>
        <w:right w:val="none" w:sz="0" w:space="0" w:color="auto"/>
      </w:divBdr>
    </w:div>
    <w:div w:id="206844256">
      <w:bodyDiv w:val="1"/>
      <w:marLeft w:val="0"/>
      <w:marRight w:val="0"/>
      <w:marTop w:val="0"/>
      <w:marBottom w:val="0"/>
      <w:divBdr>
        <w:top w:val="none" w:sz="0" w:space="0" w:color="auto"/>
        <w:left w:val="none" w:sz="0" w:space="0" w:color="auto"/>
        <w:bottom w:val="none" w:sz="0" w:space="0" w:color="auto"/>
        <w:right w:val="none" w:sz="0" w:space="0" w:color="auto"/>
      </w:divBdr>
    </w:div>
    <w:div w:id="296181544">
      <w:bodyDiv w:val="1"/>
      <w:marLeft w:val="0"/>
      <w:marRight w:val="0"/>
      <w:marTop w:val="0"/>
      <w:marBottom w:val="0"/>
      <w:divBdr>
        <w:top w:val="none" w:sz="0" w:space="0" w:color="auto"/>
        <w:left w:val="none" w:sz="0" w:space="0" w:color="auto"/>
        <w:bottom w:val="none" w:sz="0" w:space="0" w:color="auto"/>
        <w:right w:val="none" w:sz="0" w:space="0" w:color="auto"/>
      </w:divBdr>
      <w:divsChild>
        <w:div w:id="1956517928">
          <w:marLeft w:val="446"/>
          <w:marRight w:val="0"/>
          <w:marTop w:val="0"/>
          <w:marBottom w:val="0"/>
          <w:divBdr>
            <w:top w:val="none" w:sz="0" w:space="0" w:color="auto"/>
            <w:left w:val="none" w:sz="0" w:space="0" w:color="auto"/>
            <w:bottom w:val="none" w:sz="0" w:space="0" w:color="auto"/>
            <w:right w:val="none" w:sz="0" w:space="0" w:color="auto"/>
          </w:divBdr>
        </w:div>
        <w:div w:id="1875724392">
          <w:marLeft w:val="446"/>
          <w:marRight w:val="0"/>
          <w:marTop w:val="0"/>
          <w:marBottom w:val="0"/>
          <w:divBdr>
            <w:top w:val="none" w:sz="0" w:space="0" w:color="auto"/>
            <w:left w:val="none" w:sz="0" w:space="0" w:color="auto"/>
            <w:bottom w:val="none" w:sz="0" w:space="0" w:color="auto"/>
            <w:right w:val="none" w:sz="0" w:space="0" w:color="auto"/>
          </w:divBdr>
        </w:div>
        <w:div w:id="1339506232">
          <w:marLeft w:val="446"/>
          <w:marRight w:val="0"/>
          <w:marTop w:val="0"/>
          <w:marBottom w:val="0"/>
          <w:divBdr>
            <w:top w:val="none" w:sz="0" w:space="0" w:color="auto"/>
            <w:left w:val="none" w:sz="0" w:space="0" w:color="auto"/>
            <w:bottom w:val="none" w:sz="0" w:space="0" w:color="auto"/>
            <w:right w:val="none" w:sz="0" w:space="0" w:color="auto"/>
          </w:divBdr>
        </w:div>
        <w:div w:id="1359309049">
          <w:marLeft w:val="446"/>
          <w:marRight w:val="0"/>
          <w:marTop w:val="0"/>
          <w:marBottom w:val="0"/>
          <w:divBdr>
            <w:top w:val="none" w:sz="0" w:space="0" w:color="auto"/>
            <w:left w:val="none" w:sz="0" w:space="0" w:color="auto"/>
            <w:bottom w:val="none" w:sz="0" w:space="0" w:color="auto"/>
            <w:right w:val="none" w:sz="0" w:space="0" w:color="auto"/>
          </w:divBdr>
        </w:div>
        <w:div w:id="2070613289">
          <w:marLeft w:val="446"/>
          <w:marRight w:val="0"/>
          <w:marTop w:val="0"/>
          <w:marBottom w:val="0"/>
          <w:divBdr>
            <w:top w:val="none" w:sz="0" w:space="0" w:color="auto"/>
            <w:left w:val="none" w:sz="0" w:space="0" w:color="auto"/>
            <w:bottom w:val="none" w:sz="0" w:space="0" w:color="auto"/>
            <w:right w:val="none" w:sz="0" w:space="0" w:color="auto"/>
          </w:divBdr>
        </w:div>
        <w:div w:id="1679308648">
          <w:marLeft w:val="446"/>
          <w:marRight w:val="0"/>
          <w:marTop w:val="0"/>
          <w:marBottom w:val="0"/>
          <w:divBdr>
            <w:top w:val="none" w:sz="0" w:space="0" w:color="auto"/>
            <w:left w:val="none" w:sz="0" w:space="0" w:color="auto"/>
            <w:bottom w:val="none" w:sz="0" w:space="0" w:color="auto"/>
            <w:right w:val="none" w:sz="0" w:space="0" w:color="auto"/>
          </w:divBdr>
        </w:div>
        <w:div w:id="869759492">
          <w:marLeft w:val="446"/>
          <w:marRight w:val="0"/>
          <w:marTop w:val="0"/>
          <w:marBottom w:val="0"/>
          <w:divBdr>
            <w:top w:val="none" w:sz="0" w:space="0" w:color="auto"/>
            <w:left w:val="none" w:sz="0" w:space="0" w:color="auto"/>
            <w:bottom w:val="none" w:sz="0" w:space="0" w:color="auto"/>
            <w:right w:val="none" w:sz="0" w:space="0" w:color="auto"/>
          </w:divBdr>
        </w:div>
        <w:div w:id="102116917">
          <w:marLeft w:val="446"/>
          <w:marRight w:val="0"/>
          <w:marTop w:val="0"/>
          <w:marBottom w:val="0"/>
          <w:divBdr>
            <w:top w:val="none" w:sz="0" w:space="0" w:color="auto"/>
            <w:left w:val="none" w:sz="0" w:space="0" w:color="auto"/>
            <w:bottom w:val="none" w:sz="0" w:space="0" w:color="auto"/>
            <w:right w:val="none" w:sz="0" w:space="0" w:color="auto"/>
          </w:divBdr>
        </w:div>
        <w:div w:id="2000846836">
          <w:marLeft w:val="446"/>
          <w:marRight w:val="0"/>
          <w:marTop w:val="0"/>
          <w:marBottom w:val="0"/>
          <w:divBdr>
            <w:top w:val="none" w:sz="0" w:space="0" w:color="auto"/>
            <w:left w:val="none" w:sz="0" w:space="0" w:color="auto"/>
            <w:bottom w:val="none" w:sz="0" w:space="0" w:color="auto"/>
            <w:right w:val="none" w:sz="0" w:space="0" w:color="auto"/>
          </w:divBdr>
        </w:div>
        <w:div w:id="1828744321">
          <w:marLeft w:val="446"/>
          <w:marRight w:val="0"/>
          <w:marTop w:val="0"/>
          <w:marBottom w:val="0"/>
          <w:divBdr>
            <w:top w:val="none" w:sz="0" w:space="0" w:color="auto"/>
            <w:left w:val="none" w:sz="0" w:space="0" w:color="auto"/>
            <w:bottom w:val="none" w:sz="0" w:space="0" w:color="auto"/>
            <w:right w:val="none" w:sz="0" w:space="0" w:color="auto"/>
          </w:divBdr>
        </w:div>
        <w:div w:id="451362073">
          <w:marLeft w:val="446"/>
          <w:marRight w:val="0"/>
          <w:marTop w:val="0"/>
          <w:marBottom w:val="0"/>
          <w:divBdr>
            <w:top w:val="none" w:sz="0" w:space="0" w:color="auto"/>
            <w:left w:val="none" w:sz="0" w:space="0" w:color="auto"/>
            <w:bottom w:val="none" w:sz="0" w:space="0" w:color="auto"/>
            <w:right w:val="none" w:sz="0" w:space="0" w:color="auto"/>
          </w:divBdr>
        </w:div>
        <w:div w:id="1646162130">
          <w:marLeft w:val="446"/>
          <w:marRight w:val="0"/>
          <w:marTop w:val="0"/>
          <w:marBottom w:val="0"/>
          <w:divBdr>
            <w:top w:val="none" w:sz="0" w:space="0" w:color="auto"/>
            <w:left w:val="none" w:sz="0" w:space="0" w:color="auto"/>
            <w:bottom w:val="none" w:sz="0" w:space="0" w:color="auto"/>
            <w:right w:val="none" w:sz="0" w:space="0" w:color="auto"/>
          </w:divBdr>
        </w:div>
        <w:div w:id="1990940566">
          <w:marLeft w:val="446"/>
          <w:marRight w:val="0"/>
          <w:marTop w:val="0"/>
          <w:marBottom w:val="0"/>
          <w:divBdr>
            <w:top w:val="none" w:sz="0" w:space="0" w:color="auto"/>
            <w:left w:val="none" w:sz="0" w:space="0" w:color="auto"/>
            <w:bottom w:val="none" w:sz="0" w:space="0" w:color="auto"/>
            <w:right w:val="none" w:sz="0" w:space="0" w:color="auto"/>
          </w:divBdr>
        </w:div>
        <w:div w:id="1214274619">
          <w:marLeft w:val="446"/>
          <w:marRight w:val="0"/>
          <w:marTop w:val="0"/>
          <w:marBottom w:val="0"/>
          <w:divBdr>
            <w:top w:val="none" w:sz="0" w:space="0" w:color="auto"/>
            <w:left w:val="none" w:sz="0" w:space="0" w:color="auto"/>
            <w:bottom w:val="none" w:sz="0" w:space="0" w:color="auto"/>
            <w:right w:val="none" w:sz="0" w:space="0" w:color="auto"/>
          </w:divBdr>
        </w:div>
        <w:div w:id="34896614">
          <w:marLeft w:val="446"/>
          <w:marRight w:val="0"/>
          <w:marTop w:val="0"/>
          <w:marBottom w:val="0"/>
          <w:divBdr>
            <w:top w:val="none" w:sz="0" w:space="0" w:color="auto"/>
            <w:left w:val="none" w:sz="0" w:space="0" w:color="auto"/>
            <w:bottom w:val="none" w:sz="0" w:space="0" w:color="auto"/>
            <w:right w:val="none" w:sz="0" w:space="0" w:color="auto"/>
          </w:divBdr>
        </w:div>
        <w:div w:id="782765579">
          <w:marLeft w:val="446"/>
          <w:marRight w:val="0"/>
          <w:marTop w:val="0"/>
          <w:marBottom w:val="0"/>
          <w:divBdr>
            <w:top w:val="none" w:sz="0" w:space="0" w:color="auto"/>
            <w:left w:val="none" w:sz="0" w:space="0" w:color="auto"/>
            <w:bottom w:val="none" w:sz="0" w:space="0" w:color="auto"/>
            <w:right w:val="none" w:sz="0" w:space="0" w:color="auto"/>
          </w:divBdr>
        </w:div>
        <w:div w:id="1900020481">
          <w:marLeft w:val="446"/>
          <w:marRight w:val="0"/>
          <w:marTop w:val="0"/>
          <w:marBottom w:val="0"/>
          <w:divBdr>
            <w:top w:val="none" w:sz="0" w:space="0" w:color="auto"/>
            <w:left w:val="none" w:sz="0" w:space="0" w:color="auto"/>
            <w:bottom w:val="none" w:sz="0" w:space="0" w:color="auto"/>
            <w:right w:val="none" w:sz="0" w:space="0" w:color="auto"/>
          </w:divBdr>
        </w:div>
        <w:div w:id="1258950466">
          <w:marLeft w:val="446"/>
          <w:marRight w:val="0"/>
          <w:marTop w:val="0"/>
          <w:marBottom w:val="0"/>
          <w:divBdr>
            <w:top w:val="none" w:sz="0" w:space="0" w:color="auto"/>
            <w:left w:val="none" w:sz="0" w:space="0" w:color="auto"/>
            <w:bottom w:val="none" w:sz="0" w:space="0" w:color="auto"/>
            <w:right w:val="none" w:sz="0" w:space="0" w:color="auto"/>
          </w:divBdr>
        </w:div>
        <w:div w:id="1318001632">
          <w:marLeft w:val="446"/>
          <w:marRight w:val="0"/>
          <w:marTop w:val="0"/>
          <w:marBottom w:val="0"/>
          <w:divBdr>
            <w:top w:val="none" w:sz="0" w:space="0" w:color="auto"/>
            <w:left w:val="none" w:sz="0" w:space="0" w:color="auto"/>
            <w:bottom w:val="none" w:sz="0" w:space="0" w:color="auto"/>
            <w:right w:val="none" w:sz="0" w:space="0" w:color="auto"/>
          </w:divBdr>
        </w:div>
        <w:div w:id="958029635">
          <w:marLeft w:val="446"/>
          <w:marRight w:val="0"/>
          <w:marTop w:val="0"/>
          <w:marBottom w:val="0"/>
          <w:divBdr>
            <w:top w:val="none" w:sz="0" w:space="0" w:color="auto"/>
            <w:left w:val="none" w:sz="0" w:space="0" w:color="auto"/>
            <w:bottom w:val="none" w:sz="0" w:space="0" w:color="auto"/>
            <w:right w:val="none" w:sz="0" w:space="0" w:color="auto"/>
          </w:divBdr>
        </w:div>
        <w:div w:id="113718519">
          <w:marLeft w:val="446"/>
          <w:marRight w:val="0"/>
          <w:marTop w:val="0"/>
          <w:marBottom w:val="0"/>
          <w:divBdr>
            <w:top w:val="none" w:sz="0" w:space="0" w:color="auto"/>
            <w:left w:val="none" w:sz="0" w:space="0" w:color="auto"/>
            <w:bottom w:val="none" w:sz="0" w:space="0" w:color="auto"/>
            <w:right w:val="none" w:sz="0" w:space="0" w:color="auto"/>
          </w:divBdr>
        </w:div>
        <w:div w:id="479150928">
          <w:marLeft w:val="446"/>
          <w:marRight w:val="0"/>
          <w:marTop w:val="0"/>
          <w:marBottom w:val="0"/>
          <w:divBdr>
            <w:top w:val="none" w:sz="0" w:space="0" w:color="auto"/>
            <w:left w:val="none" w:sz="0" w:space="0" w:color="auto"/>
            <w:bottom w:val="none" w:sz="0" w:space="0" w:color="auto"/>
            <w:right w:val="none" w:sz="0" w:space="0" w:color="auto"/>
          </w:divBdr>
        </w:div>
      </w:divsChild>
    </w:div>
    <w:div w:id="327908547">
      <w:bodyDiv w:val="1"/>
      <w:marLeft w:val="0"/>
      <w:marRight w:val="0"/>
      <w:marTop w:val="0"/>
      <w:marBottom w:val="0"/>
      <w:divBdr>
        <w:top w:val="none" w:sz="0" w:space="0" w:color="auto"/>
        <w:left w:val="none" w:sz="0" w:space="0" w:color="auto"/>
        <w:bottom w:val="none" w:sz="0" w:space="0" w:color="auto"/>
        <w:right w:val="none" w:sz="0" w:space="0" w:color="auto"/>
      </w:divBdr>
    </w:div>
    <w:div w:id="342169971">
      <w:bodyDiv w:val="1"/>
      <w:marLeft w:val="0"/>
      <w:marRight w:val="0"/>
      <w:marTop w:val="0"/>
      <w:marBottom w:val="0"/>
      <w:divBdr>
        <w:top w:val="none" w:sz="0" w:space="0" w:color="auto"/>
        <w:left w:val="none" w:sz="0" w:space="0" w:color="auto"/>
        <w:bottom w:val="none" w:sz="0" w:space="0" w:color="auto"/>
        <w:right w:val="none" w:sz="0" w:space="0" w:color="auto"/>
      </w:divBdr>
    </w:div>
    <w:div w:id="407850140">
      <w:bodyDiv w:val="1"/>
      <w:marLeft w:val="0"/>
      <w:marRight w:val="0"/>
      <w:marTop w:val="0"/>
      <w:marBottom w:val="0"/>
      <w:divBdr>
        <w:top w:val="none" w:sz="0" w:space="0" w:color="auto"/>
        <w:left w:val="none" w:sz="0" w:space="0" w:color="auto"/>
        <w:bottom w:val="none" w:sz="0" w:space="0" w:color="auto"/>
        <w:right w:val="none" w:sz="0" w:space="0" w:color="auto"/>
      </w:divBdr>
    </w:div>
    <w:div w:id="433016235">
      <w:bodyDiv w:val="1"/>
      <w:marLeft w:val="0"/>
      <w:marRight w:val="0"/>
      <w:marTop w:val="0"/>
      <w:marBottom w:val="0"/>
      <w:divBdr>
        <w:top w:val="none" w:sz="0" w:space="0" w:color="auto"/>
        <w:left w:val="none" w:sz="0" w:space="0" w:color="auto"/>
        <w:bottom w:val="none" w:sz="0" w:space="0" w:color="auto"/>
        <w:right w:val="none" w:sz="0" w:space="0" w:color="auto"/>
      </w:divBdr>
    </w:div>
    <w:div w:id="476917103">
      <w:bodyDiv w:val="1"/>
      <w:marLeft w:val="0"/>
      <w:marRight w:val="0"/>
      <w:marTop w:val="0"/>
      <w:marBottom w:val="0"/>
      <w:divBdr>
        <w:top w:val="none" w:sz="0" w:space="0" w:color="auto"/>
        <w:left w:val="none" w:sz="0" w:space="0" w:color="auto"/>
        <w:bottom w:val="none" w:sz="0" w:space="0" w:color="auto"/>
        <w:right w:val="none" w:sz="0" w:space="0" w:color="auto"/>
      </w:divBdr>
    </w:div>
    <w:div w:id="482163179">
      <w:bodyDiv w:val="1"/>
      <w:marLeft w:val="0"/>
      <w:marRight w:val="0"/>
      <w:marTop w:val="0"/>
      <w:marBottom w:val="0"/>
      <w:divBdr>
        <w:top w:val="none" w:sz="0" w:space="0" w:color="auto"/>
        <w:left w:val="none" w:sz="0" w:space="0" w:color="auto"/>
        <w:bottom w:val="none" w:sz="0" w:space="0" w:color="auto"/>
        <w:right w:val="none" w:sz="0" w:space="0" w:color="auto"/>
      </w:divBdr>
    </w:div>
    <w:div w:id="519929036">
      <w:bodyDiv w:val="1"/>
      <w:marLeft w:val="0"/>
      <w:marRight w:val="0"/>
      <w:marTop w:val="0"/>
      <w:marBottom w:val="0"/>
      <w:divBdr>
        <w:top w:val="none" w:sz="0" w:space="0" w:color="auto"/>
        <w:left w:val="none" w:sz="0" w:space="0" w:color="auto"/>
        <w:bottom w:val="none" w:sz="0" w:space="0" w:color="auto"/>
        <w:right w:val="none" w:sz="0" w:space="0" w:color="auto"/>
      </w:divBdr>
    </w:div>
    <w:div w:id="570887947">
      <w:bodyDiv w:val="1"/>
      <w:marLeft w:val="0"/>
      <w:marRight w:val="0"/>
      <w:marTop w:val="0"/>
      <w:marBottom w:val="0"/>
      <w:divBdr>
        <w:top w:val="none" w:sz="0" w:space="0" w:color="auto"/>
        <w:left w:val="none" w:sz="0" w:space="0" w:color="auto"/>
        <w:bottom w:val="none" w:sz="0" w:space="0" w:color="auto"/>
        <w:right w:val="none" w:sz="0" w:space="0" w:color="auto"/>
      </w:divBdr>
    </w:div>
    <w:div w:id="617444279">
      <w:bodyDiv w:val="1"/>
      <w:marLeft w:val="0"/>
      <w:marRight w:val="0"/>
      <w:marTop w:val="0"/>
      <w:marBottom w:val="0"/>
      <w:divBdr>
        <w:top w:val="none" w:sz="0" w:space="0" w:color="auto"/>
        <w:left w:val="none" w:sz="0" w:space="0" w:color="auto"/>
        <w:bottom w:val="none" w:sz="0" w:space="0" w:color="auto"/>
        <w:right w:val="none" w:sz="0" w:space="0" w:color="auto"/>
      </w:divBdr>
    </w:div>
    <w:div w:id="632827053">
      <w:bodyDiv w:val="1"/>
      <w:marLeft w:val="0"/>
      <w:marRight w:val="0"/>
      <w:marTop w:val="0"/>
      <w:marBottom w:val="0"/>
      <w:divBdr>
        <w:top w:val="none" w:sz="0" w:space="0" w:color="auto"/>
        <w:left w:val="none" w:sz="0" w:space="0" w:color="auto"/>
        <w:bottom w:val="none" w:sz="0" w:space="0" w:color="auto"/>
        <w:right w:val="none" w:sz="0" w:space="0" w:color="auto"/>
      </w:divBdr>
      <w:divsChild>
        <w:div w:id="1572621542">
          <w:marLeft w:val="0"/>
          <w:marRight w:val="0"/>
          <w:marTop w:val="0"/>
          <w:marBottom w:val="0"/>
          <w:divBdr>
            <w:top w:val="none" w:sz="0" w:space="0" w:color="auto"/>
            <w:left w:val="none" w:sz="0" w:space="0" w:color="auto"/>
            <w:bottom w:val="none" w:sz="0" w:space="0" w:color="auto"/>
            <w:right w:val="none" w:sz="0" w:space="0" w:color="auto"/>
          </w:divBdr>
          <w:divsChild>
            <w:div w:id="1071611665">
              <w:marLeft w:val="0"/>
              <w:marRight w:val="0"/>
              <w:marTop w:val="0"/>
              <w:marBottom w:val="0"/>
              <w:divBdr>
                <w:top w:val="none" w:sz="0" w:space="0" w:color="auto"/>
                <w:left w:val="none" w:sz="0" w:space="0" w:color="auto"/>
                <w:bottom w:val="none" w:sz="0" w:space="0" w:color="auto"/>
                <w:right w:val="none" w:sz="0" w:space="0" w:color="auto"/>
              </w:divBdr>
              <w:divsChild>
                <w:div w:id="870528989">
                  <w:marLeft w:val="0"/>
                  <w:marRight w:val="0"/>
                  <w:marTop w:val="0"/>
                  <w:marBottom w:val="0"/>
                  <w:divBdr>
                    <w:top w:val="none" w:sz="0" w:space="0" w:color="auto"/>
                    <w:left w:val="none" w:sz="0" w:space="0" w:color="auto"/>
                    <w:bottom w:val="none" w:sz="0" w:space="0" w:color="auto"/>
                    <w:right w:val="none" w:sz="0" w:space="0" w:color="auto"/>
                  </w:divBdr>
                  <w:divsChild>
                    <w:div w:id="2092118701">
                      <w:marLeft w:val="0"/>
                      <w:marRight w:val="0"/>
                      <w:marTop w:val="0"/>
                      <w:marBottom w:val="0"/>
                      <w:divBdr>
                        <w:top w:val="none" w:sz="0" w:space="0" w:color="auto"/>
                        <w:left w:val="none" w:sz="0" w:space="0" w:color="auto"/>
                        <w:bottom w:val="none" w:sz="0" w:space="0" w:color="auto"/>
                        <w:right w:val="none" w:sz="0" w:space="0" w:color="auto"/>
                      </w:divBdr>
                      <w:divsChild>
                        <w:div w:id="1592157781">
                          <w:marLeft w:val="0"/>
                          <w:marRight w:val="0"/>
                          <w:marTop w:val="0"/>
                          <w:marBottom w:val="0"/>
                          <w:divBdr>
                            <w:top w:val="none" w:sz="0" w:space="0" w:color="auto"/>
                            <w:left w:val="none" w:sz="0" w:space="0" w:color="auto"/>
                            <w:bottom w:val="none" w:sz="0" w:space="0" w:color="auto"/>
                            <w:right w:val="none" w:sz="0" w:space="0" w:color="auto"/>
                          </w:divBdr>
                        </w:div>
                        <w:div w:id="1711147944">
                          <w:marLeft w:val="0"/>
                          <w:marRight w:val="0"/>
                          <w:marTop w:val="0"/>
                          <w:marBottom w:val="0"/>
                          <w:divBdr>
                            <w:top w:val="none" w:sz="0" w:space="0" w:color="auto"/>
                            <w:left w:val="none" w:sz="0" w:space="0" w:color="auto"/>
                            <w:bottom w:val="none" w:sz="0" w:space="0" w:color="auto"/>
                            <w:right w:val="none" w:sz="0" w:space="0" w:color="auto"/>
                          </w:divBdr>
                        </w:div>
                        <w:div w:id="624584782">
                          <w:marLeft w:val="0"/>
                          <w:marRight w:val="0"/>
                          <w:marTop w:val="0"/>
                          <w:marBottom w:val="0"/>
                          <w:divBdr>
                            <w:top w:val="none" w:sz="0" w:space="0" w:color="auto"/>
                            <w:left w:val="none" w:sz="0" w:space="0" w:color="auto"/>
                            <w:bottom w:val="none" w:sz="0" w:space="0" w:color="auto"/>
                            <w:right w:val="none" w:sz="0" w:space="0" w:color="auto"/>
                          </w:divBdr>
                        </w:div>
                        <w:div w:id="242493824">
                          <w:marLeft w:val="0"/>
                          <w:marRight w:val="0"/>
                          <w:marTop w:val="0"/>
                          <w:marBottom w:val="0"/>
                          <w:divBdr>
                            <w:top w:val="none" w:sz="0" w:space="0" w:color="auto"/>
                            <w:left w:val="none" w:sz="0" w:space="0" w:color="auto"/>
                            <w:bottom w:val="none" w:sz="0" w:space="0" w:color="auto"/>
                            <w:right w:val="none" w:sz="0" w:space="0" w:color="auto"/>
                          </w:divBdr>
                        </w:div>
                        <w:div w:id="9683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4612">
      <w:bodyDiv w:val="1"/>
      <w:marLeft w:val="0"/>
      <w:marRight w:val="0"/>
      <w:marTop w:val="0"/>
      <w:marBottom w:val="0"/>
      <w:divBdr>
        <w:top w:val="none" w:sz="0" w:space="0" w:color="auto"/>
        <w:left w:val="none" w:sz="0" w:space="0" w:color="auto"/>
        <w:bottom w:val="none" w:sz="0" w:space="0" w:color="auto"/>
        <w:right w:val="none" w:sz="0" w:space="0" w:color="auto"/>
      </w:divBdr>
    </w:div>
    <w:div w:id="776171217">
      <w:bodyDiv w:val="1"/>
      <w:marLeft w:val="0"/>
      <w:marRight w:val="0"/>
      <w:marTop w:val="0"/>
      <w:marBottom w:val="0"/>
      <w:divBdr>
        <w:top w:val="none" w:sz="0" w:space="0" w:color="auto"/>
        <w:left w:val="none" w:sz="0" w:space="0" w:color="auto"/>
        <w:bottom w:val="none" w:sz="0" w:space="0" w:color="auto"/>
        <w:right w:val="none" w:sz="0" w:space="0" w:color="auto"/>
      </w:divBdr>
    </w:div>
    <w:div w:id="815491679">
      <w:bodyDiv w:val="1"/>
      <w:marLeft w:val="0"/>
      <w:marRight w:val="0"/>
      <w:marTop w:val="0"/>
      <w:marBottom w:val="0"/>
      <w:divBdr>
        <w:top w:val="none" w:sz="0" w:space="0" w:color="auto"/>
        <w:left w:val="none" w:sz="0" w:space="0" w:color="auto"/>
        <w:bottom w:val="none" w:sz="0" w:space="0" w:color="auto"/>
        <w:right w:val="none" w:sz="0" w:space="0" w:color="auto"/>
      </w:divBdr>
    </w:div>
    <w:div w:id="832139080">
      <w:bodyDiv w:val="1"/>
      <w:marLeft w:val="0"/>
      <w:marRight w:val="0"/>
      <w:marTop w:val="0"/>
      <w:marBottom w:val="0"/>
      <w:divBdr>
        <w:top w:val="none" w:sz="0" w:space="0" w:color="auto"/>
        <w:left w:val="none" w:sz="0" w:space="0" w:color="auto"/>
        <w:bottom w:val="none" w:sz="0" w:space="0" w:color="auto"/>
        <w:right w:val="none" w:sz="0" w:space="0" w:color="auto"/>
      </w:divBdr>
    </w:div>
    <w:div w:id="910583573">
      <w:bodyDiv w:val="1"/>
      <w:marLeft w:val="0"/>
      <w:marRight w:val="0"/>
      <w:marTop w:val="0"/>
      <w:marBottom w:val="0"/>
      <w:divBdr>
        <w:top w:val="none" w:sz="0" w:space="0" w:color="auto"/>
        <w:left w:val="none" w:sz="0" w:space="0" w:color="auto"/>
        <w:bottom w:val="none" w:sz="0" w:space="0" w:color="auto"/>
        <w:right w:val="none" w:sz="0" w:space="0" w:color="auto"/>
      </w:divBdr>
    </w:div>
    <w:div w:id="1047295514">
      <w:bodyDiv w:val="1"/>
      <w:marLeft w:val="0"/>
      <w:marRight w:val="0"/>
      <w:marTop w:val="0"/>
      <w:marBottom w:val="0"/>
      <w:divBdr>
        <w:top w:val="none" w:sz="0" w:space="0" w:color="auto"/>
        <w:left w:val="none" w:sz="0" w:space="0" w:color="auto"/>
        <w:bottom w:val="none" w:sz="0" w:space="0" w:color="auto"/>
        <w:right w:val="none" w:sz="0" w:space="0" w:color="auto"/>
      </w:divBdr>
    </w:div>
    <w:div w:id="1128476137">
      <w:bodyDiv w:val="1"/>
      <w:marLeft w:val="0"/>
      <w:marRight w:val="0"/>
      <w:marTop w:val="0"/>
      <w:marBottom w:val="0"/>
      <w:divBdr>
        <w:top w:val="none" w:sz="0" w:space="0" w:color="auto"/>
        <w:left w:val="none" w:sz="0" w:space="0" w:color="auto"/>
        <w:bottom w:val="none" w:sz="0" w:space="0" w:color="auto"/>
        <w:right w:val="none" w:sz="0" w:space="0" w:color="auto"/>
      </w:divBdr>
    </w:div>
    <w:div w:id="1232931525">
      <w:bodyDiv w:val="1"/>
      <w:marLeft w:val="0"/>
      <w:marRight w:val="0"/>
      <w:marTop w:val="0"/>
      <w:marBottom w:val="0"/>
      <w:divBdr>
        <w:top w:val="none" w:sz="0" w:space="0" w:color="auto"/>
        <w:left w:val="none" w:sz="0" w:space="0" w:color="auto"/>
        <w:bottom w:val="none" w:sz="0" w:space="0" w:color="auto"/>
        <w:right w:val="none" w:sz="0" w:space="0" w:color="auto"/>
      </w:divBdr>
    </w:div>
    <w:div w:id="1240018538">
      <w:bodyDiv w:val="1"/>
      <w:marLeft w:val="0"/>
      <w:marRight w:val="0"/>
      <w:marTop w:val="0"/>
      <w:marBottom w:val="0"/>
      <w:divBdr>
        <w:top w:val="none" w:sz="0" w:space="0" w:color="auto"/>
        <w:left w:val="none" w:sz="0" w:space="0" w:color="auto"/>
        <w:bottom w:val="none" w:sz="0" w:space="0" w:color="auto"/>
        <w:right w:val="none" w:sz="0" w:space="0" w:color="auto"/>
      </w:divBdr>
    </w:div>
    <w:div w:id="1266766123">
      <w:bodyDiv w:val="1"/>
      <w:marLeft w:val="0"/>
      <w:marRight w:val="0"/>
      <w:marTop w:val="0"/>
      <w:marBottom w:val="0"/>
      <w:divBdr>
        <w:top w:val="none" w:sz="0" w:space="0" w:color="auto"/>
        <w:left w:val="none" w:sz="0" w:space="0" w:color="auto"/>
        <w:bottom w:val="none" w:sz="0" w:space="0" w:color="auto"/>
        <w:right w:val="none" w:sz="0" w:space="0" w:color="auto"/>
      </w:divBdr>
    </w:div>
    <w:div w:id="1479496738">
      <w:bodyDiv w:val="1"/>
      <w:marLeft w:val="0"/>
      <w:marRight w:val="0"/>
      <w:marTop w:val="0"/>
      <w:marBottom w:val="0"/>
      <w:divBdr>
        <w:top w:val="none" w:sz="0" w:space="0" w:color="auto"/>
        <w:left w:val="none" w:sz="0" w:space="0" w:color="auto"/>
        <w:bottom w:val="none" w:sz="0" w:space="0" w:color="auto"/>
        <w:right w:val="none" w:sz="0" w:space="0" w:color="auto"/>
      </w:divBdr>
    </w:div>
    <w:div w:id="1675958860">
      <w:bodyDiv w:val="1"/>
      <w:marLeft w:val="0"/>
      <w:marRight w:val="0"/>
      <w:marTop w:val="0"/>
      <w:marBottom w:val="0"/>
      <w:divBdr>
        <w:top w:val="none" w:sz="0" w:space="0" w:color="auto"/>
        <w:left w:val="none" w:sz="0" w:space="0" w:color="auto"/>
        <w:bottom w:val="none" w:sz="0" w:space="0" w:color="auto"/>
        <w:right w:val="none" w:sz="0" w:space="0" w:color="auto"/>
      </w:divBdr>
    </w:div>
    <w:div w:id="1743403802">
      <w:bodyDiv w:val="1"/>
      <w:marLeft w:val="0"/>
      <w:marRight w:val="0"/>
      <w:marTop w:val="0"/>
      <w:marBottom w:val="0"/>
      <w:divBdr>
        <w:top w:val="none" w:sz="0" w:space="0" w:color="auto"/>
        <w:left w:val="none" w:sz="0" w:space="0" w:color="auto"/>
        <w:bottom w:val="none" w:sz="0" w:space="0" w:color="auto"/>
        <w:right w:val="none" w:sz="0" w:space="0" w:color="auto"/>
      </w:divBdr>
    </w:div>
    <w:div w:id="1760175400">
      <w:bodyDiv w:val="1"/>
      <w:marLeft w:val="0"/>
      <w:marRight w:val="0"/>
      <w:marTop w:val="0"/>
      <w:marBottom w:val="0"/>
      <w:divBdr>
        <w:top w:val="none" w:sz="0" w:space="0" w:color="auto"/>
        <w:left w:val="none" w:sz="0" w:space="0" w:color="auto"/>
        <w:bottom w:val="none" w:sz="0" w:space="0" w:color="auto"/>
        <w:right w:val="none" w:sz="0" w:space="0" w:color="auto"/>
      </w:divBdr>
    </w:div>
    <w:div w:id="1772817691">
      <w:bodyDiv w:val="1"/>
      <w:marLeft w:val="0"/>
      <w:marRight w:val="0"/>
      <w:marTop w:val="0"/>
      <w:marBottom w:val="0"/>
      <w:divBdr>
        <w:top w:val="none" w:sz="0" w:space="0" w:color="auto"/>
        <w:left w:val="none" w:sz="0" w:space="0" w:color="auto"/>
        <w:bottom w:val="none" w:sz="0" w:space="0" w:color="auto"/>
        <w:right w:val="none" w:sz="0" w:space="0" w:color="auto"/>
      </w:divBdr>
      <w:divsChild>
        <w:div w:id="735935562">
          <w:marLeft w:val="446"/>
          <w:marRight w:val="0"/>
          <w:marTop w:val="0"/>
          <w:marBottom w:val="0"/>
          <w:divBdr>
            <w:top w:val="none" w:sz="0" w:space="0" w:color="auto"/>
            <w:left w:val="none" w:sz="0" w:space="0" w:color="auto"/>
            <w:bottom w:val="none" w:sz="0" w:space="0" w:color="auto"/>
            <w:right w:val="none" w:sz="0" w:space="0" w:color="auto"/>
          </w:divBdr>
        </w:div>
        <w:div w:id="713847097">
          <w:marLeft w:val="446"/>
          <w:marRight w:val="0"/>
          <w:marTop w:val="0"/>
          <w:marBottom w:val="0"/>
          <w:divBdr>
            <w:top w:val="none" w:sz="0" w:space="0" w:color="auto"/>
            <w:left w:val="none" w:sz="0" w:space="0" w:color="auto"/>
            <w:bottom w:val="none" w:sz="0" w:space="0" w:color="auto"/>
            <w:right w:val="none" w:sz="0" w:space="0" w:color="auto"/>
          </w:divBdr>
        </w:div>
        <w:div w:id="1537352624">
          <w:marLeft w:val="446"/>
          <w:marRight w:val="0"/>
          <w:marTop w:val="0"/>
          <w:marBottom w:val="0"/>
          <w:divBdr>
            <w:top w:val="none" w:sz="0" w:space="0" w:color="auto"/>
            <w:left w:val="none" w:sz="0" w:space="0" w:color="auto"/>
            <w:bottom w:val="none" w:sz="0" w:space="0" w:color="auto"/>
            <w:right w:val="none" w:sz="0" w:space="0" w:color="auto"/>
          </w:divBdr>
        </w:div>
        <w:div w:id="725687736">
          <w:marLeft w:val="446"/>
          <w:marRight w:val="0"/>
          <w:marTop w:val="0"/>
          <w:marBottom w:val="0"/>
          <w:divBdr>
            <w:top w:val="none" w:sz="0" w:space="0" w:color="auto"/>
            <w:left w:val="none" w:sz="0" w:space="0" w:color="auto"/>
            <w:bottom w:val="none" w:sz="0" w:space="0" w:color="auto"/>
            <w:right w:val="none" w:sz="0" w:space="0" w:color="auto"/>
          </w:divBdr>
        </w:div>
      </w:divsChild>
    </w:div>
    <w:div w:id="1906137826">
      <w:bodyDiv w:val="1"/>
      <w:marLeft w:val="0"/>
      <w:marRight w:val="0"/>
      <w:marTop w:val="0"/>
      <w:marBottom w:val="0"/>
      <w:divBdr>
        <w:top w:val="none" w:sz="0" w:space="0" w:color="auto"/>
        <w:left w:val="none" w:sz="0" w:space="0" w:color="auto"/>
        <w:bottom w:val="none" w:sz="0" w:space="0" w:color="auto"/>
        <w:right w:val="none" w:sz="0" w:space="0" w:color="auto"/>
      </w:divBdr>
    </w:div>
    <w:div w:id="2027320236">
      <w:bodyDiv w:val="1"/>
      <w:marLeft w:val="0"/>
      <w:marRight w:val="0"/>
      <w:marTop w:val="0"/>
      <w:marBottom w:val="0"/>
      <w:divBdr>
        <w:top w:val="none" w:sz="0" w:space="0" w:color="auto"/>
        <w:left w:val="none" w:sz="0" w:space="0" w:color="auto"/>
        <w:bottom w:val="none" w:sz="0" w:space="0" w:color="auto"/>
        <w:right w:val="none" w:sz="0" w:space="0" w:color="auto"/>
      </w:divBdr>
    </w:div>
    <w:div w:id="2053261324">
      <w:bodyDiv w:val="1"/>
      <w:marLeft w:val="0"/>
      <w:marRight w:val="0"/>
      <w:marTop w:val="0"/>
      <w:marBottom w:val="0"/>
      <w:divBdr>
        <w:top w:val="none" w:sz="0" w:space="0" w:color="auto"/>
        <w:left w:val="none" w:sz="0" w:space="0" w:color="auto"/>
        <w:bottom w:val="none" w:sz="0" w:space="0" w:color="auto"/>
        <w:right w:val="none" w:sz="0" w:space="0" w:color="auto"/>
      </w:divBdr>
    </w:div>
    <w:div w:id="2057653431">
      <w:bodyDiv w:val="1"/>
      <w:marLeft w:val="0"/>
      <w:marRight w:val="0"/>
      <w:marTop w:val="0"/>
      <w:marBottom w:val="0"/>
      <w:divBdr>
        <w:top w:val="none" w:sz="0" w:space="0" w:color="auto"/>
        <w:left w:val="none" w:sz="0" w:space="0" w:color="auto"/>
        <w:bottom w:val="none" w:sz="0" w:space="0" w:color="auto"/>
        <w:right w:val="none" w:sz="0" w:space="0" w:color="auto"/>
      </w:divBdr>
      <w:divsChild>
        <w:div w:id="889464644">
          <w:marLeft w:val="0"/>
          <w:marRight w:val="0"/>
          <w:marTop w:val="0"/>
          <w:marBottom w:val="0"/>
          <w:divBdr>
            <w:top w:val="none" w:sz="0" w:space="0" w:color="auto"/>
            <w:left w:val="none" w:sz="0" w:space="0" w:color="auto"/>
            <w:bottom w:val="none" w:sz="0" w:space="0" w:color="auto"/>
            <w:right w:val="none" w:sz="0" w:space="0" w:color="auto"/>
          </w:divBdr>
          <w:divsChild>
            <w:div w:id="821851556">
              <w:marLeft w:val="0"/>
              <w:marRight w:val="0"/>
              <w:marTop w:val="0"/>
              <w:marBottom w:val="0"/>
              <w:divBdr>
                <w:top w:val="none" w:sz="0" w:space="0" w:color="auto"/>
                <w:left w:val="none" w:sz="0" w:space="0" w:color="auto"/>
                <w:bottom w:val="none" w:sz="0" w:space="0" w:color="auto"/>
                <w:right w:val="none" w:sz="0" w:space="0" w:color="auto"/>
              </w:divBdr>
              <w:divsChild>
                <w:div w:id="14368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mj.com/about-bmj/resources-authors/forms-policies-and-checklists/copyright-open-access-and-permission-re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21222</Words>
  <Characters>120969</Characters>
  <Application>Microsoft Office Word</Application>
  <DocSecurity>0</DocSecurity>
  <Lines>1008</Lines>
  <Paragraphs>283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Naci,H</dc:creator>
  <cp:keywords/>
  <dc:description/>
  <cp:lastModifiedBy>Akhadova,R</cp:lastModifiedBy>
  <cp:revision>2</cp:revision>
  <dcterms:created xsi:type="dcterms:W3CDTF">2022-06-22T08:07:00Z</dcterms:created>
  <dcterms:modified xsi:type="dcterms:W3CDTF">2022-06-22T08:07:00Z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id="qsL1E9UH"/&gt;&lt;style id="http://www.zotero.org/styles/jama" hasBibliography="1" bibliographyStyleHasBeenSet="1"/&gt;&lt;prefs&gt;&lt;pref name="fieldType" value="Field"/&gt;&lt;pref name="automaticJournalAbbreviation</vt:lpwstr>
  </property>
  <property fmtid="{D5CDD505-2E9C-101B-9397-08002B2CF9AE}" pid="3" name="ZOTERO_PREF_2">
    <vt:lpwstr>s" value="true"/&gt;&lt;pref name="dontAskDelayCitationUpdates" value="true"/&gt;&lt;/prefs&gt;&lt;/data&gt;</vt:lpwstr>
  </property>
</Properties>
</file>