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58DB" w14:textId="2A5D4E52" w:rsidR="00C56AE9" w:rsidRDefault="00DE2B01" w:rsidP="00C56AE9">
      <w:pPr>
        <w:rPr>
          <w:b/>
        </w:rPr>
      </w:pPr>
      <w:bookmarkStart w:id="0" w:name="_Toc491858209"/>
      <w:r>
        <w:rPr>
          <w:b/>
        </w:rPr>
        <w:t xml:space="preserve"> </w:t>
      </w:r>
      <w:r w:rsidR="00C56AE9">
        <w:rPr>
          <w:b/>
        </w:rPr>
        <w:t xml:space="preserve">The Interaction Between Personality and Health Policy: </w:t>
      </w:r>
    </w:p>
    <w:p w14:paraId="39C89071" w14:textId="77777777" w:rsidR="00C56AE9" w:rsidRDefault="00C56AE9" w:rsidP="00C56AE9">
      <w:pPr>
        <w:rPr>
          <w:b/>
        </w:rPr>
      </w:pPr>
      <w:r>
        <w:rPr>
          <w:b/>
        </w:rPr>
        <w:t>Empirical Evidence from the UK Smoking Bans</w:t>
      </w:r>
    </w:p>
    <w:p w14:paraId="40827F9F" w14:textId="77777777" w:rsidR="00C56AE9" w:rsidRDefault="00C56AE9" w:rsidP="00C56AE9">
      <w:pPr>
        <w:spacing w:line="360" w:lineRule="auto"/>
        <w:rPr>
          <w:b/>
        </w:rPr>
      </w:pPr>
    </w:p>
    <w:p w14:paraId="2C3758FC" w14:textId="5E5A1272" w:rsidR="00C56AE9" w:rsidRPr="00891027" w:rsidRDefault="00C56AE9" w:rsidP="00C56AE9">
      <w:pPr>
        <w:spacing w:line="360" w:lineRule="auto"/>
        <w:rPr>
          <w:b/>
        </w:rPr>
      </w:pPr>
      <w:r w:rsidRPr="00891027">
        <w:rPr>
          <w:b/>
        </w:rPr>
        <w:t xml:space="preserve">Cecily Josten LSE </w:t>
      </w:r>
    </w:p>
    <w:p w14:paraId="625D7B29" w14:textId="77777777" w:rsidR="00C56AE9" w:rsidRPr="00891027" w:rsidRDefault="00C56AE9" w:rsidP="00C56AE9">
      <w:pPr>
        <w:spacing w:line="360" w:lineRule="auto"/>
        <w:rPr>
          <w:b/>
        </w:rPr>
      </w:pPr>
      <w:r w:rsidRPr="00891027">
        <w:rPr>
          <w:b/>
        </w:rPr>
        <w:t xml:space="preserve">Grace Lordan* LSE </w:t>
      </w:r>
    </w:p>
    <w:p w14:paraId="374AB5E7" w14:textId="1C5E031B" w:rsidR="00C56AE9" w:rsidRDefault="00C56AE9" w:rsidP="00C56AE9">
      <w:pPr>
        <w:spacing w:line="360" w:lineRule="auto"/>
        <w:rPr>
          <w:b/>
        </w:rPr>
      </w:pPr>
    </w:p>
    <w:p w14:paraId="5DA9F621" w14:textId="092BDD60" w:rsidR="00C56AE9" w:rsidRDefault="00C56AE9" w:rsidP="008F33CB">
      <w:pPr>
        <w:rPr>
          <w:b/>
        </w:rPr>
      </w:pPr>
      <w:r>
        <w:rPr>
          <w:b/>
        </w:rPr>
        <w:t>London School of Economics</w:t>
      </w:r>
    </w:p>
    <w:p w14:paraId="72D873F4" w14:textId="11AB39F7" w:rsidR="00C56AE9" w:rsidRDefault="00C56AE9" w:rsidP="008F33CB">
      <w:pPr>
        <w:rPr>
          <w:b/>
        </w:rPr>
      </w:pPr>
      <w:r>
        <w:rPr>
          <w:b/>
        </w:rPr>
        <w:t>Houghton Street</w:t>
      </w:r>
    </w:p>
    <w:p w14:paraId="70DB854E" w14:textId="3CB264FA" w:rsidR="00C56AE9" w:rsidRPr="00891027" w:rsidRDefault="00C56AE9" w:rsidP="008F33CB">
      <w:pPr>
        <w:rPr>
          <w:b/>
        </w:rPr>
      </w:pPr>
      <w:r>
        <w:rPr>
          <w:b/>
        </w:rPr>
        <w:t>WC2A 2AE</w:t>
      </w:r>
    </w:p>
    <w:p w14:paraId="483128DF" w14:textId="77777777" w:rsidR="00C56AE9" w:rsidRPr="00891027" w:rsidRDefault="00C56AE9" w:rsidP="00C56AE9">
      <w:pPr>
        <w:spacing w:line="360" w:lineRule="auto"/>
        <w:rPr>
          <w:b/>
        </w:rPr>
      </w:pPr>
    </w:p>
    <w:p w14:paraId="20F9D791" w14:textId="6F8B8ACC" w:rsidR="00C56AE9" w:rsidRDefault="00046F28" w:rsidP="00C56AE9">
      <w:pPr>
        <w:spacing w:line="360" w:lineRule="auto"/>
        <w:rPr>
          <w:b/>
        </w:rPr>
      </w:pPr>
      <w:r>
        <w:rPr>
          <w:b/>
        </w:rPr>
        <w:t>*</w:t>
      </w:r>
      <w:r w:rsidR="00C56AE9" w:rsidRPr="00891027">
        <w:rPr>
          <w:b/>
        </w:rPr>
        <w:t xml:space="preserve">Corresponding Author Contact </w:t>
      </w:r>
      <w:hyperlink r:id="rId8" w:history="1">
        <w:r w:rsidR="00C56AE9" w:rsidRPr="00891027">
          <w:rPr>
            <w:rStyle w:val="Hyperlink"/>
          </w:rPr>
          <w:t>g.lordan@lse.ac.uk</w:t>
        </w:r>
      </w:hyperlink>
      <w:r w:rsidR="00C56AE9" w:rsidRPr="00891027">
        <w:rPr>
          <w:b/>
        </w:rPr>
        <w:t xml:space="preserve"> </w:t>
      </w:r>
      <w:r w:rsidR="00AB6513">
        <w:rPr>
          <w:b/>
        </w:rPr>
        <w:t xml:space="preserve">, phone 00447879741117 </w:t>
      </w:r>
    </w:p>
    <w:p w14:paraId="69631965" w14:textId="19D231E7" w:rsidR="00C56AE9" w:rsidRDefault="00C56AE9" w:rsidP="00C56AE9">
      <w:pPr>
        <w:spacing w:line="360" w:lineRule="auto"/>
        <w:rPr>
          <w:b/>
        </w:rPr>
      </w:pPr>
    </w:p>
    <w:p w14:paraId="2FD12836" w14:textId="0600696D" w:rsidR="00C56AE9" w:rsidRDefault="00C56AE9" w:rsidP="00C56AE9">
      <w:pPr>
        <w:spacing w:line="360" w:lineRule="auto"/>
        <w:rPr>
          <w:b/>
        </w:rPr>
      </w:pPr>
    </w:p>
    <w:p w14:paraId="58D92ADA" w14:textId="200A6C9A" w:rsidR="00C56AE9" w:rsidRPr="008F33CB" w:rsidRDefault="00C56AE9" w:rsidP="008F33CB">
      <w:pPr>
        <w:spacing w:line="360" w:lineRule="auto"/>
        <w:jc w:val="both"/>
      </w:pPr>
      <w:r w:rsidRPr="008F33CB">
        <w:t>This research did not receive any specific grant from funding agencies in the public, commercial, or not-for-profit sectors.</w:t>
      </w:r>
    </w:p>
    <w:p w14:paraId="29AAE69E" w14:textId="77777777" w:rsidR="00C56AE9" w:rsidRDefault="00C56AE9">
      <w:pPr>
        <w:rPr>
          <w:b/>
        </w:rPr>
      </w:pPr>
      <w:r>
        <w:rPr>
          <w:b/>
        </w:rPr>
        <w:br w:type="page"/>
      </w:r>
    </w:p>
    <w:p w14:paraId="71B45481" w14:textId="6966D94A" w:rsidR="00CD4C88" w:rsidRDefault="004D2DF0">
      <w:pPr>
        <w:rPr>
          <w:b/>
        </w:rPr>
      </w:pPr>
      <w:r>
        <w:rPr>
          <w:b/>
        </w:rPr>
        <w:lastRenderedPageBreak/>
        <w:t xml:space="preserve">The Interaction Between Personality and Health Policy: </w:t>
      </w:r>
    </w:p>
    <w:p w14:paraId="69481F18" w14:textId="737B5D16" w:rsidR="00A92AC5" w:rsidRDefault="004D2DF0">
      <w:pPr>
        <w:rPr>
          <w:b/>
        </w:rPr>
      </w:pPr>
      <w:r>
        <w:rPr>
          <w:b/>
        </w:rPr>
        <w:t>Empirical Evidence from the UK Smoking Bans</w:t>
      </w:r>
    </w:p>
    <w:p w14:paraId="5EAEFC3E" w14:textId="7A0FBC0C" w:rsidR="005D1025" w:rsidRDefault="005D1025">
      <w:pPr>
        <w:rPr>
          <w:b/>
        </w:rPr>
      </w:pPr>
    </w:p>
    <w:p w14:paraId="23957470" w14:textId="77777777" w:rsidR="00307B76" w:rsidRDefault="00307B76">
      <w:pPr>
        <w:rPr>
          <w:b/>
        </w:rPr>
      </w:pPr>
    </w:p>
    <w:p w14:paraId="37A0B7FE" w14:textId="2BBF53CE" w:rsidR="00307B76" w:rsidRDefault="00307B76">
      <w:pPr>
        <w:rPr>
          <w:b/>
        </w:rPr>
      </w:pPr>
      <w:r>
        <w:rPr>
          <w:b/>
        </w:rPr>
        <w:t xml:space="preserve">Abstract: </w:t>
      </w:r>
    </w:p>
    <w:p w14:paraId="31B2F344" w14:textId="77777777" w:rsidR="009316C5" w:rsidRDefault="009316C5">
      <w:pPr>
        <w:rPr>
          <w:b/>
        </w:rPr>
      </w:pPr>
    </w:p>
    <w:p w14:paraId="241EA05C" w14:textId="473C49BE" w:rsidR="009316C5" w:rsidRPr="00423293" w:rsidRDefault="00E36496" w:rsidP="00675FAB">
      <w:pPr>
        <w:spacing w:line="360" w:lineRule="auto"/>
        <w:ind w:firstLine="360"/>
        <w:jc w:val="both"/>
      </w:pPr>
      <w:r>
        <w:t xml:space="preserve">We investigate whether </w:t>
      </w:r>
      <w:r w:rsidR="004D2DF0">
        <w:t>responses to</w:t>
      </w:r>
      <w:r>
        <w:t xml:space="preserve"> </w:t>
      </w:r>
      <w:r w:rsidR="009316C5" w:rsidRPr="00423293">
        <w:t xml:space="preserve">the UK </w:t>
      </w:r>
      <w:r>
        <w:t xml:space="preserve">public places </w:t>
      </w:r>
      <w:r w:rsidR="009316C5" w:rsidRPr="00423293">
        <w:t xml:space="preserve">smoking ban </w:t>
      </w:r>
      <w:r w:rsidR="004D2DF0">
        <w:t>depend on personality</w:t>
      </w:r>
      <w:r w:rsidR="006240F9">
        <w:t xml:space="preserve">. </w:t>
      </w:r>
      <w:r>
        <w:t xml:space="preserve">Drawing on </w:t>
      </w:r>
      <w:r w:rsidR="009316C5" w:rsidRPr="00423293">
        <w:t>individual level panel data from the Br</w:t>
      </w:r>
      <w:r>
        <w:t>itish Household Panel Survey</w:t>
      </w:r>
      <w:r w:rsidR="00675FAB">
        <w:t xml:space="preserve"> (BHPS)</w:t>
      </w:r>
      <w:r>
        <w:t xml:space="preserve"> we</w:t>
      </w:r>
      <w:r w:rsidR="009316C5" w:rsidRPr="00423293">
        <w:t xml:space="preserve"> </w:t>
      </w:r>
      <w:r w:rsidR="00F06095">
        <w:t>exploit</w:t>
      </w:r>
      <w:r w:rsidR="009316C5" w:rsidRPr="00423293">
        <w:t xml:space="preserve"> variati</w:t>
      </w:r>
      <w:r>
        <w:t xml:space="preserve">on in </w:t>
      </w:r>
      <w:r w:rsidR="004D2DF0">
        <w:t xml:space="preserve">the </w:t>
      </w:r>
      <w:r>
        <w:t>timing and location of</w:t>
      </w:r>
      <w:r w:rsidR="009316C5" w:rsidRPr="00423293">
        <w:t xml:space="preserve"> </w:t>
      </w:r>
      <w:r w:rsidR="004D2DF0">
        <w:t xml:space="preserve">these </w:t>
      </w:r>
      <w:r w:rsidR="009316C5" w:rsidRPr="00423293">
        <w:t>ban</w:t>
      </w:r>
      <w:r>
        <w:t>s</w:t>
      </w:r>
      <w:r w:rsidR="009316C5" w:rsidRPr="00423293">
        <w:t xml:space="preserve"> to establish the</w:t>
      </w:r>
      <w:r w:rsidR="00675FAB">
        <w:t>ir</w:t>
      </w:r>
      <w:r w:rsidR="009316C5" w:rsidRPr="00423293">
        <w:t xml:space="preserve"> </w:t>
      </w:r>
      <w:r w:rsidR="004D2DF0">
        <w:t xml:space="preserve">overall </w:t>
      </w:r>
      <w:r w:rsidR="009316C5" w:rsidRPr="00423293">
        <w:t>effect on smoking outcomes</w:t>
      </w:r>
      <w:r w:rsidR="004D2DF0">
        <w:t xml:space="preserve">, and </w:t>
      </w:r>
      <w:r w:rsidR="00675FAB">
        <w:t xml:space="preserve">how this differs by personality. We measure personality using the Big Five Personality traits. We are particularly interested in conscientiousness, given the evidence that it is a good proxy for self-control. </w:t>
      </w:r>
      <w:r>
        <w:t xml:space="preserve"> </w:t>
      </w:r>
      <w:r w:rsidR="00675FAB">
        <w:t>Overall, w</w:t>
      </w:r>
      <w:r>
        <w:t>e find</w:t>
      </w:r>
      <w:r w:rsidR="009316C5" w:rsidRPr="00423293">
        <w:t xml:space="preserve"> that a one standard deviation increase in conscientiousness leads to a 1.4 per</w:t>
      </w:r>
      <w:r w:rsidR="006240F9">
        <w:t>centage point</w:t>
      </w:r>
      <w:r w:rsidR="009316C5" w:rsidRPr="00423293">
        <w:t xml:space="preserve"> reduction in the probability </w:t>
      </w:r>
      <w:r w:rsidR="006240F9">
        <w:t>of</w:t>
      </w:r>
      <w:r w:rsidR="009316C5" w:rsidRPr="00423293">
        <w:t xml:space="preserve"> smok</w:t>
      </w:r>
      <w:r w:rsidR="006240F9">
        <w:t>ing</w:t>
      </w:r>
      <w:r w:rsidR="009316C5" w:rsidRPr="00423293">
        <w:t xml:space="preserve"> after the ban. </w:t>
      </w:r>
      <w:r w:rsidR="00675FAB">
        <w:t xml:space="preserve">Notably, this is the only Big </w:t>
      </w:r>
      <w:r w:rsidR="0050385D">
        <w:t>Five</w:t>
      </w:r>
      <w:r w:rsidR="00675FAB">
        <w:t xml:space="preserve"> personality trait that interacts with the smoking ban. </w:t>
      </w:r>
      <w:r w:rsidR="009316C5" w:rsidRPr="00423293">
        <w:t xml:space="preserve">This </w:t>
      </w:r>
      <w:r w:rsidR="0061384E">
        <w:t>finding</w:t>
      </w:r>
      <w:r w:rsidR="009316C5" w:rsidRPr="00423293">
        <w:t xml:space="preserve"> is </w:t>
      </w:r>
      <w:r w:rsidR="00675FAB">
        <w:t xml:space="preserve">very </w:t>
      </w:r>
      <w:r w:rsidR="009316C5" w:rsidRPr="00423293">
        <w:t>robust to different specifications</w:t>
      </w:r>
      <w:r w:rsidR="00675FAB">
        <w:t>.</w:t>
      </w:r>
      <w:r w:rsidR="006104CC" w:rsidRPr="006104CC">
        <w:t xml:space="preserve"> </w:t>
      </w:r>
    </w:p>
    <w:p w14:paraId="324DFCEB" w14:textId="5F9C42FE" w:rsidR="009316C5" w:rsidRDefault="009316C5" w:rsidP="00EE405C">
      <w:pPr>
        <w:spacing w:line="360" w:lineRule="auto"/>
        <w:jc w:val="both"/>
        <w:rPr>
          <w:i/>
        </w:rPr>
      </w:pPr>
    </w:p>
    <w:p w14:paraId="22C4D04C" w14:textId="697475B7" w:rsidR="009316C5" w:rsidRDefault="009316C5" w:rsidP="00EE405C">
      <w:pPr>
        <w:spacing w:line="360" w:lineRule="auto"/>
        <w:jc w:val="both"/>
      </w:pPr>
      <w:r>
        <w:t xml:space="preserve">Keywords: </w:t>
      </w:r>
      <w:r w:rsidR="00B91376">
        <w:t>smoking ban</w:t>
      </w:r>
      <w:r w:rsidR="00403F9A">
        <w:t xml:space="preserve">, </w:t>
      </w:r>
      <w:r w:rsidR="00B91376" w:rsidRPr="00B91376">
        <w:t>personality, Five Factor Model</w:t>
      </w:r>
      <w:r w:rsidR="00B91376">
        <w:t>, conscientiousness</w:t>
      </w:r>
    </w:p>
    <w:p w14:paraId="66BE0A13" w14:textId="1EEB3978" w:rsidR="00307B76" w:rsidRPr="00EE405C" w:rsidRDefault="00403F9A" w:rsidP="00EE405C">
      <w:pPr>
        <w:spacing w:line="360" w:lineRule="auto"/>
        <w:jc w:val="both"/>
      </w:pPr>
      <w:r w:rsidRPr="00403F9A">
        <w:t xml:space="preserve">JEL Classification: </w:t>
      </w:r>
      <w:r>
        <w:t>C23, D04, I10, I12, I18, H75</w:t>
      </w:r>
      <w:r w:rsidRPr="00403F9A">
        <w:t xml:space="preserve"> </w:t>
      </w:r>
      <w:r w:rsidR="00307B76">
        <w:rPr>
          <w:b/>
        </w:rPr>
        <w:br w:type="page"/>
      </w:r>
    </w:p>
    <w:p w14:paraId="012BC62A" w14:textId="531BA60C" w:rsidR="00307B76" w:rsidRPr="00307B76" w:rsidRDefault="00307B76">
      <w:pPr>
        <w:rPr>
          <w:rFonts w:eastAsiaTheme="majorEastAsia" w:cstheme="majorBidi"/>
          <w:b/>
          <w:color w:val="000000" w:themeColor="text1"/>
          <w:lang w:eastAsia="en-GB"/>
        </w:rPr>
      </w:pPr>
      <w:r w:rsidRPr="00307B76">
        <w:rPr>
          <w:b/>
        </w:rPr>
        <w:lastRenderedPageBreak/>
        <w:t xml:space="preserve"> </w:t>
      </w:r>
    </w:p>
    <w:p w14:paraId="53AD95DE" w14:textId="68DFE415" w:rsidR="0081323F" w:rsidRPr="00307B76" w:rsidRDefault="00337C62" w:rsidP="00922ABE">
      <w:pPr>
        <w:pStyle w:val="Heading2"/>
      </w:pPr>
      <w:r w:rsidRPr="00307B76">
        <w:t>Introduction</w:t>
      </w:r>
      <w:bookmarkEnd w:id="0"/>
    </w:p>
    <w:p w14:paraId="3C8695E1" w14:textId="2319BC66" w:rsidR="009F77B7" w:rsidRDefault="002A535C" w:rsidP="002D210D">
      <w:pPr>
        <w:spacing w:line="360" w:lineRule="auto"/>
        <w:ind w:firstLine="360"/>
        <w:jc w:val="both"/>
      </w:pPr>
      <w:r>
        <w:t xml:space="preserve">Smoking remains a major global public </w:t>
      </w:r>
      <w:r w:rsidR="003D7B97">
        <w:t xml:space="preserve">health concern. </w:t>
      </w:r>
      <w:r w:rsidR="00A9676A">
        <w:t xml:space="preserve">In the </w:t>
      </w:r>
      <w:r w:rsidR="00CE4F32">
        <w:t>United Kingdom (UK)</w:t>
      </w:r>
      <w:r w:rsidR="00A9676A">
        <w:t xml:space="preserve">, </w:t>
      </w:r>
      <w:r w:rsidR="00D822EA">
        <w:t>approximately 100</w:t>
      </w:r>
      <w:r w:rsidR="008972AC">
        <w:t>,</w:t>
      </w:r>
      <w:r w:rsidR="00D822EA">
        <w:t xml:space="preserve">000 preventable deaths </w:t>
      </w:r>
      <w:r w:rsidR="00A9676A">
        <w:t>can be attributed to smoking</w:t>
      </w:r>
      <w:r w:rsidR="00D822EA">
        <w:t xml:space="preserve"> </w:t>
      </w:r>
      <w:r w:rsidR="00D822EA">
        <w:fldChar w:fldCharType="begin" w:fldLock="1"/>
      </w:r>
      <w:r w:rsidR="00E30CF0">
        <w:instrText>ADDIN CSL_CITATION { "citationItems" : [ { "id" : "ITEM-1", "itemData" : { "DOI" : "10.2105/AJPH.76.11.1337", "abstract" : "Cigarette smoking among adults including the proportion of people who smoke including demographic breakdowns, changes over time, and e-cigarettes.", "author" : [ { "dropping-particle" : "", "family" : "Office for National Statistics", "given" : "", "non-dropping-particle" : "", "parse-names" : false, "suffix" : "" } ], "container-title" : "Office for National Statistics", "id" : "ITEM-1", "issued" : { "date-parts" : [ [ "2016" ] ] }, "number-of-pages" : "1-13", "title" : "Adult smoking habits in the UK 2016", "type" : "report" }, "uris" : [ "http://www.mendeley.com/documents/?uuid=d0117b3e-1232-4f4c-bb78-53551fb094bd" ] } ], "mendeley" : { "formattedCitation" : "(Office for National Statistics 2016)", "plainTextFormattedCitation" : "(Office for National Statistics 2016)", "previouslyFormattedCitation" : "(Office for National Statistics 2016)" }, "properties" : { "noteIndex" : 0 }, "schema" : "https://github.com/citation-style-language/schema/raw/master/csl-citation.json" }</w:instrText>
      </w:r>
      <w:r w:rsidR="00D822EA">
        <w:fldChar w:fldCharType="separate"/>
      </w:r>
      <w:r w:rsidR="00D822EA" w:rsidRPr="00D822EA">
        <w:rPr>
          <w:noProof/>
        </w:rPr>
        <w:t>(Office for National Statistics 2016)</w:t>
      </w:r>
      <w:r w:rsidR="00D822EA">
        <w:fldChar w:fldCharType="end"/>
      </w:r>
      <w:r w:rsidR="00D822EA">
        <w:t>.</w:t>
      </w:r>
      <w:r w:rsidR="00A9676A">
        <w:t xml:space="preserve"> Smoking </w:t>
      </w:r>
      <w:r w:rsidR="001135BA">
        <w:t xml:space="preserve">also </w:t>
      </w:r>
      <w:r w:rsidR="006F7970">
        <w:t xml:space="preserve">imposes high costs on publicly funded health systems and </w:t>
      </w:r>
      <w:r w:rsidR="00337F54">
        <w:t xml:space="preserve">may be viewed as </w:t>
      </w:r>
      <w:r w:rsidR="002B3B80">
        <w:t>exacerbating</w:t>
      </w:r>
      <w:r w:rsidR="00337F54">
        <w:t xml:space="preserve"> </w:t>
      </w:r>
      <w:r w:rsidR="00326988">
        <w:t xml:space="preserve">health </w:t>
      </w:r>
      <w:r w:rsidR="006F7970">
        <w:t xml:space="preserve">inequalities </w:t>
      </w:r>
      <w:r w:rsidR="00682F17">
        <w:t>given that</w:t>
      </w:r>
      <w:r w:rsidR="00A9676A">
        <w:t xml:space="preserve"> smoking is concentrated </w:t>
      </w:r>
      <w:r w:rsidR="00337F54">
        <w:t>among those</w:t>
      </w:r>
      <w:r w:rsidR="00A9676A">
        <w:t xml:space="preserve"> of low socio-economic status </w:t>
      </w:r>
      <w:r w:rsidR="00A9676A">
        <w:fldChar w:fldCharType="begin" w:fldLock="1"/>
      </w:r>
      <w:r w:rsidR="00EE3344">
        <w:instrText>ADDIN CSL_CITATION { "citationItems" : [ { "id" : "ITEM-1", "itemData" : { "author" : [ { "dropping-particle" : "", "family" : "Jones", "given" : "Andrew M", "non-dropping-particle" : "", "parse-names" : false, "suffix" : "" }, { "dropping-particle" : "", "family" : "Laporte", "given" : "Audrey", "non-dropping-particle" : "", "parse-names" : false, "suffix" : "" }, { "dropping-particle" : "", "family" : "Rice", "given" : "Nigel", "non-dropping-particle" : "", "parse-names" : false, "suffix" : "" }, { "dropping-particle" : "", "family" : "Zucchelli", "given" : "Eugenio", "non-dropping-particle" : "", "parse-names" : false, "suffix" : "" } ], "container-title" : "Health, Econometrics and Data Group", "id" : "ITEM-1", "issue" : "May", "issued" : { "date-parts" : [ [ "2011" ] ] }, "title" : "A model of the impact of smoking bans on smoking with evidence from bans in England and Scotland", "type" : "article-journal" }, "uris" : [ "http://www.mendeley.com/documents/?uuid=6dddb2ac-86f2-4831-9695-354625ee455e" ] } ], "mendeley" : { "formattedCitation" : "(Jones et al. 2011)", "plainTextFormattedCitation" : "(Jones et al. 2011)", "previouslyFormattedCitation" : "(Jones et al. 2011)" }, "properties" : { "noteIndex" : 0 }, "schema" : "https://github.com/citation-style-language/schema/raw/master/csl-citation.json" }</w:instrText>
      </w:r>
      <w:r w:rsidR="00A9676A">
        <w:fldChar w:fldCharType="separate"/>
      </w:r>
      <w:r w:rsidR="00A9676A" w:rsidRPr="00A9676A">
        <w:rPr>
          <w:noProof/>
        </w:rPr>
        <w:t>(Jones et al. 2011)</w:t>
      </w:r>
      <w:r w:rsidR="00A9676A">
        <w:fldChar w:fldCharType="end"/>
      </w:r>
      <w:r w:rsidR="00A9676A">
        <w:t xml:space="preserve">. </w:t>
      </w:r>
      <w:r w:rsidR="008A7066">
        <w:t>Several</w:t>
      </w:r>
      <w:r w:rsidR="00E30CF0">
        <w:t xml:space="preserve"> policy interventions have targeted smoking in the past decades </w:t>
      </w:r>
      <w:r w:rsidR="009F622F">
        <w:t xml:space="preserve">in the UK </w:t>
      </w:r>
      <w:r w:rsidR="00A9676A">
        <w:t>including</w:t>
      </w:r>
      <w:r w:rsidR="001135BA">
        <w:t>,</w:t>
      </w:r>
      <w:r w:rsidR="001D235E">
        <w:t xml:space="preserve"> </w:t>
      </w:r>
      <w:r w:rsidR="00083091">
        <w:t xml:space="preserve">a </w:t>
      </w:r>
      <w:r w:rsidR="00326988">
        <w:t>ban on smoking in public places</w:t>
      </w:r>
      <w:r w:rsidR="00083091">
        <w:t xml:space="preserve">. </w:t>
      </w:r>
      <w:r w:rsidR="00326988">
        <w:t xml:space="preserve"> </w:t>
      </w:r>
      <w:r w:rsidR="001135BA">
        <w:t>These bans were</w:t>
      </w:r>
      <w:r w:rsidR="00203C3F">
        <w:t xml:space="preserve"> </w:t>
      </w:r>
      <w:r w:rsidR="00DE7C92">
        <w:t xml:space="preserve">implemented primarily to </w:t>
      </w:r>
      <w:r w:rsidR="00E30CF0">
        <w:t xml:space="preserve">reduce </w:t>
      </w:r>
      <w:r w:rsidR="001135BA">
        <w:t xml:space="preserve">the </w:t>
      </w:r>
      <w:r w:rsidR="00E30CF0">
        <w:t>health damage from second-hand smoke</w:t>
      </w:r>
      <w:r w:rsidR="00DE7C92">
        <w:t xml:space="preserve"> </w:t>
      </w:r>
      <w:r w:rsidR="001135BA">
        <w:t xml:space="preserve">and to increase the opportunity cost of smoking </w:t>
      </w:r>
      <w:r w:rsidR="003D7B97">
        <w:t xml:space="preserve">to smokers </w:t>
      </w:r>
      <w:r w:rsidR="00E30CF0">
        <w:fldChar w:fldCharType="begin" w:fldLock="1"/>
      </w:r>
      <w:r w:rsidR="00A9676A">
        <w:instrText>ADDIN CSL_CITATION { "citationItems" : [ { "id" : "ITEM-1", "itemData" : { "author" : [ { "dropping-particle" : "", "family" : "Bauld", "given" : "Linda", "non-dropping-particle" : "", "parse-names" : false, "suffix" : "" } ], "container-title" : "Department of Health", "id" : "ITEM-1", "issue" : "March", "issued" : { "date-parts" : [ [ "2011" ] ] }, "title" : "The impact of smokefree legislation in England: Evidence Review", "type" : "report" }, "uris" : [ "http://www.mendeley.com/documents/?uuid=2f8f1b70-7fff-4a2d-a078-74164036c96d" ] } ], "mendeley" : { "formattedCitation" : "(Bauld 2011)", "plainTextFormattedCitation" : "(Bauld 2011)", "previouslyFormattedCitation" : "(Bauld 2011)" }, "properties" : { "noteIndex" : 0 }, "schema" : "https://github.com/citation-style-language/schema/raw/master/csl-citation.json" }</w:instrText>
      </w:r>
      <w:r w:rsidR="00E30CF0">
        <w:fldChar w:fldCharType="separate"/>
      </w:r>
      <w:r w:rsidR="00E30CF0" w:rsidRPr="00E30CF0">
        <w:rPr>
          <w:noProof/>
        </w:rPr>
        <w:t>(Bauld 2011)</w:t>
      </w:r>
      <w:r w:rsidR="00E30CF0">
        <w:fldChar w:fldCharType="end"/>
      </w:r>
      <w:r w:rsidR="00E30CF0">
        <w:t xml:space="preserve">. </w:t>
      </w:r>
      <w:r w:rsidR="003D7B97">
        <w:t>Notably, in</w:t>
      </w:r>
      <w:r w:rsidR="00337F54">
        <w:t>c</w:t>
      </w:r>
      <w:r w:rsidR="001135BA">
        <w:t xml:space="preserve">reases to opportunity cost serve to directly </w:t>
      </w:r>
      <w:r w:rsidR="00D62A24">
        <w:t>reduce smokers’</w:t>
      </w:r>
      <w:r w:rsidR="006F6B4D">
        <w:t xml:space="preserve"> utility </w:t>
      </w:r>
      <w:r w:rsidR="004234E7">
        <w:fldChar w:fldCharType="begin" w:fldLock="1"/>
      </w:r>
      <w:r w:rsidR="00FC1A56">
        <w:instrText>ADDIN CSL_CITATION { "citationItems" : [ { "id" : "ITEM-1", "itemData" : { "DOI" : "10.1111/j.1467-9442.2012.01701.x", "ISBN" : "0347-0520", "ISSN" : "03470520", "abstract" : "In much of the literature on externalities, taxes and direct regulation have been considered as alternative policy instruments. Both instruments might be imperfect in practice, reflecting informational deficiencies and other limitations. We analyse the use of taxes and regulation in combination, to control externalities arising from individual consumption behaviour. We consider the cases either where taxes are imperfectly differentiated to reflect individual differences in externalities, or where some consumption escapes taxation. In both cases, we characterize the optimal instrument mix, and we show how changing the level of direct regulation alters the optimal externality tax.", "author" : [ { "dropping-particle" : "", "family" : "Christiansen", "given" : "Vidar", "non-dropping-particle" : "", "parse-names" : false, "suffix" : "" }, { "dropping-particle" : "", "family" : "Smith", "given" : "Stephen", "non-dropping-particle" : "", "parse-names" : false, "suffix" : "" } ], "container-title" : "Institute for Fiscal Studies", "id" : "ITEM-1", "issue" : "2", "issued" : { "date-parts" : [ [ "2012" ] ] }, "page" : "358-383", "title" : "Externality-Correcting Taxes and Regulation", "type" : "article-journal", "volume" : "114" }, "uris" : [ "http://www.mendeley.com/documents/?uuid=c4d21941-e7cf-4111-ab38-c1c1745badf4" ] } ], "mendeley" : { "formattedCitation" : "(Christiansen &amp; Smith 2012)", "plainTextFormattedCitation" : "(Christiansen &amp; Smith 2012)", "previouslyFormattedCitation" : "(Christiansen &amp; Smith 2012)" }, "properties" : { "noteIndex" : 0 }, "schema" : "https://github.com/citation-style-language/schema/raw/master/csl-citation.json" }</w:instrText>
      </w:r>
      <w:r w:rsidR="004234E7">
        <w:fldChar w:fldCharType="separate"/>
      </w:r>
      <w:r w:rsidR="004234E7" w:rsidRPr="004234E7">
        <w:rPr>
          <w:noProof/>
        </w:rPr>
        <w:t>(Christiansen &amp; Smith 2012)</w:t>
      </w:r>
      <w:r w:rsidR="004234E7">
        <w:fldChar w:fldCharType="end"/>
      </w:r>
      <w:r w:rsidR="00337F54">
        <w:t>. S</w:t>
      </w:r>
      <w:r w:rsidR="00204D12">
        <w:t>moking ban</w:t>
      </w:r>
      <w:r w:rsidR="001135BA">
        <w:t>s</w:t>
      </w:r>
      <w:r w:rsidR="00204D12">
        <w:t xml:space="preserve"> </w:t>
      </w:r>
      <w:r w:rsidR="00337F54">
        <w:t>also</w:t>
      </w:r>
      <w:r w:rsidR="00D62A24">
        <w:t xml:space="preserve"> </w:t>
      </w:r>
      <w:r w:rsidR="003D7B97">
        <w:t xml:space="preserve">act </w:t>
      </w:r>
      <w:r w:rsidR="00204D12">
        <w:t>as a commitment device for individuals trying to quit smoking</w:t>
      </w:r>
      <w:r w:rsidR="003D7B97">
        <w:t xml:space="preserve"> but failing due to limited</w:t>
      </w:r>
      <w:r w:rsidR="006F6B4D">
        <w:t xml:space="preserve"> self-control </w:t>
      </w:r>
      <w:r w:rsidR="00204D12">
        <w:t xml:space="preserve"> </w:t>
      </w:r>
      <w:r w:rsidR="00FC1A56">
        <w:fldChar w:fldCharType="begin" w:fldLock="1"/>
      </w:r>
      <w:r w:rsidR="00094E3E">
        <w:instrText>ADDIN CSL_CITATION { "citationItems" : [ { "id" : "ITEM-1", "itemData" : { "author" : [ { "dropping-particle" : "de", "family" : "Bartolome", "given" : "Charles", "non-dropping-particle" : "", "parse-names" : false, "suffix" : "" }, { "dropping-particle" : "", "family" : "Irvine", "given" : "Ian J", "non-dropping-particle" : "", "parse-names" : false, "suffix" : "" } ], "container-title" : "UCD GEARY INSTITUTE DISCUSSION PAPER SERIES", "id" : "ITEM-1", "issue" : "May", "issued" : { "date-parts" : [ [ "2010" ] ] }, "title" : "The Economics of Smoking Bans", "type" : "article-journal" }, "uris" : [ "http://www.mendeley.com/documents/?uuid=e7d80e04-2aec-4a79-8eee-e2716ae773d3" ] } ], "mendeley" : { "formattedCitation" : "(Bartolome &amp; Irvine 2010)", "plainTextFormattedCitation" : "(Bartolome &amp; Irvine 2010)", "previouslyFormattedCitation" : "(Bartolome &amp; Irvine 2010)" }, "properties" : { "noteIndex" : 0 }, "schema" : "https://github.com/citation-style-language/schema/raw/master/csl-citation.json" }</w:instrText>
      </w:r>
      <w:r w:rsidR="00FC1A56">
        <w:fldChar w:fldCharType="separate"/>
      </w:r>
      <w:r w:rsidR="00FC1A56" w:rsidRPr="00FC1A56">
        <w:rPr>
          <w:noProof/>
        </w:rPr>
        <w:t>(Bartolome &amp; Irvine 2010)</w:t>
      </w:r>
      <w:r w:rsidR="00FC1A56">
        <w:fldChar w:fldCharType="end"/>
      </w:r>
      <w:r w:rsidR="00FC1A56">
        <w:t>.</w:t>
      </w:r>
      <w:r w:rsidR="00D62A24">
        <w:t xml:space="preserve"> </w:t>
      </w:r>
    </w:p>
    <w:p w14:paraId="70905153" w14:textId="77777777" w:rsidR="009F77B7" w:rsidRDefault="009F77B7" w:rsidP="002D210D">
      <w:pPr>
        <w:spacing w:line="360" w:lineRule="auto"/>
        <w:ind w:firstLine="360"/>
        <w:jc w:val="both"/>
      </w:pPr>
    </w:p>
    <w:p w14:paraId="67AEDCD5" w14:textId="381FA608" w:rsidR="006240F9" w:rsidRDefault="00337F54" w:rsidP="00804226">
      <w:pPr>
        <w:spacing w:line="360" w:lineRule="auto"/>
        <w:ind w:firstLine="360"/>
        <w:jc w:val="both"/>
      </w:pPr>
      <w:r>
        <w:rPr>
          <w:color w:val="000000" w:themeColor="text1"/>
        </w:rPr>
        <w:t>T</w:t>
      </w:r>
      <w:r w:rsidR="00D62A24" w:rsidRPr="00337F54">
        <w:rPr>
          <w:color w:val="000000" w:themeColor="text1"/>
        </w:rPr>
        <w:t xml:space="preserve">he </w:t>
      </w:r>
      <w:proofErr w:type="gramStart"/>
      <w:r w:rsidR="00D62A24" w:rsidRPr="00337F54">
        <w:rPr>
          <w:color w:val="000000" w:themeColor="text1"/>
        </w:rPr>
        <w:t>effect</w:t>
      </w:r>
      <w:r w:rsidR="000F0A25" w:rsidRPr="00337F54">
        <w:rPr>
          <w:color w:val="000000" w:themeColor="text1"/>
        </w:rPr>
        <w:t>s</w:t>
      </w:r>
      <w:proofErr w:type="gramEnd"/>
      <w:r w:rsidR="00D62A24" w:rsidRPr="00337F54">
        <w:rPr>
          <w:color w:val="000000" w:themeColor="text1"/>
        </w:rPr>
        <w:t xml:space="preserve"> of public smoking bans on smoking cessation has been </w:t>
      </w:r>
      <w:r>
        <w:rPr>
          <w:color w:val="000000" w:themeColor="text1"/>
        </w:rPr>
        <w:t xml:space="preserve">well explored in the literature with </w:t>
      </w:r>
      <w:r w:rsidR="00D86E90" w:rsidRPr="00337F54">
        <w:rPr>
          <w:color w:val="000000" w:themeColor="text1"/>
        </w:rPr>
        <w:t>ambiguous</w:t>
      </w:r>
      <w:r w:rsidR="00D62A24" w:rsidRPr="00337F54">
        <w:rPr>
          <w:color w:val="000000" w:themeColor="text1"/>
        </w:rPr>
        <w:t xml:space="preserve"> results</w:t>
      </w:r>
      <w:r>
        <w:rPr>
          <w:color w:val="000000" w:themeColor="text1"/>
        </w:rPr>
        <w:t xml:space="preserve"> across countries</w:t>
      </w:r>
      <w:r>
        <w:rPr>
          <w:rStyle w:val="FootnoteReference"/>
          <w:color w:val="000000" w:themeColor="text1"/>
        </w:rPr>
        <w:footnoteReference w:id="1"/>
      </w:r>
      <w:r w:rsidR="00D62A24" w:rsidRPr="00337F54">
        <w:rPr>
          <w:color w:val="000000" w:themeColor="text1"/>
        </w:rPr>
        <w:t>.</w:t>
      </w:r>
      <w:r w:rsidR="00426B7A">
        <w:rPr>
          <w:color w:val="000000" w:themeColor="text1"/>
        </w:rPr>
        <w:t xml:space="preserve"> The </w:t>
      </w:r>
      <w:r w:rsidR="0051052F">
        <w:rPr>
          <w:color w:val="000000" w:themeColor="text1"/>
        </w:rPr>
        <w:t xml:space="preserve">major lesson from this literature is that there </w:t>
      </w:r>
      <w:r w:rsidR="002025D4">
        <w:rPr>
          <w:color w:val="000000" w:themeColor="text1"/>
        </w:rPr>
        <w:t>is a potential for</w:t>
      </w:r>
      <w:r w:rsidR="00D62A24" w:rsidRPr="00337F54">
        <w:rPr>
          <w:color w:val="000000" w:themeColor="text1"/>
        </w:rPr>
        <w:t xml:space="preserve"> </w:t>
      </w:r>
      <w:r w:rsidR="002025D4">
        <w:rPr>
          <w:color w:val="000000" w:themeColor="text1"/>
        </w:rPr>
        <w:t>differential</w:t>
      </w:r>
      <w:r w:rsidR="00014027" w:rsidRPr="00337F54">
        <w:rPr>
          <w:color w:val="000000" w:themeColor="text1"/>
        </w:rPr>
        <w:t xml:space="preserve"> responses to public smoking bans depending on individual characteristics</w:t>
      </w:r>
      <w:r w:rsidR="00C174F7" w:rsidRPr="00337F54">
        <w:rPr>
          <w:color w:val="000000" w:themeColor="text1"/>
        </w:rPr>
        <w:t xml:space="preserve"> </w:t>
      </w:r>
      <w:r w:rsidR="00C174F7" w:rsidRPr="00337F54">
        <w:rPr>
          <w:color w:val="000000" w:themeColor="text1"/>
        </w:rPr>
        <w:fldChar w:fldCharType="begin" w:fldLock="1"/>
      </w:r>
      <w:r w:rsidR="00A70391" w:rsidRPr="00337F54">
        <w:rPr>
          <w:color w:val="000000" w:themeColor="text1"/>
        </w:rPr>
        <w:instrText>ADDIN CSL_CITATION { "citationItems" : [ { "id" : "ITEM-1", "itemData" : { "DOI" : "10.1002/hec.3310", "author" : [ { "dropping-particle" : "", "family" : "Kuehnle", "given" : "Daniel", "non-dropping-particle" : "", "parse-names" : false, "suffix" : "" }, { "dropping-particle" : "", "family" : "Wunder", "given" : "Christoph", "non-dropping-particle" : "", "parse-names" : false, "suffix" : "" } ], "container-title" : "Health Economics", "id" : "ITEM-1", "issue" : "January 2016", "issued" : { "date-parts" : [ [ "2017" ] ] }, "page" : "321-337", "title" : "The effects of smoking bans on self-assessed health: Evidence from Germany", "type" : "article-journal", "volume" : "337" }, "uris" : [ "http://www.mendeley.com/documents/?uuid=700299b9-95e5-4279-977b-199eed188e60" ] } ], "mendeley" : { "formattedCitation" : "(Kuehnle &amp; Wunder 2017)", "plainTextFormattedCitation" : "(Kuehnle &amp; Wunder 2017)", "previouslyFormattedCitation" : "(Kuehnle &amp; Wunder 2017)" }, "properties" : { "noteIndex" : 0 }, "schema" : "https://github.com/citation-style-language/schema/raw/master/csl-citation.json" }</w:instrText>
      </w:r>
      <w:r w:rsidR="00C174F7" w:rsidRPr="00337F54">
        <w:rPr>
          <w:color w:val="000000" w:themeColor="text1"/>
        </w:rPr>
        <w:fldChar w:fldCharType="separate"/>
      </w:r>
      <w:r w:rsidR="00C174F7" w:rsidRPr="00337F54">
        <w:rPr>
          <w:noProof/>
          <w:color w:val="000000" w:themeColor="text1"/>
        </w:rPr>
        <w:t>(Kuehnle &amp; Wunder 2017)</w:t>
      </w:r>
      <w:r w:rsidR="00C174F7" w:rsidRPr="00337F54">
        <w:rPr>
          <w:color w:val="000000" w:themeColor="text1"/>
        </w:rPr>
        <w:fldChar w:fldCharType="end"/>
      </w:r>
      <w:r w:rsidR="00014027" w:rsidRPr="00337F54">
        <w:rPr>
          <w:color w:val="000000" w:themeColor="text1"/>
        </w:rPr>
        <w:t>.</w:t>
      </w:r>
      <w:r w:rsidR="00804226">
        <w:rPr>
          <w:color w:val="000000" w:themeColor="text1"/>
        </w:rPr>
        <w:t xml:space="preserve"> Intuitively this raises the possibility that </w:t>
      </w:r>
      <w:r w:rsidR="006240F9">
        <w:rPr>
          <w:color w:val="000000" w:themeColor="text1"/>
        </w:rPr>
        <w:t>personality</w:t>
      </w:r>
      <w:r w:rsidR="00804226">
        <w:rPr>
          <w:color w:val="000000" w:themeColor="text1"/>
        </w:rPr>
        <w:t xml:space="preserve"> </w:t>
      </w:r>
      <w:r w:rsidR="00A90B41">
        <w:rPr>
          <w:color w:val="000000" w:themeColor="text1"/>
        </w:rPr>
        <w:t xml:space="preserve">can </w:t>
      </w:r>
      <w:r w:rsidR="00804226">
        <w:rPr>
          <w:color w:val="000000" w:themeColor="text1"/>
        </w:rPr>
        <w:t xml:space="preserve">be important. In this study we explore </w:t>
      </w:r>
      <w:r w:rsidR="00804226">
        <w:t>the extent to which</w:t>
      </w:r>
      <w:r w:rsidR="00F74B8B">
        <w:t xml:space="preserve"> </w:t>
      </w:r>
      <w:r w:rsidR="0004357A">
        <w:t xml:space="preserve">responses </w:t>
      </w:r>
      <w:r w:rsidR="00804226">
        <w:t>to a</w:t>
      </w:r>
      <w:r w:rsidR="00B26AB1">
        <w:t xml:space="preserve"> </w:t>
      </w:r>
      <w:r w:rsidR="00E043F8">
        <w:t xml:space="preserve">public smoking </w:t>
      </w:r>
      <w:r w:rsidR="00B26AB1">
        <w:t xml:space="preserve">ban </w:t>
      </w:r>
      <w:r w:rsidR="000F0A25">
        <w:t xml:space="preserve">vary </w:t>
      </w:r>
      <w:r w:rsidR="001B6FAF">
        <w:t>in intensity depending on</w:t>
      </w:r>
      <w:r w:rsidR="0004357A">
        <w:t xml:space="preserve"> </w:t>
      </w:r>
      <w:r w:rsidR="00AE71EA">
        <w:t>a smoker</w:t>
      </w:r>
      <w:r w:rsidR="0044129E">
        <w:t>’</w:t>
      </w:r>
      <w:r w:rsidR="00AE71EA">
        <w:t>s</w:t>
      </w:r>
      <w:r w:rsidR="00804226">
        <w:t xml:space="preserve"> level of</w:t>
      </w:r>
      <w:r w:rsidR="00E043F8">
        <w:t xml:space="preserve"> conscientiousness</w:t>
      </w:r>
      <w:r w:rsidR="00804226">
        <w:t>. Notably</w:t>
      </w:r>
      <w:r w:rsidR="00E043F8">
        <w:t xml:space="preserve"> conscientiousness has </w:t>
      </w:r>
      <w:r w:rsidR="00804226">
        <w:t xml:space="preserve">already </w:t>
      </w:r>
      <w:r w:rsidR="00E043F8">
        <w:t xml:space="preserve">been shown to be a </w:t>
      </w:r>
      <w:r w:rsidR="00804226">
        <w:t>proxy for self-control and</w:t>
      </w:r>
      <w:r w:rsidR="00E043F8">
        <w:t xml:space="preserve"> inversely related to smoking behaviour </w:t>
      </w:r>
      <w:r w:rsidR="00E043F8">
        <w:fldChar w:fldCharType="begin" w:fldLock="1"/>
      </w:r>
      <w:r w:rsidR="00E043F8">
        <w:instrText>ADDIN CSL_CITATION { "citationItems" : [ { "id" : "ITEM-1", "itemData" : { "author" : [ { "dropping-particle" : "", "family" : "Terracciano", "given" : "Antonio", "non-dropping-particle" : "", "parse-names" : false, "suffix" : "" }, { "dropping-particle" : "", "family" : "Costa", "given" : "Paul", "non-dropping-particle" : "", "parse-names" : false, "suffix" : "" } ], "container-title" : "Addiction", "id" : "ITEM-1", "issue" : "4", "issued" : { "date-parts" : [ [ "2004" ] ] }, "page" : "472-481", "title" : "Smoking and the Five-Factor Model of Personality", "type" : "article-journal", "volume" : "99" }, "uris" : [ "http://www.mendeley.com/documents/?uuid=dc23bd53-04d3-4ca3-9c93-4440e1823caa" ] }, { "id" : "ITEM-2", "itemData" : { "author" : [ { "dropping-particle" : "", "family" : "Ameriks", "given" : "John", "non-dropping-particle" : "", "parse-names" : false, "suffix" : "" }, { "dropping-particle" : "", "family" : "Caplin", "given" : "Andrew", "non-dropping-particle" : "", "parse-names" : false, "suffix" : "" }, { "dropping-particle" : "", "family" : "Leahy", "given" : "John", "non-dropping-particle" : "", "parse-names" : false, "suffix" : "" }, { "dropping-particle" : "", "family" : "Tyler", "given" : "Tom", "non-dropping-particle" : "", "parse-names" : false, "suffix" : "" } ], "container-title" : "American Economic Association", "id" : "ITEM-2", "issued" : { "date-parts" : [ [ "2007" ] ] }, "title" : "Measuring Self-Control Problems", "type" : "article-journal" }, "uris" : [ "http://www.mendeley.com/documents/?uuid=e4c47c46-69e4-4232-930d-06d6bb1ff55f" ] } ], "mendeley" : { "formattedCitation" : "(Terracciano &amp; Costa 2004; Ameriks et al. 2007)", "plainTextFormattedCitation" : "(Terracciano &amp; Costa 2004; Ameriks et al. 2007)", "previouslyFormattedCitation" : "(Terracciano &amp; Costa 2004; Ameriks et al. 2007)" }, "properties" : { "noteIndex" : 0 }, "schema" : "https://github.com/citation-style-language/schema/raw/master/csl-citation.json" }</w:instrText>
      </w:r>
      <w:r w:rsidR="00E043F8">
        <w:fldChar w:fldCharType="separate"/>
      </w:r>
      <w:r w:rsidR="006240F9">
        <w:rPr>
          <w:noProof/>
        </w:rPr>
        <w:t xml:space="preserve"> (</w:t>
      </w:r>
      <w:r w:rsidR="00E043F8" w:rsidRPr="00A70391">
        <w:rPr>
          <w:noProof/>
        </w:rPr>
        <w:t>Terracciano &amp; Costa 2004; Ameriks et al. 2007)</w:t>
      </w:r>
      <w:r w:rsidR="00E043F8">
        <w:fldChar w:fldCharType="end"/>
      </w:r>
      <w:r w:rsidR="00E043F8">
        <w:t xml:space="preserve">. </w:t>
      </w:r>
    </w:p>
    <w:p w14:paraId="5AC37C77" w14:textId="77777777" w:rsidR="0050385D" w:rsidRDefault="0050385D" w:rsidP="00804226">
      <w:pPr>
        <w:spacing w:line="360" w:lineRule="auto"/>
        <w:ind w:firstLine="360"/>
        <w:jc w:val="both"/>
      </w:pPr>
    </w:p>
    <w:p w14:paraId="7A92BA53" w14:textId="3CA47C2A" w:rsidR="00646F5B" w:rsidRDefault="00E043F8" w:rsidP="006240F9">
      <w:pPr>
        <w:spacing w:line="360" w:lineRule="auto"/>
        <w:ind w:firstLine="360"/>
        <w:jc w:val="both"/>
      </w:pPr>
      <w:r>
        <w:lastRenderedPageBreak/>
        <w:t>Conscientiousness is</w:t>
      </w:r>
      <w:r w:rsidR="00307B76">
        <w:t xml:space="preserve"> </w:t>
      </w:r>
      <w:r>
        <w:t>one of the Big Five personality traits frequently</w:t>
      </w:r>
      <w:r w:rsidR="00854B87">
        <w:t xml:space="preserve"> </w:t>
      </w:r>
      <w:r>
        <w:t>used</w:t>
      </w:r>
      <w:r w:rsidR="00854B87">
        <w:t xml:space="preserve"> </w:t>
      </w:r>
      <w:r>
        <w:t xml:space="preserve">in personality psychology </w:t>
      </w:r>
      <w:r w:rsidR="00854B87">
        <w:fldChar w:fldCharType="begin" w:fldLock="1"/>
      </w:r>
      <w:r w:rsidR="003109D2">
        <w:instrText>ADDIN CSL_CITATION { "citationItems" : [ { "id" : "ITEM-1", "itemData" : { "author" : [ { "dropping-particle" : "", "family" : "John", "given" : "Oliver P", "non-dropping-particle" : "", "parse-names" : false, "suffix" : "" }, { "dropping-particle" : "", "family" : "Srivastava", "given" : "Sanjay", "non-dropping-particle" : "", "parse-names" : false, "suffix" : "" } ], "container-title" : "Handbook of personality: Theory and research", "id" : "ITEM-1", "issue" : "510", "issued" : { "date-parts" : [ [ "1999" ] ] }, "title" : "The Big-Five Trait Taxonomy: History, Measurement, and Theoretical Perspectives", "type" : "article-journal" }, "uris" : [ "http://www.mendeley.com/documents/?uuid=932c7a7e-46bc-4cda-9fbe-f3af84fd2ec4" ] } ], "mendeley" : { "formattedCitation" : "(John &amp; Srivastava 1999)", "plainTextFormattedCitation" : "(John &amp; Srivastava 1999)", "previouslyFormattedCitation" : "(John &amp; Srivastava 1999)" }, "properties" : { "noteIndex" : 0 }, "schema" : "https://github.com/citation-style-language/schema/raw/master/csl-citation.json" }</w:instrText>
      </w:r>
      <w:r w:rsidR="00854B87">
        <w:fldChar w:fldCharType="separate"/>
      </w:r>
      <w:r w:rsidR="00854B87" w:rsidRPr="00854B87">
        <w:rPr>
          <w:noProof/>
        </w:rPr>
        <w:t>(John &amp; Srivastava 1999)</w:t>
      </w:r>
      <w:r w:rsidR="00854B87">
        <w:fldChar w:fldCharType="end"/>
      </w:r>
      <w:r>
        <w:t xml:space="preserve">; the others being </w:t>
      </w:r>
      <w:r w:rsidR="00854B87">
        <w:t>extraversion, neuroticism, agreeableness and openness</w:t>
      </w:r>
      <w:r w:rsidR="002025D4">
        <w:rPr>
          <w:rStyle w:val="FootnoteReference"/>
        </w:rPr>
        <w:footnoteReference w:id="2"/>
      </w:r>
      <w:r>
        <w:t xml:space="preserve">. </w:t>
      </w:r>
      <w:r w:rsidR="00804226">
        <w:t>Our study is complementary to work by (</w:t>
      </w:r>
      <w:r w:rsidR="00804226">
        <w:fldChar w:fldCharType="begin" w:fldLock="1"/>
      </w:r>
      <w:r w:rsidR="00804226">
        <w:instrText>ADDIN CSL_CITATION { "citationItems" : [ { "id" : "ITEM-1", "itemData" : { "author" : [ { "dropping-particle" : "", "family" : "Fletcher", "given" : "Jason M", "non-dropping-particle" : "", "parse-names" : false, "suffix" : "" }, { "dropping-particle" : "", "family" : "Deb", "given" : "Partha", "non-dropping-particle" : "", "parse-names" : false, "suffix" : "" }, { "dropping-particle" : "", "family" : "Sindelar", "given" : "Jody L", "non-dropping-particle" : "", "parse-names" : false, "suffix" : "" } ], "container-title" : "NBER", "id" : "ITEM-1", "issued" : { "date-parts" : [ [ "2009" ] ] }, "title" : "Tobacco use, taxation and self-control in adolescence", "type" : "article-journal" }, "uris" : [ "http://www.mendeley.com/documents/?uuid=2175989e-689c-4f76-9bb9-908342f72d5e" ] } ], "mendeley" : { "formattedCitation" : "(Fletcher et al. 2009)", "manualFormatting" : "Fletcher et al. 2009)", "plainTextFormattedCitation" : "(Fletcher et al. 2009)", "previouslyFormattedCitation" : "(Fletcher et al. 2009)" }, "properties" : { "noteIndex" : 0 }, "schema" : "https://github.com/citation-style-language/schema/raw/master/csl-citation.json" }</w:instrText>
      </w:r>
      <w:r w:rsidR="00804226">
        <w:fldChar w:fldCharType="separate"/>
      </w:r>
      <w:r w:rsidR="00804226" w:rsidRPr="006E6272">
        <w:rPr>
          <w:noProof/>
        </w:rPr>
        <w:t>Fletcher et al. 2009)</w:t>
      </w:r>
      <w:r w:rsidR="00804226">
        <w:fldChar w:fldCharType="end"/>
      </w:r>
      <w:r w:rsidR="00804226">
        <w:t xml:space="preserve"> who find</w:t>
      </w:r>
      <w:r>
        <w:t xml:space="preserve"> </w:t>
      </w:r>
      <w:r w:rsidR="00472175">
        <w:t xml:space="preserve">that individuals with low </w:t>
      </w:r>
      <w:r w:rsidR="006240F9">
        <w:t xml:space="preserve">levels of </w:t>
      </w:r>
      <w:r w:rsidR="00472175">
        <w:t xml:space="preserve">conscientiousness </w:t>
      </w:r>
      <w:r w:rsidR="006240F9">
        <w:t>are less responsive</w:t>
      </w:r>
      <w:r w:rsidR="00472175">
        <w:t xml:space="preserve"> </w:t>
      </w:r>
      <w:r w:rsidR="00046F28">
        <w:t xml:space="preserve">to </w:t>
      </w:r>
      <w:r w:rsidR="00472175">
        <w:t>tobacco taxes</w:t>
      </w:r>
      <w:r w:rsidR="00804226">
        <w:t xml:space="preserve">. </w:t>
      </w:r>
      <w:r w:rsidR="00E703D9">
        <w:t xml:space="preserve"> The authors argue that taxes fail to </w:t>
      </w:r>
      <w:r w:rsidR="006240F9">
        <w:t xml:space="preserve">fully </w:t>
      </w:r>
      <w:r w:rsidR="00E703D9">
        <w:t xml:space="preserve">reach individuals who are most likely to be smokers. They highlight that this finding is in line with the cue-triggered model of addiction in which addicted smokers become price insensitive when triggered by cues. </w:t>
      </w:r>
      <w:r w:rsidR="00646F5B">
        <w:t xml:space="preserve">It also complements work by  </w:t>
      </w:r>
      <w:r w:rsidR="00646F5B">
        <w:fldChar w:fldCharType="begin" w:fldLock="1"/>
      </w:r>
      <w:r w:rsidR="00646F5B">
        <w:instrText>ADDIN CSL_CITATION { "citationItems" : [ { "id" : "ITEM-1", "itemData" : { "author" : [ { "dropping-particle" : "Von", "family" : "Ah", "given" : "Diane", "non-dropping-particle" : "", "parse-names" : false, "suffix" : "" }, { "dropping-particle" : "", "family" : "Ebert", "given" : "Sheryl", "non-dropping-particle" : "", "parse-names" : false, "suffix" : "" }, { "dropping-particle" : "", "family" : "Ngamvitroj", "given" : "Anchalee", "non-dropping-particle" : "", "parse-names" : false, "suffix" : "" }, { "dropping-particle" : "", "family" : "Park", "given" : "Najin", "non-dropping-particle" : "", "parse-names" : false, "suffix" : "" } ], "container-title" : "Tobacco Induced Diseases", "id" : "ITEM-1", "issue" : "1", "issued" : { "date-parts" : [ [ "2005" ] ] }, "page" : "27-40", "title" : "Factors Related to Cigarette Smoking Initiation and Use among College Students", "type" : "article-journal", "volume" : "3" }, "uris" : [ "http://www.mendeley.com/documents/?uuid=c575b36a-a634-4175-a881-2daa88e063b0" ] } ], "mendeley" : { "formattedCitation" : "(Ah et al. 2005)", "manualFormatting" : "Ah et al. (2005)", "plainTextFormattedCitation" : "(Ah et al. 2005)", "previouslyFormattedCitation" : "(Ah et al. 2005)" }, "properties" : { "noteIndex" : 0 }, "schema" : "https://github.com/citation-style-language/schema/raw/master/csl-citation.json" }</w:instrText>
      </w:r>
      <w:r w:rsidR="00646F5B">
        <w:fldChar w:fldCharType="separate"/>
      </w:r>
      <w:r w:rsidR="00646F5B" w:rsidRPr="008E2C69">
        <w:rPr>
          <w:noProof/>
        </w:rPr>
        <w:t xml:space="preserve">Ah et al. </w:t>
      </w:r>
      <w:r w:rsidR="00646F5B">
        <w:rPr>
          <w:noProof/>
        </w:rPr>
        <w:t>(</w:t>
      </w:r>
      <w:r w:rsidR="00646F5B" w:rsidRPr="008E2C69">
        <w:rPr>
          <w:noProof/>
        </w:rPr>
        <w:t>2005)</w:t>
      </w:r>
      <w:r w:rsidR="00646F5B">
        <w:fldChar w:fldCharType="end"/>
      </w:r>
      <w:r w:rsidR="00646F5B">
        <w:t xml:space="preserve"> who show that conscientious youths in the US have a lower propensity to start smoking and smoke less on average. </w:t>
      </w:r>
      <w:r w:rsidR="006240F9">
        <w:t xml:space="preserve">Also related is </w:t>
      </w:r>
      <w:r w:rsidR="00046F28">
        <w:t xml:space="preserve">research by </w:t>
      </w:r>
      <w:r w:rsidR="00646F5B">
        <w:fldChar w:fldCharType="begin" w:fldLock="1"/>
      </w:r>
      <w:r w:rsidR="00646F5B">
        <w:instrText>ADDIN CSL_CITATION { "citationItems" : [ { "id" : "ITEM-1", "itemData" : { "DOI" : "10.1136/jech-2014-204263", "author" : [ { "dropping-particle" : "", "family" : "Pluess", "given" : "Michael", "non-dropping-particle" : "", "parse-names" : false, "suffix" : "" }, { "dropping-particle" : "", "family" : "Bartley", "given" : "Mel", "non-dropping-particle" : "", "parse-names" : false, "suffix" : "" } ], "id" : "ITEM-1", "issued" : { "date-parts" : [ [ "2015" ] ] }, "page" : "330-338", "title" : "Childhood conscientiousness predicts the social gradient of smoking in adulthood : a life course analysis", "type" : "article-journal" }, "uris" : [ "http://www.mendeley.com/documents/?uuid=41a44842-0471-427a-b5f2-eea925ea6d05" ] } ], "mendeley" : { "formattedCitation" : "(Pluess &amp; Bartley 2015)", "manualFormatting" : "Pluess &amp; Bartley (2015)", "plainTextFormattedCitation" : "(Pluess &amp; Bartley 2015)", "previouslyFormattedCitation" : "(Pluess &amp; Bartley 2015)" }, "properties" : { "noteIndex" : 0 }, "schema" : "https://github.com/citation-style-language/schema/raw/master/csl-citation.json" }</w:instrText>
      </w:r>
      <w:r w:rsidR="00646F5B">
        <w:fldChar w:fldCharType="separate"/>
      </w:r>
      <w:r w:rsidR="00646F5B" w:rsidRPr="00F8752E">
        <w:rPr>
          <w:noProof/>
        </w:rPr>
        <w:t xml:space="preserve">Pluess &amp; Bartley </w:t>
      </w:r>
      <w:r w:rsidR="00646F5B">
        <w:rPr>
          <w:noProof/>
        </w:rPr>
        <w:t>(</w:t>
      </w:r>
      <w:r w:rsidR="00646F5B" w:rsidRPr="00F8752E">
        <w:rPr>
          <w:noProof/>
        </w:rPr>
        <w:t>2015)</w:t>
      </w:r>
      <w:r w:rsidR="00646F5B">
        <w:fldChar w:fldCharType="end"/>
      </w:r>
      <w:r w:rsidR="00646F5B">
        <w:t xml:space="preserve"> </w:t>
      </w:r>
      <w:r w:rsidR="006240F9">
        <w:t xml:space="preserve">who </w:t>
      </w:r>
      <w:r w:rsidR="00646F5B">
        <w:t xml:space="preserve">find that childhood conscientiousness explains approximately 5% of the social gradient in smoking. </w:t>
      </w:r>
      <w:r w:rsidR="00046F28">
        <w:t xml:space="preserve">In addition to </w:t>
      </w:r>
      <w:r w:rsidR="00646F5B">
        <w:t>smoking behaviour conscientious has been linked positi</w:t>
      </w:r>
      <w:r w:rsidR="00307B76">
        <w:t xml:space="preserve">vely to the propensity to seek </w:t>
      </w:r>
      <w:r w:rsidR="00646F5B">
        <w:t xml:space="preserve">preventative care </w:t>
      </w:r>
      <w:r w:rsidR="00646F5B">
        <w:fldChar w:fldCharType="begin" w:fldLock="1"/>
      </w:r>
      <w:r w:rsidR="00646F5B">
        <w:instrText>ADDIN CSL_CITATION { "citationItems" : [ { "id" : "ITEM-1", "itemData" : { "DOI" : "10.1007/s12160-012-9454-6.The", "ISBN" : "1216001294", "author" : [ { "dropping-particle" : "", "family" : "Bogg", "given" : "Tim", "non-dropping-particle" : "", "parse-names" : false, "suffix" : "" }, { "dropping-particle" : "", "family" : "Roberts", "given" : "Brent", "non-dropping-particle" : "", "parse-names" : false, "suffix" : "" } ], "container-title" : "Annual Behavioural Medicine", "id" : "ITEM-1", "issue" : "3", "issued" : { "date-parts" : [ [ "2013" ] ] }, "page" : "278-288", "title" : "The Case for Conscientiousness: Evidence and Implications for a Personality Trait Marker of Health and Longevity", "type" : "article-journal", "volume" : "45" }, "uris" : [ "http://www.mendeley.com/documents/?uuid=bc442ba9-c45b-4c47-8370-defd12017abd" ] } ], "mendeley" : { "formattedCitation" : "(Bogg &amp; Roberts 2013)", "plainTextFormattedCitation" : "(Bogg &amp; Roberts 2013)", "previouslyFormattedCitation" : "(Bogg &amp; Roberts 2013)" }, "properties" : { "noteIndex" : 0 }, "schema" : "https://github.com/citation-style-language/schema/raw/master/csl-citation.json" }</w:instrText>
      </w:r>
      <w:r w:rsidR="00646F5B">
        <w:fldChar w:fldCharType="separate"/>
      </w:r>
      <w:r w:rsidR="00646F5B" w:rsidRPr="00940807">
        <w:rPr>
          <w:noProof/>
        </w:rPr>
        <w:t>(Bogg &amp; Roberts 2013)</w:t>
      </w:r>
      <w:r w:rsidR="00646F5B">
        <w:fldChar w:fldCharType="end"/>
      </w:r>
      <w:r w:rsidR="00646F5B">
        <w:t xml:space="preserve">,  adhere to health guidance (Heckman 2007) and consume alcohol </w:t>
      </w:r>
      <w:r w:rsidR="00646F5B">
        <w:fldChar w:fldCharType="begin" w:fldLock="1"/>
      </w:r>
      <w:r w:rsidR="00646F5B">
        <w:instrText>ADDIN CSL_CITATION { "citationItems" : [ { "id" : "ITEM-1", "itemData" : { "DOI" : "10.1111/j.2044-8287.2011.02061.x", "author" : [ { "dropping-particle" : "", "family" : "Hagger-Johnson", "given" : "Gareth", "non-dropping-particle" : "", "parse-names" : false, "suffix" : "" }, { "dropping-particle" : "", "family" : "Bewick", "given" : "Bridgette M", "non-dropping-particle" : "", "parse-names" : false, "suffix" : "" }, { "dropping-particle" : "", "family" : "Conner", "given" : "Mark", "non-dropping-particle" : "", "parse-names" : false, "suffix" : "" }, { "dropping-particle" : "", "family" : "Connor", "given" : "Daryl O", "non-dropping-particle" : "", "parse-names" : false, "suffix" : "" }, { "dropping-particle" : "", "family" : "Shickle", "given" : "Darren", "non-dropping-particle" : "", "parse-names" : false, "suffix" : "" } ], "container-title" : "British Journal of Health Psychology", "id" : "ITEM-1", "issued" : { "date-parts" : [ [ "2012" ] ] }, "page" : "644-665", "title" : "School-related conscientiousness , alcohol drinking , and cigarette smoking in a representative sample of English school pupils", "type" : "article-journal" }, "uris" : [ "http://www.mendeley.com/documents/?uuid=c3278b54-ee50-4773-8ab1-1eaf23fe68aa" ] } ], "mendeley" : { "formattedCitation" : "(Hagger-Johnson et al. 2012)", "manualFormatting" : "Hagger-Johnson et al. (2012)", "plainTextFormattedCitation" : "(Hagger-Johnson et al. 2012)", "previouslyFormattedCitation" : "(Hagger-Johnson et al. 2012)" }, "properties" : { "noteIndex" : 0 }, "schema" : "https://github.com/citation-style-language/schema/raw/master/csl-citation.json" }</w:instrText>
      </w:r>
      <w:r w:rsidR="00646F5B">
        <w:fldChar w:fldCharType="separate"/>
      </w:r>
      <w:r w:rsidR="00646F5B" w:rsidRPr="000A25FC">
        <w:rPr>
          <w:noProof/>
        </w:rPr>
        <w:t xml:space="preserve">Hagger-Johnson et al. </w:t>
      </w:r>
      <w:r w:rsidR="00646F5B">
        <w:rPr>
          <w:noProof/>
        </w:rPr>
        <w:t>(</w:t>
      </w:r>
      <w:r w:rsidR="00646F5B" w:rsidRPr="000A25FC">
        <w:rPr>
          <w:noProof/>
        </w:rPr>
        <w:t>2012)</w:t>
      </w:r>
      <w:r w:rsidR="00646F5B">
        <w:fldChar w:fldCharType="end"/>
      </w:r>
      <w:r w:rsidR="00646F5B">
        <w:t xml:space="preserve">. </w:t>
      </w:r>
    </w:p>
    <w:p w14:paraId="755F3B6D" w14:textId="77777777" w:rsidR="0044129E" w:rsidRPr="00223F68" w:rsidRDefault="0044129E" w:rsidP="006240F9">
      <w:pPr>
        <w:spacing w:line="360" w:lineRule="auto"/>
        <w:ind w:firstLine="360"/>
        <w:jc w:val="both"/>
      </w:pPr>
    </w:p>
    <w:p w14:paraId="637C1C1A" w14:textId="6696DAEA" w:rsidR="006240F9" w:rsidRDefault="009164A4" w:rsidP="00307B76">
      <w:pPr>
        <w:spacing w:line="360" w:lineRule="auto"/>
        <w:ind w:firstLine="360"/>
        <w:jc w:val="both"/>
      </w:pPr>
      <w:r>
        <w:t xml:space="preserve">Our study contributes </w:t>
      </w:r>
      <w:r w:rsidR="006240F9">
        <w:t xml:space="preserve">uniquely </w:t>
      </w:r>
      <w:r>
        <w:t xml:space="preserve">to </w:t>
      </w:r>
      <w:r w:rsidR="006240F9">
        <w:t xml:space="preserve">the health policy </w:t>
      </w:r>
      <w:r>
        <w:t>literature in the following way</w:t>
      </w:r>
      <w:r w:rsidR="0044129E">
        <w:t>s</w:t>
      </w:r>
      <w:r>
        <w:t xml:space="preserve">: </w:t>
      </w:r>
    </w:p>
    <w:p w14:paraId="0FFDFD2B" w14:textId="77777777" w:rsidR="006240F9" w:rsidRDefault="006240F9" w:rsidP="00307B76">
      <w:pPr>
        <w:spacing w:line="360" w:lineRule="auto"/>
        <w:ind w:firstLine="360"/>
        <w:jc w:val="both"/>
      </w:pPr>
    </w:p>
    <w:p w14:paraId="005D4DA3" w14:textId="79395D8E" w:rsidR="00C24ADE" w:rsidRDefault="006240F9" w:rsidP="00307B76">
      <w:pPr>
        <w:spacing w:line="360" w:lineRule="auto"/>
        <w:ind w:firstLine="360"/>
        <w:jc w:val="both"/>
        <w:rPr>
          <w:noProof/>
        </w:rPr>
      </w:pPr>
      <w:r>
        <w:t>1. This</w:t>
      </w:r>
      <w:r w:rsidR="009164A4">
        <w:t xml:space="preserve"> is the first study to empirically consider differential responses </w:t>
      </w:r>
      <w:r w:rsidR="00C24ADE">
        <w:t xml:space="preserve">to a smoking ban by personality, and specifically conscientiousness. </w:t>
      </w:r>
      <w:r w:rsidR="002B3B80">
        <w:t xml:space="preserve">Intuitively, </w:t>
      </w:r>
      <w:r w:rsidR="00172F38">
        <w:t xml:space="preserve">an individual’s level of </w:t>
      </w:r>
      <w:r w:rsidR="002B3B80">
        <w:t>conscientiousness</w:t>
      </w:r>
      <w:r w:rsidR="00C24ADE">
        <w:t xml:space="preserve"> can affect the probability of quitting </w:t>
      </w:r>
      <w:r w:rsidR="00172F38">
        <w:t>smoking by interacting with newly introduced public</w:t>
      </w:r>
      <w:r w:rsidR="00C24ADE">
        <w:t xml:space="preserve"> smoking ban</w:t>
      </w:r>
      <w:r w:rsidR="00172F38">
        <w:t>s</w:t>
      </w:r>
      <w:r w:rsidR="00C24ADE">
        <w:t xml:space="preserve">. </w:t>
      </w:r>
    </w:p>
    <w:p w14:paraId="3BEE3DE0" w14:textId="77777777" w:rsidR="006240F9" w:rsidRDefault="006240F9" w:rsidP="00E8454E">
      <w:pPr>
        <w:spacing w:line="360" w:lineRule="auto"/>
        <w:ind w:firstLine="360"/>
        <w:jc w:val="both"/>
      </w:pPr>
      <w:r>
        <w:t>2. O</w:t>
      </w:r>
      <w:r w:rsidR="00C24ADE">
        <w:t xml:space="preserve">ur </w:t>
      </w:r>
      <w:r>
        <w:t>work</w:t>
      </w:r>
      <w:r w:rsidR="009164A4">
        <w:t xml:space="preserve"> provides valuable insights into the effectiveness of anti-smoke regulation and raises the issue of whether </w:t>
      </w:r>
      <w:r>
        <w:t>this type of regulation</w:t>
      </w:r>
      <w:r w:rsidR="009164A4">
        <w:t xml:space="preserve"> needs personalisation. </w:t>
      </w:r>
    </w:p>
    <w:p w14:paraId="413E9E2C" w14:textId="7E185047" w:rsidR="00C24ADE" w:rsidRDefault="006240F9" w:rsidP="00E8454E">
      <w:pPr>
        <w:spacing w:line="360" w:lineRule="auto"/>
        <w:ind w:firstLine="360"/>
        <w:jc w:val="both"/>
      </w:pPr>
      <w:r>
        <w:t>3. G</w:t>
      </w:r>
      <w:r w:rsidR="00C24ADE">
        <w:t xml:space="preserve">iven that personality, and specifically </w:t>
      </w:r>
      <w:r w:rsidR="002B3B80">
        <w:t>conscientiousness</w:t>
      </w:r>
      <w:r w:rsidR="00C24ADE">
        <w:t xml:space="preserve">, is malleable from early ages, </w:t>
      </w:r>
      <w:r>
        <w:t>our</w:t>
      </w:r>
      <w:r w:rsidR="00C24ADE">
        <w:t xml:space="preserve"> work provides evidence that can inform those thinking about whether downstream policies </w:t>
      </w:r>
      <w:r>
        <w:t>that</w:t>
      </w:r>
      <w:r w:rsidR="00C24ADE">
        <w:t xml:space="preserve"> promote better soft skills are worthwhile.  </w:t>
      </w:r>
    </w:p>
    <w:p w14:paraId="1DC80E56" w14:textId="01C90D12" w:rsidR="00472175" w:rsidRDefault="006240F9" w:rsidP="00E8454E">
      <w:pPr>
        <w:spacing w:line="360" w:lineRule="auto"/>
        <w:ind w:firstLine="360"/>
        <w:jc w:val="both"/>
      </w:pPr>
      <w:r>
        <w:t xml:space="preserve">4. </w:t>
      </w:r>
      <w:r w:rsidR="00C24ADE">
        <w:t xml:space="preserve"> </w:t>
      </w:r>
      <w:r>
        <w:t>B</w:t>
      </w:r>
      <w:r w:rsidR="00C24ADE">
        <w:t xml:space="preserve">uilding on </w:t>
      </w:r>
      <w:r w:rsidR="00C24ADE">
        <w:fldChar w:fldCharType="begin" w:fldLock="1"/>
      </w:r>
      <w:r w:rsidR="00C24ADE">
        <w:instrText>ADDIN CSL_CITATION { "citationItems" : [ { "id" : "ITEM-1", "itemData" : { "author" : [ { "dropping-particle" : "", "family" : "Terracciano", "given" : "Antonio", "non-dropping-particle" : "", "parse-names" : false, "suffix" : "" }, { "dropping-particle" : "", "family" : "Costa", "given" : "Paul", "non-dropping-particle" : "", "parse-names" : false, "suffix" : "" } ], "container-title" : "Addiction", "id" : "ITEM-1", "issue" : "4", "issued" : { "date-parts" : [ [ "2004" ] ] }, "page" : "472-481", "title" : "Smoking and the Five-Factor Model of Personality", "type" : "article-journal", "volume" : "99" }, "uris" : [ "http://www.mendeley.com/documents/?uuid=dc23bd53-04d3-4ca3-9c93-4440e1823caa" ] } ], "mendeley" : { "formattedCitation" : "(Terracciano &amp; Costa 2004)", "manualFormatting" : "Terracciano &amp; Costa (2004)", "plainTextFormattedCitation" : "(Terracciano &amp; Costa 2004)", "previouslyFormattedCitation" : "(Terracciano &amp; Costa 2004)" }, "properties" : { "noteIndex" : 0 }, "schema" : "https://github.com/citation-style-language/schema/raw/master/csl-citation.json" }</w:instrText>
      </w:r>
      <w:r w:rsidR="00C24ADE">
        <w:fldChar w:fldCharType="separate"/>
      </w:r>
      <w:r w:rsidR="00C24ADE" w:rsidRPr="00F41BEC">
        <w:rPr>
          <w:noProof/>
        </w:rPr>
        <w:t xml:space="preserve">Terracciano &amp; Costa </w:t>
      </w:r>
      <w:r w:rsidR="00C24ADE">
        <w:rPr>
          <w:noProof/>
        </w:rPr>
        <w:t>(</w:t>
      </w:r>
      <w:r w:rsidR="00C24ADE" w:rsidRPr="00F41BEC">
        <w:rPr>
          <w:noProof/>
        </w:rPr>
        <w:t>2004)</w:t>
      </w:r>
      <w:r w:rsidR="00C24ADE">
        <w:fldChar w:fldCharType="end"/>
      </w:r>
      <w:r w:rsidR="00C24ADE">
        <w:t xml:space="preserve"> who argue that conscientiousness only became an important determinant of smoking initiation over time, we explore whether there is an interaction between conscientiousness and cohort effects. Intuitively, older </w:t>
      </w:r>
      <w:r w:rsidR="00C24ADE">
        <w:lastRenderedPageBreak/>
        <w:t xml:space="preserve">generations became addicted </w:t>
      </w:r>
      <w:r>
        <w:t xml:space="preserve">to smoking </w:t>
      </w:r>
      <w:r w:rsidR="00C24ADE">
        <w:t xml:space="preserve">before the adverse health impacts became common knowledge and before the implementation of major anti-smoke interventions (see </w:t>
      </w:r>
      <w:r w:rsidR="0044129E">
        <w:t xml:space="preserve">Appendix A </w:t>
      </w:r>
      <w:r w:rsidR="00C24ADE">
        <w:t xml:space="preserve">Table </w:t>
      </w:r>
      <w:r w:rsidR="00C56AE9">
        <w:t>A.</w:t>
      </w:r>
      <w:r w:rsidR="00C24ADE">
        <w:t>1). It follows, that conscientiousness matte</w:t>
      </w:r>
      <w:r>
        <w:t>rs</w:t>
      </w:r>
      <w:r w:rsidR="00C24ADE">
        <w:t xml:space="preserve"> much less for smoking initiation in older generations than for young generations because they underestimated the </w:t>
      </w:r>
      <w:r w:rsidR="00046F28">
        <w:t xml:space="preserve">health </w:t>
      </w:r>
      <w:r w:rsidR="00C24ADE">
        <w:t>costs of smoking initially.</w:t>
      </w:r>
      <w:r w:rsidR="00C24ADE" w:rsidRPr="005A5EA6">
        <w:t xml:space="preserve"> </w:t>
      </w:r>
      <w:r w:rsidR="00C24ADE">
        <w:t>In comparison, younger generations have full information of adverse health impacts of smoking when weighing current benefits against future costs of smoking</w:t>
      </w:r>
      <w:r w:rsidR="007F295B">
        <w:t xml:space="preserve"> and they are less likely to initiate smoking in the first place (Di Novi and </w:t>
      </w:r>
      <w:proofErr w:type="spellStart"/>
      <w:r w:rsidR="007F295B">
        <w:t>Marenzi</w:t>
      </w:r>
      <w:proofErr w:type="spellEnd"/>
      <w:r w:rsidR="007F295B">
        <w:t xml:space="preserve"> 2019)</w:t>
      </w:r>
      <w:r w:rsidR="00C24ADE">
        <w:t xml:space="preserve">. The generational differences then may have implications for the effect of a ban. Conscientious individuals from the older generations may reassess their decision to smoke and quit after the ban. Notably, individuals who are not conscientious can make the same decision but are less likely to follow </w:t>
      </w:r>
      <w:r w:rsidR="00046F28">
        <w:t xml:space="preserve">it </w:t>
      </w:r>
      <w:r w:rsidR="00C24ADE">
        <w:t xml:space="preserve">through </w:t>
      </w:r>
      <w:r w:rsidR="00C24ADE">
        <w:fldChar w:fldCharType="begin" w:fldLock="1"/>
      </w:r>
      <w:r w:rsidR="00C24ADE">
        <w:instrText>ADDIN CSL_CITATION { "citationItems" : [ { "id" : "ITEM-1", "itemData" : { "author" : [ { "dropping-particle" : "", "family" : "Ameriks", "given" : "John", "non-dropping-particle" : "", "parse-names" : false, "suffix" : "" }, { "dropping-particle" : "", "family" : "Caplin", "given" : "Andrew", "non-dropping-particle" : "", "parse-names" : false, "suffix" : "" }, { "dropping-particle" : "", "family" : "Leahy", "given" : "John", "non-dropping-particle" : "", "parse-names" : false, "suffix" : "" }, { "dropping-particle" : "", "family" : "Tyler", "given" : "Tom", "non-dropping-particle" : "", "parse-names" : false, "suffix" : "" } ], "container-title" : "American Economic Association", "id" : "ITEM-1", "issued" : { "date-parts" : [ [ "2007" ] ] }, "title" : "Measuring Self-Control Problems", "type" : "article-journal" }, "uris" : [ "http://www.mendeley.com/documents/?uuid=e4c47c46-69e4-4232-930d-06d6bb1ff55f" ] } ], "mendeley" : { "formattedCitation" : "(Ameriks et al. 2007)", "plainTextFormattedCitation" : "(Ameriks et al. 2007)", "previouslyFormattedCitation" : "(Ameriks et al. 2007)" }, "properties" : { "noteIndex" : 0 }, "schema" : "https://github.com/citation-style-language/schema/raw/master/csl-citation.json" }</w:instrText>
      </w:r>
      <w:r w:rsidR="00C24ADE">
        <w:fldChar w:fldCharType="separate"/>
      </w:r>
      <w:r w:rsidR="00C24ADE" w:rsidRPr="00A57122">
        <w:rPr>
          <w:noProof/>
        </w:rPr>
        <w:t>(Ameriks et al. 2007)</w:t>
      </w:r>
      <w:r w:rsidR="00C24ADE">
        <w:fldChar w:fldCharType="end"/>
      </w:r>
      <w:r w:rsidR="0071217D">
        <w:t xml:space="preserve">, hence contributing to the interaction between conscientiousness levels and smoking responses to public smoking bans. </w:t>
      </w:r>
    </w:p>
    <w:p w14:paraId="1476F2F1" w14:textId="7E8FBBD3" w:rsidR="0075170E" w:rsidRDefault="009164A4" w:rsidP="0075170E">
      <w:pPr>
        <w:spacing w:line="360" w:lineRule="auto"/>
        <w:ind w:firstLine="360"/>
        <w:jc w:val="both"/>
      </w:pPr>
      <w:r>
        <w:t xml:space="preserve">Our empirical analysis draws on </w:t>
      </w:r>
      <w:r w:rsidR="00854B87">
        <w:t>the British Household Panel Survey (BHPS), a</w:t>
      </w:r>
      <w:r w:rsidR="002B617D">
        <w:t xml:space="preserve"> </w:t>
      </w:r>
      <w:r w:rsidR="00C735C5">
        <w:t xml:space="preserve">UK </w:t>
      </w:r>
      <w:r w:rsidR="00854B87">
        <w:t xml:space="preserve">individual-level </w:t>
      </w:r>
      <w:r w:rsidR="002B617D">
        <w:t xml:space="preserve">panel data </w:t>
      </w:r>
      <w:r w:rsidR="00854B87">
        <w:t xml:space="preserve">set </w:t>
      </w:r>
      <w:r w:rsidR="002B617D">
        <w:t>from 1991 to 2008</w:t>
      </w:r>
      <w:r w:rsidR="00CC76AA">
        <w:t xml:space="preserve"> in which households were followed yearly for 18 waves between 1991 and 2009. The BHPS has previously been used to study effects of the UK public smoking ban on smoking cessation, self-assessed health, and well-being </w:t>
      </w:r>
      <w:r w:rsidR="00CC76AA">
        <w:fldChar w:fldCharType="begin" w:fldLock="1"/>
      </w:r>
      <w:r w:rsidR="00CC76AA">
        <w:instrText>ADDIN CSL_CITATION { "citationItems" : [ { "id" : "ITEM-1", "itemData" : { "author" : [ { "dropping-particle" : "", "family" : "Jones", "given" : "Andrew M", "non-dropping-particle" : "", "parse-names" : false, "suffix" : "" }, { "dropping-particle" : "", "family" : "Laporte", "given" : "Audrey", "non-dropping-particle" : "", "parse-names" : false, "suffix" : "" }, { "dropping-particle" : "", "family" : "Rice", "given" : "Nigel", "non-dropping-particle" : "", "parse-names" : false, "suffix" : "" }, { "dropping-particle" : "", "family" : "Zucchelli", "given" : "Eugenio", "non-dropping-particle" : "", "parse-names" : false, "suffix" : "" } ], "container-title" : "Health, Econometrics and Data Group", "id" : "ITEM-1", "issue" : "May", "issued" : { "date-parts" : [ [ "2011" ] ] }, "title" : "A model of the impact of smoking bans on smoking with evidence from bans in England and Scotland", "type" : "article-journal" }, "uris" : [ "http://www.mendeley.com/documents/?uuid=6dddb2ac-86f2-4831-9695-354625ee455e" ] }, { "id" : "ITEM-2", "itemData" : { "DOI" : "10.1016/j.econlet.2012.10.019", "ISSN" : "0165-1765", "author" : [ { "dropping-particle" : "", "family" : "Wildman", "given" : "John", "non-dropping-particle" : "", "parse-names" : false, "suffix" : "" }, { "dropping-particle" : "", "family" : "Hollingsworth", "given" : "Bruce", "non-dropping-particle" : "", "parse-names" : false, "suffix" : "" } ], "container-title" : "Economics Letters", "id" : "ITEM-2", "issue" : "1", "issued" : { "date-parts" : [ [ "2013" ] ] }, "page" : "209-212", "publisher" : "Elsevier B.V.", "title" : "Public smoking bans and self-assessed health : Evidence from Great Britain", "type" : "article-journal", "volume" : "118" }, "uris" : [ "http://www.mendeley.com/documents/?uuid=4f692a1b-56c7-4232-a679-3079f4974fef" ] }, { "id" : "ITEM-3", "itemData" : { "author" : [ { "dropping-particle" : "", "family" : "Leicester", "given" : "Andrew", "non-dropping-particle" : "", "parse-names" : false, "suffix" : "" }, { "dropping-particle" : "", "family" : "Levell", "given" : "Peter", "non-dropping-particle" : "", "parse-names" : false, "suffix" : "" } ], "container-title" : "Fiscal Studies", "id" : "ITEM-3", "issue" : "2", "issued" : { "date-parts" : [ [ "2016" ] ] }, "page" : "224-257", "title" : "Anti-Smoking Policies and Smoker Well-Being : Evidence from Britain", "type" : "article-journal", "volume" : "37" }, "uris" : [ "http://www.mendeley.com/documents/?uuid=15430f3e-9973-4437-bc07-aa8f30cd6737" ] } ], "mendeley" : { "formattedCitation" : "(Jones et al. 2011; Wildman &amp; Hollingsworth 2013; Leicester &amp; Levell 2016)", "plainTextFormattedCitation" : "(Jones et al. 2011; Wildman &amp; Hollingsworth 2013; Leicester &amp; Levell 2016)", "previouslyFormattedCitation" : "(Jones et al. 2011; Wildman &amp; Hollingsworth 2013; Leicester &amp; Levell 2016)" }, "properties" : { "noteIndex" : 0 }, "schema" : "https://github.com/citation-style-language/schema/raw/master/csl-citation.json" }</w:instrText>
      </w:r>
      <w:r w:rsidR="00CC76AA">
        <w:fldChar w:fldCharType="separate"/>
      </w:r>
      <w:r w:rsidR="00CC76AA" w:rsidRPr="00D732AB">
        <w:rPr>
          <w:noProof/>
        </w:rPr>
        <w:t>(Jones et al. 2011; Wildman &amp; Hollingsworth 2013; Leicester &amp; Levell 2016)</w:t>
      </w:r>
      <w:r w:rsidR="00CC76AA">
        <w:fldChar w:fldCharType="end"/>
      </w:r>
      <w:r w:rsidR="00E8454E">
        <w:t xml:space="preserve">. </w:t>
      </w:r>
    </w:p>
    <w:p w14:paraId="53897AD5" w14:textId="12506A28" w:rsidR="00335A94" w:rsidRDefault="00EE405C" w:rsidP="00FD23F5">
      <w:pPr>
        <w:spacing w:line="360" w:lineRule="auto"/>
        <w:jc w:val="both"/>
      </w:pPr>
      <w:r>
        <w:tab/>
      </w:r>
      <w:r w:rsidR="00E504F5">
        <w:t xml:space="preserve">Using </w:t>
      </w:r>
      <w:r w:rsidR="00C31885">
        <w:t xml:space="preserve">a </w:t>
      </w:r>
      <w:r w:rsidR="00E504F5">
        <w:t xml:space="preserve">fixed effects regression </w:t>
      </w:r>
      <w:r w:rsidR="00C31885">
        <w:t>model</w:t>
      </w:r>
      <w:r w:rsidR="00E504F5">
        <w:t xml:space="preserve"> </w:t>
      </w:r>
      <w:r w:rsidR="00C31885">
        <w:t>t</w:t>
      </w:r>
      <w:r w:rsidR="00E504F5">
        <w:t>his study empirically tests the impact of the UK public smoking ban on smoking cessation for smokers with differ</w:t>
      </w:r>
      <w:r w:rsidR="00C31885">
        <w:t xml:space="preserve">ent levels of conscientiousness. </w:t>
      </w:r>
      <w:r w:rsidR="00E504F5">
        <w:t xml:space="preserve">It addresses the question </w:t>
      </w:r>
      <w:r w:rsidR="00335A94">
        <w:t xml:space="preserve">of </w:t>
      </w:r>
      <w:r w:rsidR="00E504F5">
        <w:t xml:space="preserve">whether the public smoking ban served as a commitment device for individuals with low </w:t>
      </w:r>
      <w:r w:rsidR="00335A94">
        <w:t>levels of conscientiousness</w:t>
      </w:r>
      <w:r w:rsidR="00E504F5" w:rsidRPr="00C31885">
        <w:t xml:space="preserve">. </w:t>
      </w:r>
      <w:r w:rsidR="00E504F5" w:rsidRPr="00EE405C">
        <w:t>It finds that a one standard deviation increase in conscientious</w:t>
      </w:r>
      <w:r w:rsidR="00C31885">
        <w:t>ness leads to a 1.4</w:t>
      </w:r>
      <w:r w:rsidR="00E504F5" w:rsidRPr="00EE405C">
        <w:t xml:space="preserve"> per</w:t>
      </w:r>
      <w:r w:rsidR="00335A94">
        <w:t xml:space="preserve">centage point </w:t>
      </w:r>
      <w:r w:rsidR="00E504F5" w:rsidRPr="00EE405C">
        <w:t xml:space="preserve">  reduction in the probability </w:t>
      </w:r>
      <w:r w:rsidR="00335A94">
        <w:t>of</w:t>
      </w:r>
      <w:r w:rsidR="00E504F5" w:rsidRPr="00EE405C">
        <w:t xml:space="preserve"> smok</w:t>
      </w:r>
      <w:r w:rsidR="00335A94">
        <w:t>ing</w:t>
      </w:r>
      <w:r w:rsidR="00E504F5" w:rsidRPr="00EE405C">
        <w:t xml:space="preserve"> after the ban. This </w:t>
      </w:r>
      <w:r w:rsidR="00335A94">
        <w:t>conclusion</w:t>
      </w:r>
      <w:r w:rsidR="00E504F5" w:rsidRPr="00EE405C">
        <w:t xml:space="preserve"> is </w:t>
      </w:r>
      <w:r w:rsidR="00335A94">
        <w:t xml:space="preserve">very </w:t>
      </w:r>
      <w:r w:rsidR="00E504F5" w:rsidRPr="00EE405C">
        <w:t>rob</w:t>
      </w:r>
      <w:r w:rsidR="00C31885">
        <w:t xml:space="preserve">ust to different specifications. </w:t>
      </w:r>
      <w:r w:rsidR="00FD23F5">
        <w:t>We also demonstrate that the biggest effects of the ban were experienced by smokers on the lower end of the conscientiousness distribution, with those at the very bottom not being reached.</w:t>
      </w:r>
    </w:p>
    <w:p w14:paraId="41A450FB" w14:textId="316E0FEB" w:rsidR="00947CC8" w:rsidRPr="009F77B7" w:rsidRDefault="00C31885" w:rsidP="00FD23F5">
      <w:pPr>
        <w:spacing w:line="360" w:lineRule="auto"/>
        <w:ind w:firstLine="720"/>
        <w:jc w:val="both"/>
        <w:rPr>
          <w:b/>
        </w:rPr>
      </w:pPr>
      <w:r>
        <w:t xml:space="preserve">This study also finds that for conscientious individuals of cohorts </w:t>
      </w:r>
      <w:r w:rsidR="00E3468D">
        <w:t xml:space="preserve">that were </w:t>
      </w:r>
      <w:r>
        <w:t>born before the dissemination</w:t>
      </w:r>
      <w:r w:rsidR="00E3468D">
        <w:t xml:space="preserve"> of information on adverse health impacts of smoking</w:t>
      </w:r>
      <w:r>
        <w:t>, a one standard deviation increase in conscientiousness reduces the probability of smoking after the ban by 2.6 per</w:t>
      </w:r>
      <w:r w:rsidR="00335A94">
        <w:t>centage points</w:t>
      </w:r>
      <w:r>
        <w:t>.</w:t>
      </w:r>
      <w:r w:rsidR="0071217D">
        <w:t xml:space="preserve"> </w:t>
      </w:r>
      <w:r w:rsidR="00335A94">
        <w:t>This finding</w:t>
      </w:r>
      <w:r w:rsidR="0071217D">
        <w:t xml:space="preserve"> supports the hypothesis that </w:t>
      </w:r>
      <w:r w:rsidR="007D0434">
        <w:t xml:space="preserve">the interaction </w:t>
      </w:r>
      <w:r w:rsidR="007D0434">
        <w:lastRenderedPageBreak/>
        <w:t xml:space="preserve">between smoking and public smoking bans matters more for the smoking behaviour of conscientious persons who initiated </w:t>
      </w:r>
      <w:r w:rsidR="00335A94">
        <w:t xml:space="preserve">their habit </w:t>
      </w:r>
      <w:r w:rsidR="007D0434">
        <w:t xml:space="preserve">before the health effects were well known. </w:t>
      </w:r>
    </w:p>
    <w:p w14:paraId="1D7C019A" w14:textId="77777777" w:rsidR="00A51542" w:rsidRDefault="00A51542" w:rsidP="00A51542"/>
    <w:p w14:paraId="3A69EFF5" w14:textId="18E851C6" w:rsidR="002025D4" w:rsidRDefault="002025D4" w:rsidP="00922ABE">
      <w:pPr>
        <w:pStyle w:val="Heading2"/>
      </w:pPr>
      <w:r>
        <w:t xml:space="preserve">Data: </w:t>
      </w:r>
    </w:p>
    <w:p w14:paraId="30127394" w14:textId="53620C74" w:rsidR="00C24ADE" w:rsidRPr="008F33CB" w:rsidRDefault="00C24ADE" w:rsidP="00922ABE">
      <w:pPr>
        <w:pStyle w:val="Heading2"/>
      </w:pPr>
      <w:r w:rsidRPr="008F33CB">
        <w:t xml:space="preserve">BHPS </w:t>
      </w:r>
    </w:p>
    <w:p w14:paraId="65A64934" w14:textId="2AE0967B" w:rsidR="00C24ADE" w:rsidRDefault="00C24ADE" w:rsidP="00E97A16">
      <w:pPr>
        <w:spacing w:line="360" w:lineRule="auto"/>
        <w:ind w:firstLine="360"/>
        <w:jc w:val="both"/>
      </w:pPr>
      <w:r w:rsidRPr="00A7260C">
        <w:t xml:space="preserve">We use all 18 waves of the original sample of the British Household Panel Survey (BHPS), a longitudinal study of around 5,500 households and over 10,000 individuals </w:t>
      </w:r>
      <w:r>
        <w:t xml:space="preserve">in England, Wales and Scotland </w:t>
      </w:r>
      <w:r w:rsidRPr="00A7260C">
        <w:t>that began in 1991. This main sample was supplemented in later years with a Welsh extension from 1999 (about 1500 households), a Scottish extension from 1999 and a Northern Ireland extension from 2001 (about 1900 households).</w:t>
      </w:r>
      <w:r w:rsidR="008D776A">
        <w:t xml:space="preserve"> Our analysis relies on two samples of this data. First, we utilise the entire sample when modelling the decision to smoke. Second, we restrict the sample to those who smoked at one point in time when considering the decision to quit.  </w:t>
      </w:r>
      <w:r w:rsidRPr="00A7260C">
        <w:t xml:space="preserve"> </w:t>
      </w:r>
      <w:r w:rsidR="00980678">
        <w:t>Th</w:t>
      </w:r>
      <w:r w:rsidR="008D776A">
        <w:t>is</w:t>
      </w:r>
      <w:r w:rsidR="00980678">
        <w:t xml:space="preserve"> reduced sample </w:t>
      </w:r>
      <w:r w:rsidR="008D776A">
        <w:t xml:space="preserve">of </w:t>
      </w:r>
      <w:r w:rsidR="00980678">
        <w:t>“</w:t>
      </w:r>
      <w:r w:rsidR="008D776A">
        <w:t>e</w:t>
      </w:r>
      <w:r w:rsidR="00980678">
        <w:t xml:space="preserve">ver </w:t>
      </w:r>
      <w:r w:rsidR="008D776A">
        <w:t>s</w:t>
      </w:r>
      <w:r w:rsidR="00980678">
        <w:t>moker</w:t>
      </w:r>
      <w:r w:rsidR="0050385D">
        <w:t>s</w:t>
      </w:r>
      <w:r w:rsidR="00980678">
        <w:t xml:space="preserve">” contains 62,430 observations. </w:t>
      </w:r>
      <w:r>
        <w:t xml:space="preserve">The BHPS has previously been used to study effects of the UK public smoking ban on smoking cessation, self-assessed health, and well-being </w:t>
      </w:r>
      <w:r>
        <w:fldChar w:fldCharType="begin" w:fldLock="1"/>
      </w:r>
      <w:r>
        <w:instrText>ADDIN CSL_CITATION { "citationItems" : [ { "id" : "ITEM-1", "itemData" : { "author" : [ { "dropping-particle" : "", "family" : "Jones", "given" : "Andrew M", "non-dropping-particle" : "", "parse-names" : false, "suffix" : "" }, { "dropping-particle" : "", "family" : "Laporte", "given" : "Audrey", "non-dropping-particle" : "", "parse-names" : false, "suffix" : "" }, { "dropping-particle" : "", "family" : "Rice", "given" : "Nigel", "non-dropping-particle" : "", "parse-names" : false, "suffix" : "" }, { "dropping-particle" : "", "family" : "Zucchelli", "given" : "Eugenio", "non-dropping-particle" : "", "parse-names" : false, "suffix" : "" } ], "container-title" : "Health, Econometrics and Data Group", "id" : "ITEM-1", "issue" : "May", "issued" : { "date-parts" : [ [ "2011" ] ] }, "title" : "A model of the impact of smoking bans on smoking with evidence from bans in England and Scotland", "type" : "article-journal" }, "uris" : [ "http://www.mendeley.com/documents/?uuid=6dddb2ac-86f2-4831-9695-354625ee455e" ] }, { "id" : "ITEM-2", "itemData" : { "DOI" : "10.1016/j.econlet.2012.10.019", "ISSN" : "0165-1765", "author" : [ { "dropping-particle" : "", "family" : "Wildman", "given" : "John", "non-dropping-particle" : "", "parse-names" : false, "suffix" : "" }, { "dropping-particle" : "", "family" : "Hollingsworth", "given" : "Bruce", "non-dropping-particle" : "", "parse-names" : false, "suffix" : "" } ], "container-title" : "Economics Letters", "id" : "ITEM-2", "issue" : "1", "issued" : { "date-parts" : [ [ "2013" ] ] }, "page" : "209-212", "publisher" : "Elsevier B.V.", "title" : "Public smoking bans and self-assessed health : Evidence from Great Britain", "type" : "article-journal", "volume" : "118" }, "uris" : [ "http://www.mendeley.com/documents/?uuid=4f692a1b-56c7-4232-a679-3079f4974fef" ] }, { "id" : "ITEM-3", "itemData" : { "author" : [ { "dropping-particle" : "", "family" : "Leicester", "given" : "Andrew", "non-dropping-particle" : "", "parse-names" : false, "suffix" : "" }, { "dropping-particle" : "", "family" : "Levell", "given" : "Peter", "non-dropping-particle" : "", "parse-names" : false, "suffix" : "" } ], "container-title" : "Fiscal Studies", "id" : "ITEM-3", "issue" : "2", "issued" : { "date-parts" : [ [ "2016" ] ] }, "page" : "224-257", "title" : "Anti-Smoking Policies and Smoker Well-Being : Evidence from Britain", "type" : "article-journal", "volume" : "37" }, "uris" : [ "http://www.mendeley.com/documents/?uuid=15430f3e-9973-4437-bc07-aa8f30cd6737" ] } ], "mendeley" : { "formattedCitation" : "(Jones et al. 2011; Wildman &amp; Hollingsworth 2013; Leicester &amp; Levell 2016)", "plainTextFormattedCitation" : "(Jones et al. 2011; Wildman &amp; Hollingsworth 2013; Leicester &amp; Levell 2016)", "previouslyFormattedCitation" : "(Jones et al. 2011; Wildman &amp; Hollingsworth 2013; Leicester &amp; Levell 2016)" }, "properties" : { "noteIndex" : 0 }, "schema" : "https://github.com/citation-style-language/schema/raw/master/csl-citation.json" }</w:instrText>
      </w:r>
      <w:r>
        <w:fldChar w:fldCharType="separate"/>
      </w:r>
      <w:r w:rsidRPr="00D732AB">
        <w:rPr>
          <w:noProof/>
        </w:rPr>
        <w:t>(Jones et al. 2011; Wildman &amp; Hollingsworth 2013; Leicester &amp; Levell 2016)</w:t>
      </w:r>
      <w:r>
        <w:fldChar w:fldCharType="end"/>
      </w:r>
      <w:r>
        <w:rPr>
          <w:rStyle w:val="FootnoteReference"/>
        </w:rPr>
        <w:footnoteReference w:id="3"/>
      </w:r>
      <w:r>
        <w:t xml:space="preserve">. </w:t>
      </w:r>
    </w:p>
    <w:p w14:paraId="26E53F06" w14:textId="5808F274" w:rsidR="00C24ADE" w:rsidRDefault="00C24ADE" w:rsidP="006239EF">
      <w:pPr>
        <w:spacing w:line="360" w:lineRule="auto"/>
        <w:ind w:firstLine="720"/>
        <w:jc w:val="both"/>
      </w:pPr>
      <w:r>
        <w:t xml:space="preserve">The main outcome variable used in this study </w:t>
      </w:r>
      <w:r w:rsidR="0036774A">
        <w:t>is based on the</w:t>
      </w:r>
      <w:r>
        <w:t xml:space="preserve"> respondent</w:t>
      </w:r>
      <w:r w:rsidR="0036774A">
        <w:t xml:space="preserve">s </w:t>
      </w:r>
      <w:r w:rsidR="00046F28">
        <w:t>self-reported</w:t>
      </w:r>
      <w:r w:rsidR="0036774A">
        <w:t xml:space="preserve"> smoking status, and </w:t>
      </w:r>
      <w:r>
        <w:t xml:space="preserve">the </w:t>
      </w:r>
      <w:r w:rsidR="0036774A">
        <w:t xml:space="preserve">reported </w:t>
      </w:r>
      <w:r>
        <w:t xml:space="preserve">number of cigarettes smoked daily. </w:t>
      </w:r>
      <w:r w:rsidR="00CB58D3">
        <w:t>The Big Five</w:t>
      </w:r>
      <w:r w:rsidR="002E7D3F">
        <w:t xml:space="preserve"> personality </w:t>
      </w:r>
      <w:r w:rsidR="007E00F0">
        <w:t>taxonomy is</w:t>
      </w:r>
      <w:r w:rsidR="002E7D3F">
        <w:t xml:space="preserve"> a concept </w:t>
      </w:r>
      <w:r w:rsidR="00B0755A">
        <w:t>in</w:t>
      </w:r>
      <w:r w:rsidR="002E7D3F">
        <w:t xml:space="preserve"> personality psychology </w:t>
      </w:r>
      <w:r w:rsidR="00820C46">
        <w:t>encompassing</w:t>
      </w:r>
      <w:r w:rsidR="00437BBF">
        <w:t xml:space="preserve"> </w:t>
      </w:r>
      <w:r w:rsidR="00E73C51">
        <w:t>c</w:t>
      </w:r>
      <w:r w:rsidR="00AA06AD">
        <w:t xml:space="preserve">onscientiousness, </w:t>
      </w:r>
      <w:r w:rsidR="00E73C51">
        <w:t>n</w:t>
      </w:r>
      <w:r w:rsidR="00AA06AD">
        <w:t xml:space="preserve">euroticism, </w:t>
      </w:r>
      <w:r w:rsidR="00E73C51">
        <w:t>o</w:t>
      </w:r>
      <w:r w:rsidR="00AA06AD">
        <w:t xml:space="preserve">penness, </w:t>
      </w:r>
      <w:r w:rsidR="00E73C51">
        <w:t>a</w:t>
      </w:r>
      <w:r w:rsidR="00AA06AD">
        <w:t xml:space="preserve">greeableness and </w:t>
      </w:r>
      <w:r w:rsidR="00E73C51">
        <w:t>e</w:t>
      </w:r>
      <w:r w:rsidR="00AA06AD">
        <w:t>xtro</w:t>
      </w:r>
      <w:r w:rsidR="007C4E9A">
        <w:t xml:space="preserve">version </w:t>
      </w:r>
      <w:r w:rsidR="007C4E9A">
        <w:fldChar w:fldCharType="begin" w:fldLock="1"/>
      </w:r>
      <w:r w:rsidR="00714B24">
        <w:instrText>ADDIN CSL_CITATION { "citationItems" : [ { "id" : "ITEM-1", "itemData" : { "author" : [ { "dropping-particle" : "", "family" : "Costa", "given" : "Paul", "non-dropping-particle" : "", "parse-names" : false, "suffix" : "" }, { "dropping-particle" : "", "family" : "McCrae", "given" : "Robert R.", "non-dropping-particle" : "", "parse-names" : false, "suffix" : "" } ], "container-title" : "Psychological Assessment", "id" : "ITEM-1", "issued" : { "date-parts" : [ [ "1992" ] ] }, "title" : "Normal personality assessment in clinical practice: The NEO Personality Inventory", "type" : "article-journal" }, "uris" : [ "http://www.mendeley.com/documents/?uuid=7765aeab-7836-4520-8016-381f00165e04" ] } ], "mendeley" : { "formattedCitation" : "(Costa &amp; McCrae 1992)", "plainTextFormattedCitation" : "(Costa &amp; McCrae 1992)", "previouslyFormattedCitation" : "(Costa &amp; McCrae 1992)" }, "properties" : { "noteIndex" : 0 }, "schema" : "https://github.com/citation-style-language/schema/raw/master/csl-citation.json" }</w:instrText>
      </w:r>
      <w:r w:rsidR="007C4E9A">
        <w:fldChar w:fldCharType="separate"/>
      </w:r>
      <w:r w:rsidR="007C4E9A" w:rsidRPr="007C4E9A">
        <w:rPr>
          <w:noProof/>
        </w:rPr>
        <w:t>(Costa &amp; McCrae 1992)</w:t>
      </w:r>
      <w:r w:rsidR="007C4E9A">
        <w:fldChar w:fldCharType="end"/>
      </w:r>
      <w:r w:rsidR="002025D4">
        <w:rPr>
          <w:rStyle w:val="FootnoteReference"/>
        </w:rPr>
        <w:footnoteReference w:id="4"/>
      </w:r>
      <w:r w:rsidR="0037771A">
        <w:t xml:space="preserve">. </w:t>
      </w:r>
      <w:r>
        <w:t xml:space="preserve"> It was recorded in wave 15 of the BHPS and 5,100 </w:t>
      </w:r>
      <w:r w:rsidR="002B3B80">
        <w:t>individuals</w:t>
      </w:r>
      <w:r>
        <w:t xml:space="preserve"> responded. The </w:t>
      </w:r>
      <w:r w:rsidRPr="0032625A">
        <w:t xml:space="preserve">Big Five </w:t>
      </w:r>
      <w:r>
        <w:t xml:space="preserve">questionnaire </w:t>
      </w:r>
      <w:r w:rsidRPr="0032625A">
        <w:t>in the BHPS has been reduced to 15 ques</w:t>
      </w:r>
      <w:r>
        <w:t>tions, three per character trait.</w:t>
      </w:r>
      <w:r w:rsidR="00CC7083">
        <w:rPr>
          <w:rStyle w:val="FootnoteReference"/>
        </w:rPr>
        <w:footnoteReference w:id="5"/>
      </w:r>
      <w:r>
        <w:t xml:space="preserve"> This short version of the five-factor model has been shown to be </w:t>
      </w:r>
      <w:r w:rsidRPr="0032625A">
        <w:t xml:space="preserve">closely related to </w:t>
      </w:r>
      <w:r>
        <w:t xml:space="preserve">a </w:t>
      </w:r>
      <w:r w:rsidRPr="0032625A">
        <w:t xml:space="preserve">more extensive version </w:t>
      </w:r>
      <w:r>
        <w:fldChar w:fldCharType="begin" w:fldLock="1"/>
      </w:r>
      <w:r>
        <w:instrText>ADDIN CSL_CITATION { "citationItems" : [ { "id" : "ITEM-1", "itemData" : { "author" : [ { "dropping-particle" : "", "family" : "Tavares", "given" : "Lara Patr\u00edcio", "non-dropping-particle" : "", "parse-names" : false, "suffix" : "" } ], "container-title" : "ISER Working paper series", "id" : "ITEM-1", "issued" : { "date-parts" : [ [ "2010" ] ] }, "title" : "Who delays childbearing ? The relationships between fertility , education and personality traits", "type" : "article-journal" }, "uris" : [ "http://www.mendeley.com/documents/?uuid=79d400a2-0457-4e0b-9357-75effdc96817" ] } ], "mendeley" : { "formattedCitation" : "(Tavares 2010)", "plainTextFormattedCitation" : "(Tavares 2010)", "previouslyFormattedCitation" : "(Tavares 2010)" }, "properties" : { "noteIndex" : 0 }, "schema" : "https://github.com/citation-style-language/schema/raw/master/csl-citation.json" }</w:instrText>
      </w:r>
      <w:r>
        <w:fldChar w:fldCharType="separate"/>
      </w:r>
      <w:r w:rsidRPr="00FE6A88">
        <w:rPr>
          <w:noProof/>
        </w:rPr>
        <w:t>(Tavares 2010)</w:t>
      </w:r>
      <w:r>
        <w:fldChar w:fldCharType="end"/>
      </w:r>
      <w:r>
        <w:t>. Specifically, individuals were asked three questions for each characteristic with answers ranging from “</w:t>
      </w:r>
      <w:r w:rsidR="00D81325">
        <w:t>d</w:t>
      </w:r>
      <w:r>
        <w:t xml:space="preserve">oes not </w:t>
      </w:r>
      <w:r>
        <w:lastRenderedPageBreak/>
        <w:t>apply” to “</w:t>
      </w:r>
      <w:r w:rsidR="00D81325">
        <w:t>a</w:t>
      </w:r>
      <w:r>
        <w:t>pplies perfectly” on a seven-point scale. Each personality variable was generated by adding the respective answers for all three questions such that the highest possible variable level is 21 and the lowest value is 3</w:t>
      </w:r>
      <w:r>
        <w:rPr>
          <w:rStyle w:val="FootnoteReference"/>
        </w:rPr>
        <w:footnoteReference w:id="6"/>
      </w:r>
      <w:r>
        <w:t>. We standardise each trait to have a mean of zero and a standard deviation of one</w:t>
      </w:r>
      <w:r w:rsidR="008D776A">
        <w:t xml:space="preserve">, to ease interpretation of the regression results. </w:t>
      </w:r>
      <w:r>
        <w:t xml:space="preserve">  We assume that personality is fixed in adulthood, which has been shown in the literature to be a reasonable assumption (Cobb-Clark and </w:t>
      </w:r>
      <w:proofErr w:type="spellStart"/>
      <w:r>
        <w:t>Schurer</w:t>
      </w:r>
      <w:proofErr w:type="spellEnd"/>
      <w:r>
        <w:t xml:space="preserve">, 2012; Tavares, 2010,  </w:t>
      </w:r>
      <w:proofErr w:type="spellStart"/>
      <w:r>
        <w:t>Terracciano</w:t>
      </w:r>
      <w:proofErr w:type="spellEnd"/>
      <w:r>
        <w:t xml:space="preserve"> and McCrae, 2006 and  </w:t>
      </w:r>
      <w:r>
        <w:fldChar w:fldCharType="begin" w:fldLock="1"/>
      </w:r>
      <w:r>
        <w:instrText>ADDIN CSL_CITATION { "citationItems" : [ { "id" : "ITEM-1", "itemData" : { "DOI" : "10.1037/0033-2909.126.1.3", "ISBN" : "0033-2909", "ISSN" : "0033-2909", "PMID" : "10668348", "abstract" : "The present study used meta-analytic techniques to test whether trait consistency maximizes and stabilizes at a specific period in the life course. From 152 longitudinal studies, 3,217 test\u2013retest correlation coefficients were compiled. Meta-analytic estimates of mean population test\u2013retest correlation coefficients showed that trait consistency increased from .31 in childhood to .54 during the college years, to .64 at age 30, and then reached a plateau around .74 between ages 50 and 70 when time interval was held constant at 6.7 years. Analysis of moderators of consistency showed that the longitudinal time interval had a negative relation to trait consistency and that temperament dimensions were less consistent than adult personality traits. (PsycINFO Database Record (c) 2012 APA, all rights reserved) (journal abstract)", "author" : [ { "dropping-particle" : "", "family" : "Roberts", "given" : "Brent W", "non-dropping-particle" : "", "parse-names" : false, "suffix" : "" }, { "dropping-particle" : "", "family" : "DelVecchio", "given" : "Wendy F", "non-dropping-particle" : "", "parse-names" : false, "suffix" : "" } ], "container-title" : "Psychological Bulletin", "id" : "ITEM-1", "issue" : "1", "issued" : { "date-parts" : [ [ "2000" ] ] }, "page" : "3-25", "title" : "The rank-order consistency of personality traits from childhood to old age: A quantitative review of longitudinal studies", "type" : "article", "volume" : "126" }, "uris" : [ "http://www.mendeley.com/documents/?uuid=6dc7a887-1e11-4ae7-bafb-4e5546609682" ] } ], "mendeley" : { "formattedCitation" : "(Roberts &amp; DelVecchio 2000)", "manualFormatting" : "Roberts &amp; DelVecchio (2000)", "plainTextFormattedCitation" : "(Roberts &amp; DelVecchio 2000)", "previouslyFormattedCitation" : "(Roberts &amp; DelVecchio 2000)" }, "properties" : { "noteIndex" : 0 }, "schema" : "https://github.com/citation-style-language/schema/raw/master/csl-citation.json" }</w:instrText>
      </w:r>
      <w:r>
        <w:fldChar w:fldCharType="separate"/>
      </w:r>
      <w:r w:rsidRPr="009825CA">
        <w:rPr>
          <w:noProof/>
        </w:rPr>
        <w:t>Roberts &amp; DelVecchio 2000)</w:t>
      </w:r>
      <w:r>
        <w:fldChar w:fldCharType="end"/>
      </w:r>
      <w:r>
        <w:t>. Notably, personality types were recorded in 2005, which is shortly before the UK ban in 2006/2007</w:t>
      </w:r>
      <w:r w:rsidR="00487EA7">
        <w:t xml:space="preserve">, </w:t>
      </w:r>
      <w:proofErr w:type="gramStart"/>
      <w:r w:rsidR="00487EA7">
        <w:t>making the assumption</w:t>
      </w:r>
      <w:proofErr w:type="gramEnd"/>
      <w:r w:rsidR="00487EA7">
        <w:t xml:space="preserve"> of stability of personality more plausible. </w:t>
      </w:r>
      <w:r w:rsidR="0036774A">
        <w:t xml:space="preserve"> As a </w:t>
      </w:r>
      <w:r>
        <w:t xml:space="preserve">robustness </w:t>
      </w:r>
      <w:r w:rsidR="0036774A">
        <w:t xml:space="preserve">check </w:t>
      </w:r>
      <w:r>
        <w:t xml:space="preserve">we </w:t>
      </w:r>
      <w:r w:rsidR="0036774A">
        <w:t>later</w:t>
      </w:r>
      <w:r>
        <w:t xml:space="preserve"> restrict the study period to 2005 to 2008. Over this narrow window it is highly unlikely that personality will change significantly for the average individual</w:t>
      </w:r>
      <w:r w:rsidR="00864D13">
        <w:t xml:space="preserve">, </w:t>
      </w:r>
    </w:p>
    <w:p w14:paraId="67A79980" w14:textId="445B92AC" w:rsidR="00006E20" w:rsidRDefault="00C24ADE" w:rsidP="00006E20">
      <w:pPr>
        <w:spacing w:line="360" w:lineRule="auto"/>
        <w:ind w:firstLine="720"/>
        <w:jc w:val="both"/>
      </w:pPr>
      <w:r>
        <w:t xml:space="preserve">The main dependent variable </w:t>
      </w:r>
      <w:r w:rsidRPr="00456504">
        <w:rPr>
          <w:i/>
        </w:rPr>
        <w:t>smoker</w:t>
      </w:r>
      <w:r>
        <w:t xml:space="preserve"> is a dummy that equals one if a respondent is a smoker and zero if not. </w:t>
      </w:r>
      <w:r w:rsidRPr="00456504">
        <w:rPr>
          <w:i/>
        </w:rPr>
        <w:t xml:space="preserve">Number of </w:t>
      </w:r>
      <w:r>
        <w:rPr>
          <w:i/>
        </w:rPr>
        <w:t xml:space="preserve">daily </w:t>
      </w:r>
      <w:r w:rsidRPr="00456504">
        <w:rPr>
          <w:i/>
        </w:rPr>
        <w:t>cigarettes</w:t>
      </w:r>
      <w:r>
        <w:t xml:space="preserve"> is </w:t>
      </w:r>
      <w:r w:rsidR="0036774A">
        <w:t>also considered</w:t>
      </w:r>
      <w:r w:rsidR="00487EA7">
        <w:t xml:space="preserve"> as a dependent variable. </w:t>
      </w:r>
      <w:r w:rsidR="0036774A">
        <w:t xml:space="preserve"> </w:t>
      </w:r>
      <w:r>
        <w:t>Both variables were recorded in each wave.</w:t>
      </w:r>
      <w:r w:rsidR="002828B1">
        <w:t xml:space="preserve"> </w:t>
      </w:r>
      <w:r w:rsidR="00487EA7">
        <w:t xml:space="preserve">Figures 1.1 and </w:t>
      </w:r>
      <w:proofErr w:type="gramStart"/>
      <w:r w:rsidR="00487EA7">
        <w:t xml:space="preserve">1.2 </w:t>
      </w:r>
      <w:r w:rsidR="00006E20">
        <w:t xml:space="preserve"> below</w:t>
      </w:r>
      <w:proofErr w:type="gramEnd"/>
      <w:r w:rsidR="00006E20">
        <w:t xml:space="preserve"> illustrate the distribution of </w:t>
      </w:r>
      <w:r w:rsidR="00487EA7">
        <w:t xml:space="preserve">the </w:t>
      </w:r>
      <w:r w:rsidR="00006E20">
        <w:t xml:space="preserve">conscientiousness </w:t>
      </w:r>
      <w:r w:rsidR="00487EA7">
        <w:t xml:space="preserve">variable </w:t>
      </w:r>
      <w:r w:rsidR="00006E20">
        <w:t xml:space="preserve">by smoking status. </w:t>
      </w:r>
    </w:p>
    <w:p w14:paraId="4769FB90" w14:textId="77777777" w:rsidR="00487EA7" w:rsidRDefault="00487EA7" w:rsidP="00487EA7">
      <w:pPr>
        <w:pStyle w:val="Caption"/>
        <w:keepNext/>
        <w:rPr>
          <w:i/>
          <w:iCs w:val="0"/>
          <w:sz w:val="24"/>
          <w:szCs w:val="24"/>
        </w:rPr>
      </w:pPr>
    </w:p>
    <w:p w14:paraId="30609291" w14:textId="2D526D36" w:rsidR="00487EA7" w:rsidRPr="00E97A16" w:rsidRDefault="00487EA7" w:rsidP="00487EA7">
      <w:pPr>
        <w:pStyle w:val="Caption"/>
        <w:keepNext/>
        <w:rPr>
          <w:sz w:val="24"/>
          <w:szCs w:val="24"/>
        </w:rPr>
      </w:pPr>
      <w:r w:rsidRPr="00E97A16">
        <w:rPr>
          <w:sz w:val="24"/>
          <w:szCs w:val="24"/>
        </w:rPr>
        <w:t xml:space="preserve">Figures 1.1 and 1.2: Distribution of </w:t>
      </w:r>
      <w:r w:rsidR="00D81325">
        <w:rPr>
          <w:sz w:val="24"/>
          <w:szCs w:val="24"/>
        </w:rPr>
        <w:t>c</w:t>
      </w:r>
      <w:r w:rsidRPr="00E97A16">
        <w:rPr>
          <w:sz w:val="24"/>
          <w:szCs w:val="24"/>
        </w:rPr>
        <w:t xml:space="preserve">onscientiousness by smoker and non-smoker status respectively </w:t>
      </w:r>
    </w:p>
    <w:p w14:paraId="4A59CCC2" w14:textId="760D2DC6" w:rsidR="00487EA7" w:rsidRDefault="00487EA7" w:rsidP="00487EA7">
      <w:pPr>
        <w:spacing w:before="100" w:beforeAutospacing="1" w:after="100" w:afterAutospacing="1"/>
        <w:rPr>
          <w:noProof/>
        </w:rPr>
      </w:pPr>
      <w:r w:rsidRPr="00A34E72">
        <w:rPr>
          <w:noProof/>
        </w:rPr>
        <w:t xml:space="preserve"> </w:t>
      </w:r>
      <w:r w:rsidRPr="00A34E72">
        <w:rPr>
          <w:rFonts w:ascii="Helvetica" w:hAnsi="Helvetica"/>
          <w:noProof/>
          <w:color w:val="FF0000"/>
          <w:sz w:val="18"/>
          <w:szCs w:val="18"/>
          <w:lang w:eastAsia="en-GB"/>
        </w:rPr>
        <w:drawing>
          <wp:inline distT="0" distB="0" distL="0" distR="0" wp14:anchorId="2DD04EBB" wp14:editId="2CCF93E8">
            <wp:extent cx="2641600" cy="241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0411" cy="2435299"/>
                    </a:xfrm>
                    <a:prstGeom prst="rect">
                      <a:avLst/>
                    </a:prstGeom>
                  </pic:spPr>
                </pic:pic>
              </a:graphicData>
            </a:graphic>
          </wp:inline>
        </w:drawing>
      </w:r>
      <w:r w:rsidRPr="0075094A">
        <w:rPr>
          <w:noProof/>
        </w:rPr>
        <w:drawing>
          <wp:inline distT="0" distB="0" distL="0" distR="0" wp14:anchorId="72A1F1DF" wp14:editId="6BCF5C6B">
            <wp:extent cx="2667000" cy="2466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7000" cy="2466975"/>
                    </a:xfrm>
                    <a:prstGeom prst="rect">
                      <a:avLst/>
                    </a:prstGeom>
                  </pic:spPr>
                </pic:pic>
              </a:graphicData>
            </a:graphic>
          </wp:inline>
        </w:drawing>
      </w:r>
    </w:p>
    <w:p w14:paraId="15391D6A" w14:textId="4AFD424F" w:rsidR="00487EA7" w:rsidRDefault="00487EA7" w:rsidP="00487EA7">
      <w:pPr>
        <w:spacing w:before="100" w:beforeAutospacing="1" w:after="100" w:afterAutospacing="1"/>
        <w:rPr>
          <w:rFonts w:ascii="Helvetica" w:hAnsi="Helvetica"/>
          <w:color w:val="FF0000"/>
          <w:sz w:val="18"/>
          <w:szCs w:val="18"/>
          <w:lang w:eastAsia="en-GB"/>
        </w:rPr>
      </w:pPr>
    </w:p>
    <w:p w14:paraId="4B2A38C2" w14:textId="77777777" w:rsidR="00487EA7" w:rsidRDefault="00487EA7" w:rsidP="00487EA7">
      <w:pPr>
        <w:rPr>
          <w:color w:val="FF0000"/>
        </w:rPr>
      </w:pPr>
    </w:p>
    <w:p w14:paraId="61C07BF7" w14:textId="77777777" w:rsidR="00487EA7" w:rsidRDefault="00487EA7" w:rsidP="00006E20">
      <w:pPr>
        <w:spacing w:line="360" w:lineRule="auto"/>
        <w:ind w:firstLine="720"/>
        <w:jc w:val="both"/>
      </w:pPr>
    </w:p>
    <w:p w14:paraId="2731A98E" w14:textId="44A4218B" w:rsidR="00975D2A" w:rsidRDefault="00006E20" w:rsidP="00006E20">
      <w:pPr>
        <w:spacing w:line="360" w:lineRule="auto"/>
        <w:ind w:firstLine="720"/>
        <w:jc w:val="both"/>
      </w:pPr>
      <w:r>
        <w:lastRenderedPageBreak/>
        <w:t xml:space="preserve"> </w:t>
      </w:r>
    </w:p>
    <w:p w14:paraId="1A1E7B4D" w14:textId="77777777" w:rsidR="00CC55CC" w:rsidRDefault="0044641A" w:rsidP="00CC55CC">
      <w:pPr>
        <w:spacing w:line="360" w:lineRule="auto"/>
        <w:ind w:firstLine="360"/>
        <w:jc w:val="both"/>
      </w:pPr>
      <w:r>
        <w:t xml:space="preserve">When considering the effects of the ban for different </w:t>
      </w:r>
      <w:r w:rsidR="0036774A">
        <w:t>cohorts</w:t>
      </w:r>
      <w:r w:rsidR="00CC55CC">
        <w:t xml:space="preserve"> we utilise the following definitions: </w:t>
      </w:r>
      <w:r>
        <w:t xml:space="preserve"> </w:t>
      </w:r>
    </w:p>
    <w:p w14:paraId="08639BE7" w14:textId="292E558D" w:rsidR="0044641A" w:rsidRDefault="00CC55CC" w:rsidP="00CC55CC">
      <w:pPr>
        <w:pStyle w:val="ListParagraph"/>
        <w:numPr>
          <w:ilvl w:val="0"/>
          <w:numId w:val="20"/>
        </w:numPr>
        <w:spacing w:line="360" w:lineRule="auto"/>
      </w:pPr>
      <w:r>
        <w:t>A</w:t>
      </w:r>
      <w:r w:rsidR="0044641A">
        <w:t xml:space="preserve"> cut-off birth year for the “Hooked Generation” </w:t>
      </w:r>
      <w:r>
        <w:t>of</w:t>
      </w:r>
      <w:r w:rsidR="0044641A">
        <w:t xml:space="preserve"> 1949. This threshold is chosen as </w:t>
      </w:r>
      <w:r>
        <w:t>the</w:t>
      </w:r>
      <w:r w:rsidR="0044641A">
        <w:t xml:space="preserve"> first major policy intervention prohibiting TV advertising </w:t>
      </w:r>
      <w:r>
        <w:t xml:space="preserve">of cigarettes </w:t>
      </w:r>
      <w:r w:rsidR="0044641A">
        <w:t xml:space="preserve">was implemented in 1965 when this generation was 16 (See </w:t>
      </w:r>
      <w:r w:rsidR="00B50CDA">
        <w:t>Appendix A</w:t>
      </w:r>
      <w:r w:rsidR="006104CC">
        <w:t xml:space="preserve"> </w:t>
      </w:r>
      <w:r w:rsidR="0044641A">
        <w:t xml:space="preserve">Table </w:t>
      </w:r>
      <w:r w:rsidR="00E93B22">
        <w:t>A.1</w:t>
      </w:r>
      <w:r w:rsidR="0044641A">
        <w:t>). 16 is the average age of smoking initiation in the BHPS.</w:t>
      </w:r>
      <w:r w:rsidR="0044641A" w:rsidRPr="009C32FA">
        <w:t xml:space="preserve"> </w:t>
      </w:r>
      <w:r w:rsidR="0044641A">
        <w:t xml:space="preserve">Generations born before 1949 hence likely made the smoking decision under limited information.  </w:t>
      </w:r>
    </w:p>
    <w:p w14:paraId="468B8DA3" w14:textId="27942DB5" w:rsidR="0044641A" w:rsidRDefault="0044641A" w:rsidP="0044641A">
      <w:pPr>
        <w:pStyle w:val="ListParagraph"/>
        <w:numPr>
          <w:ilvl w:val="0"/>
          <w:numId w:val="20"/>
        </w:numPr>
        <w:spacing w:line="360" w:lineRule="auto"/>
      </w:pPr>
      <w:r>
        <w:t xml:space="preserve">The “Middle Generation” </w:t>
      </w:r>
      <w:r w:rsidR="00CC55CC">
        <w:t xml:space="preserve">are those </w:t>
      </w:r>
      <w:r>
        <w:t>born between 1950 and 1971</w:t>
      </w:r>
      <w:r w:rsidR="00CC55CC">
        <w:t>. This cohort</w:t>
      </w:r>
      <w:r>
        <w:t xml:space="preserve"> was increasingly exposed to major interventions such as health warnings published in 1986. </w:t>
      </w:r>
    </w:p>
    <w:p w14:paraId="52A8DFBA" w14:textId="7AAA52D1" w:rsidR="0044641A" w:rsidRDefault="0044641A" w:rsidP="0044641A">
      <w:pPr>
        <w:pStyle w:val="ListParagraph"/>
        <w:numPr>
          <w:ilvl w:val="0"/>
          <w:numId w:val="20"/>
        </w:numPr>
        <w:spacing w:line="360" w:lineRule="auto"/>
      </w:pPr>
      <w:r>
        <w:t xml:space="preserve">The “Informed Generation” is the generation born between 1971 and 1990. Most health information became available in the 1990s </w:t>
      </w:r>
      <w:r>
        <w:fldChar w:fldCharType="begin" w:fldLock="1"/>
      </w:r>
      <w:r>
        <w:instrText>ADDIN CSL_CITATION { "citationItems" : [ { "id" : "ITEM-1", "itemData" : { "abstract" : "For over forty years, government public health policies have increasingly focused on reducing the toll of death and disease from tobacco use. These initiatives have reduced smoking prevalence from 70% of men in 1962 (the year the Royal College of Physicians published their groundbreaking study that concluded smoking was a cause of lung cancer) to 24% in 2005. 1 But smoking still accounted for around a hundred thousand deaths a year, with passive smoking blamed for some eleven thousand of these deaths. 2 Moreover, smoking was increasingly shown to be a significant driver of health inequalities. Evidence on the health impacts of passive smoking (and declines in the proportion of the population who smoked) increased the focus on smoking in public places. In 1998, the Labour government published the first ever white paper dedicated to tobacco and continued the tradition of relying on a voluntary approach to control smoking in public places. By the early 2000s, it was clear that levels of compliance with the voluntary ban were low and there was increasing pressure inside government and outside to move to a statutory ban. But this would constitute a step change in government willingness to regulate private behaviours and risked considerable opposition in parliament and beyond. The Labour Party's 2005 manifesto proposed only a partial ban. Now the full ban on smoking in public places is widely accepted and general compliance is high. The case study looks at how this particular landmark in the decades-long effort to reduce smoking rates was achieved, despite deep ambivalence within government. Policy background Efforts to determine the health implications of smoking had begun before World War Two, but the breakthrough came when Richard Doll and Austin Bradford Hill conducted the first large-scale study into the link between smoking and lung cancer. 3 In September 1950, they published their preliminary findings in the British Medical Journal, based on a survey of lung cancer patients in 20 1 See Nicholas Wald and Ans Nicolaides-Bouman (eds.), UK Smoking Statistics (Oxford: Oxford University Press, 1991); and", "author" : [ { "dropping-particle" : "", "family" : "IfG", "given" : "", "non-dropping-particle" : "", "parse-names" : false, "suffix" : "" } ], "id" : "ITEM-1", "issued" : { "date-parts" : [ [ "2007" ] ] }, "page" : "99-110", "title" : "The Ban on Smoking in Public Places", "type" : "article-journal", "volume" : "79" }, "uris" : [ "http://www.mendeley.com/documents/?uuid=e7c56111-3f7b-4f54-bf93-bdb3c50e667b" ] } ], "mendeley" : { "formattedCitation" : "(IfG 2007)", "plainTextFormattedCitation" : "(IfG 2007)", "previouslyFormattedCitation" : "(IfG 2007)" }, "properties" : { "noteIndex" : 0 }, "schema" : "https://github.com/citation-style-language/schema/raw/master/csl-citation.json" }</w:instrText>
      </w:r>
      <w:r>
        <w:fldChar w:fldCharType="separate"/>
      </w:r>
      <w:r w:rsidRPr="0011200A">
        <w:rPr>
          <w:noProof/>
        </w:rPr>
        <w:t>(IfG 2007)</w:t>
      </w:r>
      <w:r>
        <w:fldChar w:fldCharType="end"/>
      </w:r>
      <w:r>
        <w:t xml:space="preserve">.  </w:t>
      </w:r>
    </w:p>
    <w:p w14:paraId="339BCF71" w14:textId="77777777" w:rsidR="0044641A" w:rsidRDefault="0044641A" w:rsidP="0044641A">
      <w:pPr>
        <w:spacing w:line="360" w:lineRule="auto"/>
        <w:ind w:firstLine="360"/>
      </w:pPr>
    </w:p>
    <w:p w14:paraId="08D31EB2" w14:textId="1D26C91A" w:rsidR="00554798" w:rsidRDefault="007E7CFD" w:rsidP="00A32AE5">
      <w:pPr>
        <w:spacing w:line="360" w:lineRule="auto"/>
        <w:ind w:firstLine="360"/>
        <w:jc w:val="both"/>
      </w:pPr>
      <w:r>
        <w:fldChar w:fldCharType="begin"/>
      </w:r>
      <w:r>
        <w:instrText xml:space="preserve"> REF _Ref24387329 </w:instrText>
      </w:r>
      <w:r>
        <w:fldChar w:fldCharType="separate"/>
      </w:r>
      <w:r w:rsidR="00904D86" w:rsidRPr="00904D86">
        <w:t xml:space="preserve">Table </w:t>
      </w:r>
      <w:r w:rsidR="00904D86" w:rsidRPr="00904D86">
        <w:rPr>
          <w:noProof/>
        </w:rPr>
        <w:t>1</w:t>
      </w:r>
      <w:r>
        <w:rPr>
          <w:noProof/>
        </w:rPr>
        <w:fldChar w:fldCharType="end"/>
      </w:r>
      <w:r w:rsidR="00904D86">
        <w:t xml:space="preserve"> </w:t>
      </w:r>
      <w:r w:rsidR="00554798">
        <w:t xml:space="preserve">below </w:t>
      </w:r>
      <w:r w:rsidR="0044641A">
        <w:t xml:space="preserve">documents </w:t>
      </w:r>
      <w:r w:rsidR="00CC55CC">
        <w:t xml:space="preserve">the </w:t>
      </w:r>
      <w:r w:rsidR="0044641A">
        <w:t xml:space="preserve">descriptive statistics for </w:t>
      </w:r>
      <w:r w:rsidR="00CC55CC">
        <w:t>the</w:t>
      </w:r>
      <w:r w:rsidR="0044641A">
        <w:t xml:space="preserve"> key variables</w:t>
      </w:r>
      <w:r w:rsidR="00CC55CC">
        <w:t xml:space="preserve"> utilised in this study</w:t>
      </w:r>
      <w:r w:rsidR="0044641A">
        <w:t>, for the full sample and separately by smoking status.  Notably, t</w:t>
      </w:r>
      <w:r w:rsidR="00E23820">
        <w:t>he descriptive statistics</w:t>
      </w:r>
      <w:r w:rsidR="00F47919">
        <w:t xml:space="preserve"> </w:t>
      </w:r>
      <w:r w:rsidR="0044641A">
        <w:t>highlight</w:t>
      </w:r>
      <w:r w:rsidR="00E23820">
        <w:t xml:space="preserve"> a</w:t>
      </w:r>
      <w:r w:rsidR="00847DFC">
        <w:t>n inverse</w:t>
      </w:r>
      <w:r w:rsidR="00E23820">
        <w:t xml:space="preserve"> relationship between conscientiousness and the probability of smoking.</w:t>
      </w:r>
      <w:r w:rsidR="0044641A">
        <w:t xml:space="preserve"> </w:t>
      </w:r>
      <w:r w:rsidR="002B3B80">
        <w:t>Specifically, individuals</w:t>
      </w:r>
      <w:r w:rsidR="009038EE">
        <w:t xml:space="preserve"> with higher </w:t>
      </w:r>
      <w:r w:rsidR="00CC55CC">
        <w:t xml:space="preserve">levels of </w:t>
      </w:r>
      <w:r w:rsidR="00E84134">
        <w:t>conscientiousness</w:t>
      </w:r>
      <w:r w:rsidR="009038EE">
        <w:t xml:space="preserve"> are less likely to be smokers </w:t>
      </w:r>
      <w:proofErr w:type="gramStart"/>
      <w:r w:rsidR="009038EE">
        <w:t>and also</w:t>
      </w:r>
      <w:proofErr w:type="gramEnd"/>
      <w:r w:rsidR="009038EE">
        <w:t xml:space="preserve"> consume slightly fewer cigarettes.</w:t>
      </w:r>
      <w:r w:rsidR="00CC7083">
        <w:rPr>
          <w:rStyle w:val="FootnoteReference"/>
        </w:rPr>
        <w:footnoteReference w:id="7"/>
      </w:r>
      <w:r w:rsidR="009038EE">
        <w:t xml:space="preserve"> </w:t>
      </w:r>
    </w:p>
    <w:p w14:paraId="0D2AB066" w14:textId="39BDDF32" w:rsidR="00A06425" w:rsidRDefault="00A06425" w:rsidP="0044641A">
      <w:pPr>
        <w:spacing w:line="360" w:lineRule="auto"/>
        <w:ind w:firstLine="360"/>
        <w:jc w:val="both"/>
      </w:pPr>
    </w:p>
    <w:p w14:paraId="44284619" w14:textId="58160B1E" w:rsidR="00A06425" w:rsidRDefault="00A06425" w:rsidP="0044641A">
      <w:pPr>
        <w:spacing w:line="360" w:lineRule="auto"/>
        <w:ind w:firstLine="360"/>
        <w:jc w:val="both"/>
      </w:pPr>
    </w:p>
    <w:p w14:paraId="60B5562A" w14:textId="27B7620D" w:rsidR="00A06425" w:rsidRDefault="00A06425" w:rsidP="0044641A">
      <w:pPr>
        <w:spacing w:line="360" w:lineRule="auto"/>
        <w:ind w:firstLine="360"/>
        <w:jc w:val="both"/>
      </w:pPr>
    </w:p>
    <w:p w14:paraId="41394991" w14:textId="4DC80608" w:rsidR="00A06425" w:rsidRDefault="00A06425" w:rsidP="0044641A">
      <w:pPr>
        <w:spacing w:line="360" w:lineRule="auto"/>
        <w:ind w:firstLine="360"/>
        <w:jc w:val="both"/>
      </w:pPr>
    </w:p>
    <w:p w14:paraId="0D9C5041" w14:textId="40BF7DF1" w:rsidR="00A06425" w:rsidRDefault="00A06425" w:rsidP="0044641A">
      <w:pPr>
        <w:spacing w:line="360" w:lineRule="auto"/>
        <w:ind w:firstLine="360"/>
        <w:jc w:val="both"/>
      </w:pPr>
    </w:p>
    <w:p w14:paraId="0D4F6676" w14:textId="3A1A8386" w:rsidR="00A06425" w:rsidRDefault="00A06425" w:rsidP="0044641A">
      <w:pPr>
        <w:spacing w:line="360" w:lineRule="auto"/>
        <w:ind w:firstLine="360"/>
        <w:jc w:val="both"/>
      </w:pPr>
    </w:p>
    <w:p w14:paraId="26349089" w14:textId="49999DFA" w:rsidR="00A06425" w:rsidRDefault="00A06425" w:rsidP="0044641A">
      <w:pPr>
        <w:spacing w:line="360" w:lineRule="auto"/>
        <w:ind w:firstLine="360"/>
        <w:jc w:val="both"/>
      </w:pPr>
    </w:p>
    <w:p w14:paraId="254E613B" w14:textId="4AF4CD01" w:rsidR="00A06425" w:rsidRDefault="00A06425" w:rsidP="0044641A">
      <w:pPr>
        <w:spacing w:line="360" w:lineRule="auto"/>
        <w:ind w:firstLine="360"/>
        <w:jc w:val="both"/>
      </w:pPr>
    </w:p>
    <w:p w14:paraId="2C697E86" w14:textId="2F4DFCA7" w:rsidR="00A06425" w:rsidRDefault="00A06425" w:rsidP="0044641A">
      <w:pPr>
        <w:spacing w:line="360" w:lineRule="auto"/>
        <w:ind w:firstLine="360"/>
        <w:jc w:val="both"/>
      </w:pPr>
    </w:p>
    <w:p w14:paraId="5DE26337" w14:textId="510518EF" w:rsidR="006B49CE" w:rsidRDefault="006B49CE" w:rsidP="0044641A">
      <w:pPr>
        <w:spacing w:line="360" w:lineRule="auto"/>
        <w:ind w:firstLine="360"/>
        <w:jc w:val="both"/>
      </w:pPr>
    </w:p>
    <w:p w14:paraId="4B9A6E80" w14:textId="7E8E10FE" w:rsidR="006B49CE" w:rsidRDefault="006B49CE" w:rsidP="0044641A">
      <w:pPr>
        <w:spacing w:line="360" w:lineRule="auto"/>
        <w:ind w:firstLine="360"/>
        <w:jc w:val="both"/>
      </w:pPr>
    </w:p>
    <w:p w14:paraId="2B2EE114" w14:textId="77777777" w:rsidR="006B49CE" w:rsidRDefault="006B49CE" w:rsidP="0044641A">
      <w:pPr>
        <w:spacing w:line="360" w:lineRule="auto"/>
        <w:ind w:firstLine="360"/>
        <w:jc w:val="both"/>
      </w:pPr>
    </w:p>
    <w:p w14:paraId="43D2067A" w14:textId="7DE64EEF" w:rsidR="00554798" w:rsidRDefault="00554798" w:rsidP="00E97A16">
      <w:pPr>
        <w:spacing w:line="360" w:lineRule="auto"/>
        <w:jc w:val="both"/>
      </w:pPr>
    </w:p>
    <w:p w14:paraId="3A49A6EF" w14:textId="77777777" w:rsidR="00554798" w:rsidRDefault="00554798" w:rsidP="00554798"/>
    <w:p w14:paraId="64995DE3" w14:textId="24E4AC7B" w:rsidR="00904D86" w:rsidRPr="007A7E03" w:rsidRDefault="00904D86" w:rsidP="00C9493F">
      <w:pPr>
        <w:pStyle w:val="Caption"/>
        <w:keepNext/>
      </w:pPr>
      <w:bookmarkStart w:id="1" w:name="_Ref24387329"/>
      <w:r w:rsidRPr="007A7E03">
        <w:rPr>
          <w:sz w:val="24"/>
          <w:szCs w:val="24"/>
        </w:rPr>
        <w:t xml:space="preserve">Table </w:t>
      </w:r>
      <w:r w:rsidRPr="007A7E03">
        <w:rPr>
          <w:sz w:val="24"/>
          <w:szCs w:val="24"/>
        </w:rPr>
        <w:fldChar w:fldCharType="begin"/>
      </w:r>
      <w:r w:rsidRPr="007A7E03">
        <w:rPr>
          <w:sz w:val="24"/>
          <w:szCs w:val="24"/>
        </w:rPr>
        <w:instrText xml:space="preserve"> SEQ Table \* ARABIC </w:instrText>
      </w:r>
      <w:r w:rsidRPr="007A7E03">
        <w:rPr>
          <w:sz w:val="24"/>
          <w:szCs w:val="24"/>
        </w:rPr>
        <w:fldChar w:fldCharType="separate"/>
      </w:r>
      <w:r>
        <w:rPr>
          <w:noProof/>
          <w:sz w:val="24"/>
          <w:szCs w:val="24"/>
        </w:rPr>
        <w:t>1</w:t>
      </w:r>
      <w:r w:rsidRPr="007A7E03">
        <w:rPr>
          <w:sz w:val="24"/>
          <w:szCs w:val="24"/>
        </w:rPr>
        <w:fldChar w:fldCharType="end"/>
      </w:r>
      <w:bookmarkEnd w:id="1"/>
      <w:r>
        <w:rPr>
          <w:sz w:val="24"/>
          <w:szCs w:val="24"/>
        </w:rPr>
        <w:t>: Descriptive statistics</w:t>
      </w:r>
    </w:p>
    <w:tbl>
      <w:tblPr>
        <w:tblW w:w="5631" w:type="pct"/>
        <w:tblInd w:w="-506" w:type="dxa"/>
        <w:tblLayout w:type="fixed"/>
        <w:tblLook w:val="04A0" w:firstRow="1" w:lastRow="0" w:firstColumn="1" w:lastColumn="0" w:noHBand="0" w:noVBand="1"/>
      </w:tblPr>
      <w:tblGrid>
        <w:gridCol w:w="2931"/>
        <w:gridCol w:w="1281"/>
        <w:gridCol w:w="1165"/>
        <w:gridCol w:w="1218"/>
        <w:gridCol w:w="1009"/>
        <w:gridCol w:w="988"/>
        <w:gridCol w:w="985"/>
      </w:tblGrid>
      <w:tr w:rsidR="00554798" w14:paraId="0BE5C7B2" w14:textId="77777777" w:rsidTr="00CF1A36">
        <w:trPr>
          <w:trHeight w:val="281"/>
        </w:trPr>
        <w:tc>
          <w:tcPr>
            <w:tcW w:w="1530" w:type="pct"/>
            <w:tcBorders>
              <w:top w:val="nil"/>
              <w:left w:val="nil"/>
              <w:bottom w:val="nil"/>
              <w:right w:val="nil"/>
            </w:tcBorders>
            <w:shd w:val="clear" w:color="auto" w:fill="auto"/>
            <w:noWrap/>
            <w:vAlign w:val="bottom"/>
            <w:hideMark/>
          </w:tcPr>
          <w:p w14:paraId="3695F7B1" w14:textId="77777777" w:rsidR="00554798" w:rsidRPr="00EE405C" w:rsidRDefault="00554798" w:rsidP="00CF1A36">
            <w:pPr>
              <w:rPr>
                <w:sz w:val="20"/>
                <w:szCs w:val="20"/>
              </w:rPr>
            </w:pPr>
          </w:p>
        </w:tc>
        <w:tc>
          <w:tcPr>
            <w:tcW w:w="1277" w:type="pct"/>
            <w:gridSpan w:val="2"/>
            <w:tcBorders>
              <w:top w:val="single" w:sz="4" w:space="0" w:color="auto"/>
              <w:left w:val="nil"/>
              <w:bottom w:val="single" w:sz="4" w:space="0" w:color="auto"/>
              <w:right w:val="nil"/>
            </w:tcBorders>
            <w:shd w:val="clear" w:color="auto" w:fill="auto"/>
            <w:noWrap/>
            <w:vAlign w:val="bottom"/>
            <w:hideMark/>
          </w:tcPr>
          <w:p w14:paraId="324C051D" w14:textId="77777777" w:rsidR="00554798" w:rsidRPr="0097539F" w:rsidRDefault="00554798" w:rsidP="00CF1A36">
            <w:pPr>
              <w:jc w:val="center"/>
              <w:rPr>
                <w:color w:val="000000"/>
                <w:sz w:val="20"/>
                <w:szCs w:val="20"/>
              </w:rPr>
            </w:pPr>
            <w:r w:rsidRPr="0097539F">
              <w:rPr>
                <w:color w:val="000000"/>
                <w:sz w:val="20"/>
                <w:szCs w:val="20"/>
              </w:rPr>
              <w:t>(1)</w:t>
            </w:r>
          </w:p>
        </w:tc>
        <w:tc>
          <w:tcPr>
            <w:tcW w:w="1163" w:type="pct"/>
            <w:gridSpan w:val="2"/>
            <w:tcBorders>
              <w:top w:val="single" w:sz="4" w:space="0" w:color="auto"/>
              <w:left w:val="nil"/>
              <w:bottom w:val="single" w:sz="4" w:space="0" w:color="auto"/>
              <w:right w:val="nil"/>
            </w:tcBorders>
            <w:shd w:val="clear" w:color="auto" w:fill="auto"/>
            <w:noWrap/>
            <w:vAlign w:val="bottom"/>
            <w:hideMark/>
          </w:tcPr>
          <w:p w14:paraId="296CEBC6" w14:textId="77777777" w:rsidR="00554798" w:rsidRPr="0097539F" w:rsidRDefault="00554798" w:rsidP="00CF1A36">
            <w:pPr>
              <w:jc w:val="center"/>
              <w:rPr>
                <w:color w:val="000000"/>
                <w:sz w:val="20"/>
                <w:szCs w:val="20"/>
              </w:rPr>
            </w:pPr>
            <w:r w:rsidRPr="0097539F">
              <w:rPr>
                <w:color w:val="000000"/>
                <w:sz w:val="20"/>
                <w:szCs w:val="20"/>
              </w:rPr>
              <w:t>(2)</w:t>
            </w:r>
          </w:p>
        </w:tc>
        <w:tc>
          <w:tcPr>
            <w:tcW w:w="1030" w:type="pct"/>
            <w:gridSpan w:val="2"/>
            <w:tcBorders>
              <w:top w:val="single" w:sz="4" w:space="0" w:color="auto"/>
              <w:left w:val="nil"/>
              <w:bottom w:val="single" w:sz="4" w:space="0" w:color="auto"/>
              <w:right w:val="nil"/>
            </w:tcBorders>
            <w:shd w:val="clear" w:color="auto" w:fill="auto"/>
            <w:noWrap/>
            <w:vAlign w:val="bottom"/>
            <w:hideMark/>
          </w:tcPr>
          <w:p w14:paraId="529DD449" w14:textId="77777777" w:rsidR="00554798" w:rsidRPr="0097539F" w:rsidRDefault="00554798" w:rsidP="00CF1A36">
            <w:pPr>
              <w:jc w:val="center"/>
              <w:rPr>
                <w:color w:val="000000"/>
                <w:sz w:val="20"/>
                <w:szCs w:val="20"/>
              </w:rPr>
            </w:pPr>
            <w:r w:rsidRPr="0097539F">
              <w:rPr>
                <w:color w:val="000000"/>
                <w:sz w:val="20"/>
                <w:szCs w:val="20"/>
              </w:rPr>
              <w:t>(3)</w:t>
            </w:r>
          </w:p>
        </w:tc>
      </w:tr>
      <w:tr w:rsidR="00554798" w14:paraId="17A24D82" w14:textId="77777777" w:rsidTr="00CF1A36">
        <w:trPr>
          <w:trHeight w:val="281"/>
        </w:trPr>
        <w:tc>
          <w:tcPr>
            <w:tcW w:w="1530" w:type="pct"/>
            <w:tcBorders>
              <w:top w:val="nil"/>
              <w:left w:val="nil"/>
              <w:bottom w:val="nil"/>
              <w:right w:val="nil"/>
            </w:tcBorders>
            <w:shd w:val="clear" w:color="auto" w:fill="auto"/>
            <w:noWrap/>
            <w:vAlign w:val="bottom"/>
            <w:hideMark/>
          </w:tcPr>
          <w:p w14:paraId="092A9C9B" w14:textId="77777777" w:rsidR="00554798" w:rsidRPr="0097539F" w:rsidRDefault="00554798" w:rsidP="00CF1A36">
            <w:pPr>
              <w:jc w:val="center"/>
              <w:rPr>
                <w:color w:val="000000"/>
                <w:sz w:val="20"/>
                <w:szCs w:val="20"/>
              </w:rPr>
            </w:pPr>
          </w:p>
        </w:tc>
        <w:tc>
          <w:tcPr>
            <w:tcW w:w="1277" w:type="pct"/>
            <w:gridSpan w:val="2"/>
            <w:tcBorders>
              <w:top w:val="nil"/>
              <w:left w:val="nil"/>
              <w:bottom w:val="single" w:sz="4" w:space="0" w:color="auto"/>
              <w:right w:val="nil"/>
            </w:tcBorders>
            <w:shd w:val="clear" w:color="auto" w:fill="auto"/>
            <w:noWrap/>
            <w:vAlign w:val="bottom"/>
            <w:hideMark/>
          </w:tcPr>
          <w:p w14:paraId="42C6AED7" w14:textId="77777777" w:rsidR="00554798" w:rsidRPr="0097539F" w:rsidRDefault="00554798" w:rsidP="00CF1A36">
            <w:pPr>
              <w:jc w:val="center"/>
              <w:rPr>
                <w:color w:val="000000"/>
                <w:sz w:val="20"/>
                <w:szCs w:val="20"/>
              </w:rPr>
            </w:pPr>
            <w:r w:rsidRPr="0097539F">
              <w:rPr>
                <w:color w:val="000000"/>
                <w:sz w:val="20"/>
                <w:szCs w:val="20"/>
              </w:rPr>
              <w:t>Full Sample</w:t>
            </w:r>
          </w:p>
        </w:tc>
        <w:tc>
          <w:tcPr>
            <w:tcW w:w="1163" w:type="pct"/>
            <w:gridSpan w:val="2"/>
            <w:tcBorders>
              <w:top w:val="nil"/>
              <w:left w:val="nil"/>
              <w:bottom w:val="single" w:sz="4" w:space="0" w:color="auto"/>
              <w:right w:val="nil"/>
            </w:tcBorders>
            <w:shd w:val="clear" w:color="auto" w:fill="auto"/>
            <w:noWrap/>
            <w:vAlign w:val="bottom"/>
            <w:hideMark/>
          </w:tcPr>
          <w:p w14:paraId="5B2E4159" w14:textId="77777777" w:rsidR="00554798" w:rsidRPr="0097539F" w:rsidRDefault="00554798" w:rsidP="00CF1A36">
            <w:pPr>
              <w:jc w:val="center"/>
              <w:rPr>
                <w:color w:val="000000"/>
                <w:sz w:val="20"/>
                <w:szCs w:val="20"/>
              </w:rPr>
            </w:pPr>
            <w:r w:rsidRPr="0097539F">
              <w:rPr>
                <w:color w:val="000000"/>
                <w:sz w:val="20"/>
                <w:szCs w:val="20"/>
              </w:rPr>
              <w:t xml:space="preserve">Smokers </w:t>
            </w:r>
          </w:p>
        </w:tc>
        <w:tc>
          <w:tcPr>
            <w:tcW w:w="1030" w:type="pct"/>
            <w:gridSpan w:val="2"/>
            <w:tcBorders>
              <w:top w:val="nil"/>
              <w:left w:val="nil"/>
              <w:bottom w:val="single" w:sz="4" w:space="0" w:color="auto"/>
              <w:right w:val="nil"/>
            </w:tcBorders>
            <w:shd w:val="clear" w:color="auto" w:fill="auto"/>
            <w:noWrap/>
            <w:vAlign w:val="bottom"/>
            <w:hideMark/>
          </w:tcPr>
          <w:p w14:paraId="188DEBF8" w14:textId="77777777" w:rsidR="00554798" w:rsidRPr="0097539F" w:rsidRDefault="00554798" w:rsidP="00CF1A36">
            <w:pPr>
              <w:jc w:val="center"/>
              <w:rPr>
                <w:color w:val="000000"/>
                <w:sz w:val="20"/>
                <w:szCs w:val="20"/>
              </w:rPr>
            </w:pPr>
            <w:r w:rsidRPr="0097539F">
              <w:rPr>
                <w:color w:val="000000"/>
                <w:sz w:val="20"/>
                <w:szCs w:val="20"/>
              </w:rPr>
              <w:t>Non-Smokers</w:t>
            </w:r>
          </w:p>
        </w:tc>
      </w:tr>
      <w:tr w:rsidR="00554798" w14:paraId="6CF2EA8D" w14:textId="77777777" w:rsidTr="00CF1A36">
        <w:trPr>
          <w:trHeight w:val="281"/>
        </w:trPr>
        <w:tc>
          <w:tcPr>
            <w:tcW w:w="1530" w:type="pct"/>
            <w:tcBorders>
              <w:top w:val="nil"/>
              <w:left w:val="nil"/>
              <w:bottom w:val="single" w:sz="4" w:space="0" w:color="auto"/>
              <w:right w:val="nil"/>
            </w:tcBorders>
            <w:shd w:val="clear" w:color="auto" w:fill="auto"/>
            <w:noWrap/>
            <w:vAlign w:val="bottom"/>
            <w:hideMark/>
          </w:tcPr>
          <w:p w14:paraId="4884217C" w14:textId="77777777" w:rsidR="00554798" w:rsidRPr="0097539F" w:rsidRDefault="00554798" w:rsidP="00CF1A36">
            <w:pPr>
              <w:rPr>
                <w:color w:val="000000"/>
                <w:sz w:val="20"/>
                <w:szCs w:val="20"/>
              </w:rPr>
            </w:pPr>
            <w:r w:rsidRPr="0097539F">
              <w:rPr>
                <w:color w:val="000000"/>
                <w:sz w:val="20"/>
                <w:szCs w:val="20"/>
              </w:rPr>
              <w:t> </w:t>
            </w:r>
          </w:p>
        </w:tc>
        <w:tc>
          <w:tcPr>
            <w:tcW w:w="669" w:type="pct"/>
            <w:tcBorders>
              <w:top w:val="nil"/>
              <w:left w:val="nil"/>
              <w:bottom w:val="single" w:sz="4" w:space="0" w:color="auto"/>
              <w:right w:val="nil"/>
            </w:tcBorders>
            <w:shd w:val="clear" w:color="auto" w:fill="auto"/>
            <w:noWrap/>
            <w:vAlign w:val="center"/>
            <w:hideMark/>
          </w:tcPr>
          <w:p w14:paraId="100560CD" w14:textId="77777777" w:rsidR="00554798" w:rsidRPr="0097539F" w:rsidRDefault="00554798" w:rsidP="00CF1A36">
            <w:pPr>
              <w:jc w:val="center"/>
              <w:rPr>
                <w:color w:val="000000"/>
                <w:sz w:val="20"/>
                <w:szCs w:val="20"/>
              </w:rPr>
            </w:pPr>
            <w:r w:rsidRPr="0097539F">
              <w:rPr>
                <w:color w:val="000000"/>
                <w:sz w:val="20"/>
                <w:szCs w:val="20"/>
              </w:rPr>
              <w:t>Mean</w:t>
            </w:r>
          </w:p>
        </w:tc>
        <w:tc>
          <w:tcPr>
            <w:tcW w:w="608" w:type="pct"/>
            <w:tcBorders>
              <w:top w:val="nil"/>
              <w:left w:val="nil"/>
              <w:bottom w:val="single" w:sz="4" w:space="0" w:color="auto"/>
              <w:right w:val="nil"/>
            </w:tcBorders>
            <w:shd w:val="clear" w:color="auto" w:fill="auto"/>
            <w:noWrap/>
            <w:vAlign w:val="center"/>
            <w:hideMark/>
          </w:tcPr>
          <w:p w14:paraId="395F4847" w14:textId="77777777" w:rsidR="00554798" w:rsidRPr="0097539F" w:rsidRDefault="00554798" w:rsidP="00CF1A36">
            <w:pPr>
              <w:jc w:val="center"/>
              <w:rPr>
                <w:color w:val="000000"/>
                <w:sz w:val="20"/>
                <w:szCs w:val="20"/>
              </w:rPr>
            </w:pPr>
            <w:r w:rsidRPr="0097539F">
              <w:rPr>
                <w:color w:val="000000"/>
                <w:sz w:val="20"/>
                <w:szCs w:val="20"/>
              </w:rPr>
              <w:t>Std. Dev.</w:t>
            </w:r>
          </w:p>
        </w:tc>
        <w:tc>
          <w:tcPr>
            <w:tcW w:w="636" w:type="pct"/>
            <w:tcBorders>
              <w:top w:val="nil"/>
              <w:left w:val="nil"/>
              <w:bottom w:val="single" w:sz="4" w:space="0" w:color="auto"/>
              <w:right w:val="nil"/>
            </w:tcBorders>
            <w:shd w:val="clear" w:color="auto" w:fill="auto"/>
            <w:noWrap/>
            <w:vAlign w:val="center"/>
            <w:hideMark/>
          </w:tcPr>
          <w:p w14:paraId="1764A14A" w14:textId="77777777" w:rsidR="00554798" w:rsidRPr="0097539F" w:rsidRDefault="00554798" w:rsidP="00CF1A36">
            <w:pPr>
              <w:jc w:val="center"/>
              <w:rPr>
                <w:color w:val="000000"/>
                <w:sz w:val="20"/>
                <w:szCs w:val="20"/>
              </w:rPr>
            </w:pPr>
            <w:r w:rsidRPr="0097539F">
              <w:rPr>
                <w:color w:val="000000"/>
                <w:sz w:val="20"/>
                <w:szCs w:val="20"/>
              </w:rPr>
              <w:t>Mean</w:t>
            </w:r>
          </w:p>
        </w:tc>
        <w:tc>
          <w:tcPr>
            <w:tcW w:w="527" w:type="pct"/>
            <w:tcBorders>
              <w:top w:val="nil"/>
              <w:left w:val="nil"/>
              <w:bottom w:val="single" w:sz="4" w:space="0" w:color="auto"/>
              <w:right w:val="nil"/>
            </w:tcBorders>
            <w:shd w:val="clear" w:color="auto" w:fill="auto"/>
            <w:noWrap/>
            <w:vAlign w:val="center"/>
            <w:hideMark/>
          </w:tcPr>
          <w:p w14:paraId="0A8C5107" w14:textId="77777777" w:rsidR="00554798" w:rsidRPr="0097539F" w:rsidRDefault="00554798" w:rsidP="00CF1A36">
            <w:pPr>
              <w:jc w:val="center"/>
              <w:rPr>
                <w:color w:val="000000"/>
                <w:sz w:val="20"/>
                <w:szCs w:val="20"/>
              </w:rPr>
            </w:pPr>
            <w:r w:rsidRPr="0097539F">
              <w:rPr>
                <w:color w:val="000000"/>
                <w:sz w:val="20"/>
                <w:szCs w:val="20"/>
              </w:rPr>
              <w:t>Std. Dev.</w:t>
            </w:r>
          </w:p>
        </w:tc>
        <w:tc>
          <w:tcPr>
            <w:tcW w:w="516" w:type="pct"/>
            <w:tcBorders>
              <w:top w:val="nil"/>
              <w:left w:val="nil"/>
              <w:bottom w:val="single" w:sz="4" w:space="0" w:color="auto"/>
              <w:right w:val="nil"/>
            </w:tcBorders>
            <w:shd w:val="clear" w:color="auto" w:fill="auto"/>
            <w:noWrap/>
            <w:vAlign w:val="center"/>
            <w:hideMark/>
          </w:tcPr>
          <w:p w14:paraId="440D3569" w14:textId="77777777" w:rsidR="00554798" w:rsidRPr="0097539F" w:rsidRDefault="00554798" w:rsidP="00CF1A36">
            <w:pPr>
              <w:jc w:val="center"/>
              <w:rPr>
                <w:color w:val="000000"/>
                <w:sz w:val="20"/>
                <w:szCs w:val="20"/>
              </w:rPr>
            </w:pPr>
            <w:r w:rsidRPr="0097539F">
              <w:rPr>
                <w:color w:val="000000"/>
                <w:sz w:val="20"/>
                <w:szCs w:val="20"/>
              </w:rPr>
              <w:t>Mean</w:t>
            </w:r>
          </w:p>
        </w:tc>
        <w:tc>
          <w:tcPr>
            <w:tcW w:w="514" w:type="pct"/>
            <w:tcBorders>
              <w:top w:val="nil"/>
              <w:left w:val="nil"/>
              <w:bottom w:val="single" w:sz="4" w:space="0" w:color="auto"/>
              <w:right w:val="nil"/>
            </w:tcBorders>
            <w:shd w:val="clear" w:color="auto" w:fill="auto"/>
            <w:noWrap/>
            <w:vAlign w:val="center"/>
            <w:hideMark/>
          </w:tcPr>
          <w:p w14:paraId="49C6DC01" w14:textId="77777777" w:rsidR="00554798" w:rsidRPr="0097539F" w:rsidRDefault="00554798" w:rsidP="00CF1A36">
            <w:pPr>
              <w:jc w:val="center"/>
              <w:rPr>
                <w:color w:val="000000"/>
                <w:sz w:val="20"/>
                <w:szCs w:val="20"/>
              </w:rPr>
            </w:pPr>
            <w:r w:rsidRPr="0097539F">
              <w:rPr>
                <w:color w:val="000000"/>
                <w:sz w:val="20"/>
                <w:szCs w:val="20"/>
              </w:rPr>
              <w:t>Std. Dev.</w:t>
            </w:r>
          </w:p>
        </w:tc>
      </w:tr>
      <w:tr w:rsidR="00554798" w14:paraId="49772050" w14:textId="77777777" w:rsidTr="00CF1A36">
        <w:trPr>
          <w:trHeight w:val="281"/>
        </w:trPr>
        <w:tc>
          <w:tcPr>
            <w:tcW w:w="1530" w:type="pct"/>
            <w:tcBorders>
              <w:top w:val="nil"/>
              <w:left w:val="nil"/>
              <w:bottom w:val="nil"/>
              <w:right w:val="nil"/>
            </w:tcBorders>
            <w:shd w:val="clear" w:color="auto" w:fill="auto"/>
            <w:noWrap/>
            <w:vAlign w:val="center"/>
          </w:tcPr>
          <w:p w14:paraId="3E1D1B68" w14:textId="77777777" w:rsidR="00554798" w:rsidRPr="0097539F" w:rsidRDefault="00554798" w:rsidP="00CF1A36">
            <w:pPr>
              <w:rPr>
                <w:b/>
                <w:color w:val="000000"/>
                <w:sz w:val="20"/>
                <w:szCs w:val="20"/>
              </w:rPr>
            </w:pPr>
            <w:r w:rsidRPr="0097539F">
              <w:rPr>
                <w:b/>
                <w:color w:val="000000"/>
                <w:sz w:val="20"/>
                <w:szCs w:val="20"/>
              </w:rPr>
              <w:t>Smoking Status</w:t>
            </w:r>
          </w:p>
        </w:tc>
        <w:tc>
          <w:tcPr>
            <w:tcW w:w="669" w:type="pct"/>
            <w:tcBorders>
              <w:top w:val="nil"/>
              <w:left w:val="nil"/>
              <w:bottom w:val="nil"/>
              <w:right w:val="nil"/>
            </w:tcBorders>
            <w:shd w:val="clear" w:color="auto" w:fill="auto"/>
            <w:noWrap/>
            <w:vAlign w:val="center"/>
          </w:tcPr>
          <w:p w14:paraId="7DB14C1B" w14:textId="77777777" w:rsidR="00554798" w:rsidRPr="0097539F" w:rsidRDefault="00554798" w:rsidP="00CF1A36">
            <w:pPr>
              <w:jc w:val="center"/>
              <w:rPr>
                <w:color w:val="000000"/>
                <w:sz w:val="20"/>
                <w:szCs w:val="20"/>
              </w:rPr>
            </w:pPr>
          </w:p>
        </w:tc>
        <w:tc>
          <w:tcPr>
            <w:tcW w:w="608" w:type="pct"/>
            <w:tcBorders>
              <w:top w:val="nil"/>
              <w:left w:val="nil"/>
              <w:bottom w:val="nil"/>
              <w:right w:val="nil"/>
            </w:tcBorders>
            <w:shd w:val="clear" w:color="auto" w:fill="auto"/>
            <w:noWrap/>
            <w:vAlign w:val="center"/>
          </w:tcPr>
          <w:p w14:paraId="15C19428" w14:textId="77777777" w:rsidR="00554798" w:rsidRPr="0097539F" w:rsidRDefault="00554798" w:rsidP="00CF1A36">
            <w:pPr>
              <w:jc w:val="center"/>
              <w:rPr>
                <w:color w:val="000000"/>
                <w:sz w:val="20"/>
                <w:szCs w:val="20"/>
              </w:rPr>
            </w:pPr>
          </w:p>
        </w:tc>
        <w:tc>
          <w:tcPr>
            <w:tcW w:w="636" w:type="pct"/>
            <w:tcBorders>
              <w:top w:val="nil"/>
              <w:left w:val="nil"/>
              <w:bottom w:val="nil"/>
              <w:right w:val="nil"/>
            </w:tcBorders>
            <w:shd w:val="clear" w:color="auto" w:fill="auto"/>
            <w:noWrap/>
            <w:vAlign w:val="center"/>
          </w:tcPr>
          <w:p w14:paraId="3E5D8F2F" w14:textId="77777777" w:rsidR="00554798" w:rsidRPr="0097539F" w:rsidRDefault="00554798" w:rsidP="00CF1A36">
            <w:pPr>
              <w:jc w:val="center"/>
              <w:rPr>
                <w:color w:val="000000"/>
                <w:sz w:val="20"/>
                <w:szCs w:val="20"/>
              </w:rPr>
            </w:pPr>
          </w:p>
        </w:tc>
        <w:tc>
          <w:tcPr>
            <w:tcW w:w="527" w:type="pct"/>
            <w:tcBorders>
              <w:top w:val="nil"/>
              <w:left w:val="nil"/>
              <w:bottom w:val="nil"/>
              <w:right w:val="nil"/>
            </w:tcBorders>
            <w:shd w:val="clear" w:color="auto" w:fill="auto"/>
            <w:noWrap/>
            <w:vAlign w:val="center"/>
          </w:tcPr>
          <w:p w14:paraId="264AD0F2" w14:textId="77777777" w:rsidR="00554798" w:rsidRPr="0097539F" w:rsidRDefault="00554798" w:rsidP="00CF1A36">
            <w:pPr>
              <w:jc w:val="center"/>
              <w:rPr>
                <w:color w:val="000000"/>
                <w:sz w:val="20"/>
                <w:szCs w:val="20"/>
              </w:rPr>
            </w:pPr>
          </w:p>
        </w:tc>
        <w:tc>
          <w:tcPr>
            <w:tcW w:w="516" w:type="pct"/>
            <w:tcBorders>
              <w:top w:val="nil"/>
              <w:left w:val="nil"/>
              <w:bottom w:val="nil"/>
              <w:right w:val="nil"/>
            </w:tcBorders>
            <w:shd w:val="clear" w:color="auto" w:fill="auto"/>
            <w:noWrap/>
            <w:vAlign w:val="center"/>
          </w:tcPr>
          <w:p w14:paraId="1F3EA9B6" w14:textId="77777777" w:rsidR="00554798" w:rsidRPr="0097539F" w:rsidRDefault="00554798" w:rsidP="00CF1A36">
            <w:pPr>
              <w:jc w:val="center"/>
              <w:rPr>
                <w:color w:val="000000"/>
                <w:sz w:val="20"/>
                <w:szCs w:val="20"/>
              </w:rPr>
            </w:pPr>
          </w:p>
        </w:tc>
        <w:tc>
          <w:tcPr>
            <w:tcW w:w="514" w:type="pct"/>
            <w:tcBorders>
              <w:top w:val="nil"/>
              <w:left w:val="nil"/>
              <w:bottom w:val="nil"/>
              <w:right w:val="nil"/>
            </w:tcBorders>
            <w:shd w:val="clear" w:color="auto" w:fill="auto"/>
            <w:noWrap/>
            <w:vAlign w:val="center"/>
          </w:tcPr>
          <w:p w14:paraId="42015DC5" w14:textId="77777777" w:rsidR="00554798" w:rsidRPr="0097539F" w:rsidRDefault="00554798" w:rsidP="00CF1A36">
            <w:pPr>
              <w:jc w:val="center"/>
              <w:rPr>
                <w:color w:val="000000"/>
                <w:sz w:val="20"/>
                <w:szCs w:val="20"/>
              </w:rPr>
            </w:pPr>
          </w:p>
        </w:tc>
      </w:tr>
      <w:tr w:rsidR="00554798" w14:paraId="51703E92" w14:textId="77777777" w:rsidTr="00CF1A36">
        <w:trPr>
          <w:trHeight w:val="281"/>
        </w:trPr>
        <w:tc>
          <w:tcPr>
            <w:tcW w:w="1530" w:type="pct"/>
            <w:tcBorders>
              <w:top w:val="nil"/>
              <w:left w:val="nil"/>
              <w:bottom w:val="nil"/>
              <w:right w:val="nil"/>
            </w:tcBorders>
            <w:shd w:val="clear" w:color="auto" w:fill="auto"/>
            <w:noWrap/>
            <w:vAlign w:val="center"/>
            <w:hideMark/>
          </w:tcPr>
          <w:p w14:paraId="7A1F7D6B" w14:textId="77777777" w:rsidR="00554798" w:rsidRPr="0097539F" w:rsidRDefault="00554798" w:rsidP="00CF1A36">
            <w:pPr>
              <w:rPr>
                <w:color w:val="000000"/>
                <w:sz w:val="20"/>
                <w:szCs w:val="20"/>
              </w:rPr>
            </w:pPr>
            <w:r w:rsidRPr="0097539F">
              <w:rPr>
                <w:color w:val="000000"/>
                <w:sz w:val="20"/>
                <w:szCs w:val="20"/>
              </w:rPr>
              <w:t>Smoker</w:t>
            </w:r>
          </w:p>
        </w:tc>
        <w:tc>
          <w:tcPr>
            <w:tcW w:w="669" w:type="pct"/>
            <w:tcBorders>
              <w:top w:val="nil"/>
              <w:left w:val="nil"/>
              <w:bottom w:val="nil"/>
              <w:right w:val="nil"/>
            </w:tcBorders>
            <w:shd w:val="clear" w:color="auto" w:fill="auto"/>
            <w:noWrap/>
            <w:vAlign w:val="center"/>
            <w:hideMark/>
          </w:tcPr>
          <w:p w14:paraId="251B6257" w14:textId="77777777" w:rsidR="00554798" w:rsidRPr="0097539F" w:rsidRDefault="00554798" w:rsidP="00CF1A36">
            <w:pPr>
              <w:jc w:val="center"/>
              <w:rPr>
                <w:color w:val="000000"/>
                <w:sz w:val="20"/>
                <w:szCs w:val="20"/>
              </w:rPr>
            </w:pPr>
            <w:r w:rsidRPr="0097539F">
              <w:rPr>
                <w:color w:val="000000"/>
                <w:sz w:val="20"/>
                <w:szCs w:val="20"/>
              </w:rPr>
              <w:t>0.258</w:t>
            </w:r>
          </w:p>
        </w:tc>
        <w:tc>
          <w:tcPr>
            <w:tcW w:w="608" w:type="pct"/>
            <w:tcBorders>
              <w:top w:val="nil"/>
              <w:left w:val="nil"/>
              <w:bottom w:val="nil"/>
              <w:right w:val="nil"/>
            </w:tcBorders>
            <w:shd w:val="clear" w:color="auto" w:fill="auto"/>
            <w:noWrap/>
            <w:vAlign w:val="center"/>
            <w:hideMark/>
          </w:tcPr>
          <w:p w14:paraId="26986FCF" w14:textId="77777777" w:rsidR="00554798" w:rsidRPr="0097539F" w:rsidRDefault="00554798" w:rsidP="00CF1A36">
            <w:pPr>
              <w:jc w:val="center"/>
              <w:rPr>
                <w:color w:val="000000"/>
                <w:sz w:val="20"/>
                <w:szCs w:val="20"/>
              </w:rPr>
            </w:pPr>
            <w:r w:rsidRPr="0097539F">
              <w:rPr>
                <w:color w:val="000000"/>
                <w:sz w:val="20"/>
                <w:szCs w:val="20"/>
              </w:rPr>
              <w:t>0.438</w:t>
            </w:r>
          </w:p>
        </w:tc>
        <w:tc>
          <w:tcPr>
            <w:tcW w:w="636" w:type="pct"/>
            <w:tcBorders>
              <w:top w:val="nil"/>
              <w:left w:val="nil"/>
              <w:bottom w:val="nil"/>
              <w:right w:val="nil"/>
            </w:tcBorders>
            <w:shd w:val="clear" w:color="auto" w:fill="auto"/>
            <w:noWrap/>
            <w:vAlign w:val="center"/>
            <w:hideMark/>
          </w:tcPr>
          <w:p w14:paraId="410627A0" w14:textId="77777777" w:rsidR="00554798" w:rsidRPr="0097539F" w:rsidRDefault="00554798" w:rsidP="00CF1A36">
            <w:pPr>
              <w:jc w:val="center"/>
              <w:rPr>
                <w:color w:val="000000"/>
                <w:sz w:val="20"/>
                <w:szCs w:val="20"/>
              </w:rPr>
            </w:pPr>
            <w:r w:rsidRPr="0097539F">
              <w:rPr>
                <w:color w:val="000000"/>
                <w:sz w:val="20"/>
                <w:szCs w:val="20"/>
              </w:rPr>
              <w:t>1</w:t>
            </w:r>
          </w:p>
        </w:tc>
        <w:tc>
          <w:tcPr>
            <w:tcW w:w="527" w:type="pct"/>
            <w:tcBorders>
              <w:top w:val="nil"/>
              <w:left w:val="nil"/>
              <w:bottom w:val="nil"/>
              <w:right w:val="nil"/>
            </w:tcBorders>
            <w:shd w:val="clear" w:color="auto" w:fill="auto"/>
            <w:noWrap/>
            <w:vAlign w:val="center"/>
            <w:hideMark/>
          </w:tcPr>
          <w:p w14:paraId="242AED48" w14:textId="77777777" w:rsidR="00554798" w:rsidRPr="0097539F" w:rsidRDefault="00554798" w:rsidP="00CF1A36">
            <w:pPr>
              <w:jc w:val="center"/>
              <w:rPr>
                <w:color w:val="000000"/>
                <w:sz w:val="20"/>
                <w:szCs w:val="20"/>
              </w:rPr>
            </w:pPr>
            <w:r w:rsidRPr="0097539F">
              <w:rPr>
                <w:color w:val="000000"/>
                <w:sz w:val="20"/>
                <w:szCs w:val="20"/>
              </w:rPr>
              <w:t>0</w:t>
            </w:r>
          </w:p>
        </w:tc>
        <w:tc>
          <w:tcPr>
            <w:tcW w:w="516" w:type="pct"/>
            <w:tcBorders>
              <w:top w:val="nil"/>
              <w:left w:val="nil"/>
              <w:bottom w:val="nil"/>
              <w:right w:val="nil"/>
            </w:tcBorders>
            <w:shd w:val="clear" w:color="auto" w:fill="auto"/>
            <w:noWrap/>
            <w:vAlign w:val="center"/>
            <w:hideMark/>
          </w:tcPr>
          <w:p w14:paraId="1DDDB9ED" w14:textId="77777777" w:rsidR="00554798" w:rsidRPr="0097539F" w:rsidRDefault="00554798" w:rsidP="00CF1A36">
            <w:pPr>
              <w:jc w:val="center"/>
              <w:rPr>
                <w:color w:val="000000"/>
                <w:sz w:val="20"/>
                <w:szCs w:val="20"/>
              </w:rPr>
            </w:pPr>
            <w:r w:rsidRPr="0097539F">
              <w:rPr>
                <w:color w:val="000000"/>
                <w:sz w:val="20"/>
                <w:szCs w:val="20"/>
              </w:rPr>
              <w:t>0</w:t>
            </w:r>
          </w:p>
        </w:tc>
        <w:tc>
          <w:tcPr>
            <w:tcW w:w="514" w:type="pct"/>
            <w:tcBorders>
              <w:top w:val="nil"/>
              <w:left w:val="nil"/>
              <w:bottom w:val="nil"/>
              <w:right w:val="nil"/>
            </w:tcBorders>
            <w:shd w:val="clear" w:color="auto" w:fill="auto"/>
            <w:noWrap/>
            <w:vAlign w:val="center"/>
            <w:hideMark/>
          </w:tcPr>
          <w:p w14:paraId="5E32799C" w14:textId="77777777" w:rsidR="00554798" w:rsidRPr="0097539F" w:rsidRDefault="00554798" w:rsidP="00CF1A36">
            <w:pPr>
              <w:jc w:val="center"/>
              <w:rPr>
                <w:color w:val="000000"/>
                <w:sz w:val="20"/>
                <w:szCs w:val="20"/>
              </w:rPr>
            </w:pPr>
            <w:r w:rsidRPr="0097539F">
              <w:rPr>
                <w:color w:val="000000"/>
                <w:sz w:val="20"/>
                <w:szCs w:val="20"/>
              </w:rPr>
              <w:t>0</w:t>
            </w:r>
          </w:p>
        </w:tc>
      </w:tr>
      <w:tr w:rsidR="00554798" w14:paraId="3E710537" w14:textId="77777777" w:rsidTr="00CF1A36">
        <w:trPr>
          <w:trHeight w:val="281"/>
        </w:trPr>
        <w:tc>
          <w:tcPr>
            <w:tcW w:w="1530" w:type="pct"/>
            <w:tcBorders>
              <w:top w:val="nil"/>
              <w:left w:val="nil"/>
              <w:bottom w:val="nil"/>
              <w:right w:val="nil"/>
            </w:tcBorders>
            <w:shd w:val="clear" w:color="auto" w:fill="auto"/>
            <w:noWrap/>
            <w:vAlign w:val="center"/>
            <w:hideMark/>
          </w:tcPr>
          <w:p w14:paraId="5A1D4C44" w14:textId="77777777" w:rsidR="00554798" w:rsidRPr="0097539F" w:rsidRDefault="00554798" w:rsidP="00CF1A36">
            <w:pPr>
              <w:rPr>
                <w:color w:val="000000"/>
                <w:sz w:val="20"/>
                <w:szCs w:val="20"/>
              </w:rPr>
            </w:pPr>
            <w:r w:rsidRPr="0097539F">
              <w:rPr>
                <w:color w:val="000000"/>
                <w:sz w:val="20"/>
                <w:szCs w:val="20"/>
              </w:rPr>
              <w:t>Number of Cigarettes</w:t>
            </w:r>
          </w:p>
        </w:tc>
        <w:tc>
          <w:tcPr>
            <w:tcW w:w="669" w:type="pct"/>
            <w:tcBorders>
              <w:top w:val="nil"/>
              <w:left w:val="nil"/>
              <w:bottom w:val="nil"/>
              <w:right w:val="nil"/>
            </w:tcBorders>
            <w:shd w:val="clear" w:color="auto" w:fill="auto"/>
            <w:noWrap/>
            <w:vAlign w:val="center"/>
            <w:hideMark/>
          </w:tcPr>
          <w:p w14:paraId="3103B5C1" w14:textId="77777777" w:rsidR="00554798" w:rsidRPr="0097539F" w:rsidRDefault="00554798" w:rsidP="00CF1A36">
            <w:pPr>
              <w:jc w:val="center"/>
              <w:rPr>
                <w:color w:val="000000"/>
                <w:sz w:val="20"/>
                <w:szCs w:val="20"/>
              </w:rPr>
            </w:pPr>
            <w:r w:rsidRPr="0097539F">
              <w:rPr>
                <w:color w:val="000000"/>
                <w:sz w:val="20"/>
                <w:szCs w:val="20"/>
              </w:rPr>
              <w:t>15.285</w:t>
            </w:r>
          </w:p>
        </w:tc>
        <w:tc>
          <w:tcPr>
            <w:tcW w:w="608" w:type="pct"/>
            <w:tcBorders>
              <w:top w:val="nil"/>
              <w:left w:val="nil"/>
              <w:bottom w:val="nil"/>
              <w:right w:val="nil"/>
            </w:tcBorders>
            <w:shd w:val="clear" w:color="auto" w:fill="auto"/>
            <w:noWrap/>
            <w:vAlign w:val="center"/>
            <w:hideMark/>
          </w:tcPr>
          <w:p w14:paraId="766079E9" w14:textId="77777777" w:rsidR="00554798" w:rsidRPr="0097539F" w:rsidRDefault="00554798" w:rsidP="00CF1A36">
            <w:pPr>
              <w:jc w:val="center"/>
              <w:rPr>
                <w:color w:val="000000"/>
                <w:sz w:val="20"/>
                <w:szCs w:val="20"/>
              </w:rPr>
            </w:pPr>
            <w:r w:rsidRPr="0097539F">
              <w:rPr>
                <w:color w:val="000000"/>
                <w:sz w:val="20"/>
                <w:szCs w:val="20"/>
              </w:rPr>
              <w:t>8.409</w:t>
            </w:r>
          </w:p>
        </w:tc>
        <w:tc>
          <w:tcPr>
            <w:tcW w:w="636" w:type="pct"/>
            <w:tcBorders>
              <w:top w:val="nil"/>
              <w:left w:val="nil"/>
              <w:bottom w:val="nil"/>
              <w:right w:val="nil"/>
            </w:tcBorders>
            <w:shd w:val="clear" w:color="auto" w:fill="auto"/>
            <w:noWrap/>
            <w:vAlign w:val="center"/>
            <w:hideMark/>
          </w:tcPr>
          <w:p w14:paraId="6E31E6D0" w14:textId="77777777" w:rsidR="00554798" w:rsidRPr="0097539F" w:rsidRDefault="00554798" w:rsidP="00CF1A36">
            <w:pPr>
              <w:jc w:val="center"/>
              <w:rPr>
                <w:color w:val="000000"/>
                <w:sz w:val="20"/>
                <w:szCs w:val="20"/>
              </w:rPr>
            </w:pPr>
            <w:r w:rsidRPr="0097539F">
              <w:rPr>
                <w:color w:val="000000"/>
                <w:sz w:val="20"/>
                <w:szCs w:val="20"/>
              </w:rPr>
              <w:t>15.285</w:t>
            </w:r>
          </w:p>
        </w:tc>
        <w:tc>
          <w:tcPr>
            <w:tcW w:w="527" w:type="pct"/>
            <w:tcBorders>
              <w:top w:val="nil"/>
              <w:left w:val="nil"/>
              <w:bottom w:val="nil"/>
              <w:right w:val="nil"/>
            </w:tcBorders>
            <w:shd w:val="clear" w:color="auto" w:fill="auto"/>
            <w:noWrap/>
            <w:vAlign w:val="center"/>
            <w:hideMark/>
          </w:tcPr>
          <w:p w14:paraId="0B70AD7B" w14:textId="77777777" w:rsidR="00554798" w:rsidRPr="0097539F" w:rsidRDefault="00554798" w:rsidP="00CF1A36">
            <w:pPr>
              <w:jc w:val="center"/>
              <w:rPr>
                <w:color w:val="000000"/>
                <w:sz w:val="20"/>
                <w:szCs w:val="20"/>
              </w:rPr>
            </w:pPr>
            <w:r w:rsidRPr="0097539F">
              <w:rPr>
                <w:color w:val="000000"/>
                <w:sz w:val="20"/>
                <w:szCs w:val="20"/>
              </w:rPr>
              <w:t>8.409</w:t>
            </w:r>
          </w:p>
        </w:tc>
        <w:tc>
          <w:tcPr>
            <w:tcW w:w="516" w:type="pct"/>
            <w:tcBorders>
              <w:top w:val="nil"/>
              <w:left w:val="nil"/>
              <w:bottom w:val="nil"/>
              <w:right w:val="nil"/>
            </w:tcBorders>
            <w:shd w:val="clear" w:color="auto" w:fill="auto"/>
            <w:noWrap/>
            <w:vAlign w:val="center"/>
            <w:hideMark/>
          </w:tcPr>
          <w:p w14:paraId="7CBBFB28" w14:textId="77777777" w:rsidR="00554798" w:rsidRPr="0097539F" w:rsidRDefault="00554798" w:rsidP="00CF1A36">
            <w:pPr>
              <w:jc w:val="center"/>
              <w:rPr>
                <w:color w:val="000000"/>
                <w:sz w:val="20"/>
                <w:szCs w:val="20"/>
              </w:rPr>
            </w:pPr>
            <w:r w:rsidRPr="0097539F">
              <w:rPr>
                <w:color w:val="000000"/>
                <w:sz w:val="20"/>
                <w:szCs w:val="20"/>
              </w:rPr>
              <w:t>.</w:t>
            </w:r>
          </w:p>
        </w:tc>
        <w:tc>
          <w:tcPr>
            <w:tcW w:w="514" w:type="pct"/>
            <w:tcBorders>
              <w:top w:val="nil"/>
              <w:left w:val="nil"/>
              <w:bottom w:val="nil"/>
              <w:right w:val="nil"/>
            </w:tcBorders>
            <w:shd w:val="clear" w:color="auto" w:fill="auto"/>
            <w:noWrap/>
            <w:vAlign w:val="center"/>
            <w:hideMark/>
          </w:tcPr>
          <w:p w14:paraId="529F2591" w14:textId="77777777" w:rsidR="00554798" w:rsidRPr="0097539F" w:rsidRDefault="00554798" w:rsidP="00CF1A36">
            <w:pPr>
              <w:jc w:val="center"/>
              <w:rPr>
                <w:color w:val="000000"/>
                <w:sz w:val="20"/>
                <w:szCs w:val="20"/>
              </w:rPr>
            </w:pPr>
            <w:r w:rsidRPr="0097539F">
              <w:rPr>
                <w:color w:val="000000"/>
                <w:sz w:val="20"/>
                <w:szCs w:val="20"/>
              </w:rPr>
              <w:t>.</w:t>
            </w:r>
          </w:p>
        </w:tc>
      </w:tr>
      <w:tr w:rsidR="00554798" w14:paraId="15370540" w14:textId="77777777" w:rsidTr="00CF1A36">
        <w:trPr>
          <w:trHeight w:val="281"/>
        </w:trPr>
        <w:tc>
          <w:tcPr>
            <w:tcW w:w="1530" w:type="pct"/>
            <w:tcBorders>
              <w:top w:val="nil"/>
              <w:left w:val="nil"/>
              <w:bottom w:val="nil"/>
              <w:right w:val="nil"/>
            </w:tcBorders>
            <w:shd w:val="clear" w:color="auto" w:fill="auto"/>
            <w:noWrap/>
            <w:vAlign w:val="center"/>
          </w:tcPr>
          <w:p w14:paraId="10E1EB25" w14:textId="77777777" w:rsidR="00554798" w:rsidRPr="0097539F" w:rsidRDefault="00554798" w:rsidP="00CF1A36">
            <w:pPr>
              <w:rPr>
                <w:b/>
                <w:color w:val="000000"/>
                <w:sz w:val="20"/>
                <w:szCs w:val="20"/>
              </w:rPr>
            </w:pPr>
            <w:r w:rsidRPr="0097539F">
              <w:rPr>
                <w:b/>
                <w:color w:val="000000"/>
                <w:sz w:val="20"/>
                <w:szCs w:val="20"/>
              </w:rPr>
              <w:t xml:space="preserve">Big Five </w:t>
            </w:r>
            <w:r>
              <w:rPr>
                <w:b/>
                <w:color w:val="000000"/>
                <w:sz w:val="20"/>
                <w:szCs w:val="20"/>
              </w:rPr>
              <w:t xml:space="preserve">Personality Traits </w:t>
            </w:r>
          </w:p>
        </w:tc>
        <w:tc>
          <w:tcPr>
            <w:tcW w:w="669" w:type="pct"/>
            <w:tcBorders>
              <w:top w:val="nil"/>
              <w:left w:val="nil"/>
              <w:bottom w:val="nil"/>
              <w:right w:val="nil"/>
            </w:tcBorders>
            <w:shd w:val="clear" w:color="auto" w:fill="auto"/>
            <w:noWrap/>
            <w:vAlign w:val="center"/>
          </w:tcPr>
          <w:p w14:paraId="4606ADF4" w14:textId="77777777" w:rsidR="00554798" w:rsidRPr="0097539F" w:rsidRDefault="00554798" w:rsidP="00CF1A36">
            <w:pPr>
              <w:jc w:val="center"/>
              <w:rPr>
                <w:color w:val="000000"/>
                <w:sz w:val="20"/>
                <w:szCs w:val="20"/>
              </w:rPr>
            </w:pPr>
          </w:p>
        </w:tc>
        <w:tc>
          <w:tcPr>
            <w:tcW w:w="608" w:type="pct"/>
            <w:tcBorders>
              <w:top w:val="nil"/>
              <w:left w:val="nil"/>
              <w:bottom w:val="nil"/>
              <w:right w:val="nil"/>
            </w:tcBorders>
            <w:shd w:val="clear" w:color="auto" w:fill="auto"/>
            <w:noWrap/>
            <w:vAlign w:val="center"/>
          </w:tcPr>
          <w:p w14:paraId="094C365F" w14:textId="77777777" w:rsidR="00554798" w:rsidRPr="0097539F" w:rsidRDefault="00554798" w:rsidP="00CF1A36">
            <w:pPr>
              <w:jc w:val="center"/>
              <w:rPr>
                <w:color w:val="000000"/>
                <w:sz w:val="20"/>
                <w:szCs w:val="20"/>
              </w:rPr>
            </w:pPr>
          </w:p>
        </w:tc>
        <w:tc>
          <w:tcPr>
            <w:tcW w:w="636" w:type="pct"/>
            <w:tcBorders>
              <w:top w:val="nil"/>
              <w:left w:val="nil"/>
              <w:bottom w:val="nil"/>
              <w:right w:val="nil"/>
            </w:tcBorders>
            <w:shd w:val="clear" w:color="auto" w:fill="auto"/>
            <w:noWrap/>
            <w:vAlign w:val="center"/>
          </w:tcPr>
          <w:p w14:paraId="4BCE8DFD" w14:textId="77777777" w:rsidR="00554798" w:rsidRPr="0097539F" w:rsidRDefault="00554798" w:rsidP="00CF1A36">
            <w:pPr>
              <w:jc w:val="center"/>
              <w:rPr>
                <w:color w:val="000000"/>
                <w:sz w:val="20"/>
                <w:szCs w:val="20"/>
              </w:rPr>
            </w:pPr>
          </w:p>
        </w:tc>
        <w:tc>
          <w:tcPr>
            <w:tcW w:w="527" w:type="pct"/>
            <w:tcBorders>
              <w:top w:val="nil"/>
              <w:left w:val="nil"/>
              <w:bottom w:val="nil"/>
              <w:right w:val="nil"/>
            </w:tcBorders>
            <w:shd w:val="clear" w:color="auto" w:fill="auto"/>
            <w:noWrap/>
            <w:vAlign w:val="center"/>
          </w:tcPr>
          <w:p w14:paraId="4E29F495" w14:textId="77777777" w:rsidR="00554798" w:rsidRPr="0097539F" w:rsidRDefault="00554798" w:rsidP="00CF1A36">
            <w:pPr>
              <w:jc w:val="center"/>
              <w:rPr>
                <w:color w:val="000000"/>
                <w:sz w:val="20"/>
                <w:szCs w:val="20"/>
              </w:rPr>
            </w:pPr>
          </w:p>
        </w:tc>
        <w:tc>
          <w:tcPr>
            <w:tcW w:w="516" w:type="pct"/>
            <w:tcBorders>
              <w:top w:val="nil"/>
              <w:left w:val="nil"/>
              <w:bottom w:val="nil"/>
              <w:right w:val="nil"/>
            </w:tcBorders>
            <w:shd w:val="clear" w:color="auto" w:fill="auto"/>
            <w:noWrap/>
            <w:vAlign w:val="center"/>
          </w:tcPr>
          <w:p w14:paraId="3A98D185" w14:textId="77777777" w:rsidR="00554798" w:rsidRPr="0097539F" w:rsidRDefault="00554798" w:rsidP="00CF1A36">
            <w:pPr>
              <w:jc w:val="center"/>
              <w:rPr>
                <w:color w:val="000000"/>
                <w:sz w:val="20"/>
                <w:szCs w:val="20"/>
              </w:rPr>
            </w:pPr>
          </w:p>
        </w:tc>
        <w:tc>
          <w:tcPr>
            <w:tcW w:w="514" w:type="pct"/>
            <w:tcBorders>
              <w:top w:val="nil"/>
              <w:left w:val="nil"/>
              <w:bottom w:val="nil"/>
              <w:right w:val="nil"/>
            </w:tcBorders>
            <w:shd w:val="clear" w:color="auto" w:fill="auto"/>
            <w:noWrap/>
            <w:vAlign w:val="center"/>
          </w:tcPr>
          <w:p w14:paraId="13AAA98B" w14:textId="77777777" w:rsidR="00554798" w:rsidRPr="0097539F" w:rsidRDefault="00554798" w:rsidP="00CF1A36">
            <w:pPr>
              <w:jc w:val="center"/>
              <w:rPr>
                <w:color w:val="000000"/>
                <w:sz w:val="20"/>
                <w:szCs w:val="20"/>
              </w:rPr>
            </w:pPr>
          </w:p>
        </w:tc>
      </w:tr>
      <w:tr w:rsidR="0057577C" w14:paraId="4511FE6D" w14:textId="77777777" w:rsidTr="00CF1A36">
        <w:trPr>
          <w:trHeight w:val="281"/>
        </w:trPr>
        <w:tc>
          <w:tcPr>
            <w:tcW w:w="1530" w:type="pct"/>
            <w:tcBorders>
              <w:top w:val="nil"/>
              <w:left w:val="nil"/>
              <w:bottom w:val="nil"/>
              <w:right w:val="nil"/>
            </w:tcBorders>
            <w:shd w:val="clear" w:color="auto" w:fill="auto"/>
            <w:noWrap/>
            <w:vAlign w:val="center"/>
            <w:hideMark/>
          </w:tcPr>
          <w:p w14:paraId="7AD13439" w14:textId="77777777" w:rsidR="0057577C" w:rsidRPr="0097539F" w:rsidRDefault="0057577C" w:rsidP="0057577C">
            <w:pPr>
              <w:rPr>
                <w:color w:val="000000"/>
                <w:sz w:val="20"/>
                <w:szCs w:val="20"/>
              </w:rPr>
            </w:pPr>
            <w:r w:rsidRPr="0097539F">
              <w:rPr>
                <w:color w:val="000000"/>
                <w:sz w:val="20"/>
                <w:szCs w:val="20"/>
              </w:rPr>
              <w:t>Conscientiousness</w:t>
            </w:r>
          </w:p>
        </w:tc>
        <w:tc>
          <w:tcPr>
            <w:tcW w:w="669" w:type="pct"/>
            <w:tcBorders>
              <w:top w:val="nil"/>
              <w:left w:val="nil"/>
              <w:bottom w:val="nil"/>
              <w:right w:val="nil"/>
            </w:tcBorders>
            <w:shd w:val="clear" w:color="auto" w:fill="auto"/>
            <w:noWrap/>
            <w:vAlign w:val="center"/>
            <w:hideMark/>
          </w:tcPr>
          <w:p w14:paraId="46CD75F4" w14:textId="654441F7" w:rsidR="0057577C" w:rsidRPr="0097539F" w:rsidRDefault="0057577C" w:rsidP="0057577C">
            <w:pPr>
              <w:jc w:val="center"/>
              <w:rPr>
                <w:color w:val="000000"/>
                <w:sz w:val="20"/>
                <w:szCs w:val="20"/>
              </w:rPr>
            </w:pPr>
            <w:r>
              <w:rPr>
                <w:color w:val="000000"/>
                <w:sz w:val="20"/>
                <w:szCs w:val="20"/>
              </w:rPr>
              <w:t>0</w:t>
            </w:r>
          </w:p>
        </w:tc>
        <w:tc>
          <w:tcPr>
            <w:tcW w:w="608" w:type="pct"/>
            <w:tcBorders>
              <w:top w:val="nil"/>
              <w:left w:val="nil"/>
              <w:bottom w:val="nil"/>
              <w:right w:val="nil"/>
            </w:tcBorders>
            <w:shd w:val="clear" w:color="auto" w:fill="auto"/>
            <w:noWrap/>
            <w:vAlign w:val="center"/>
            <w:hideMark/>
          </w:tcPr>
          <w:p w14:paraId="5332E63C" w14:textId="1DBF5CD0" w:rsidR="0057577C" w:rsidRPr="0097539F" w:rsidRDefault="0057577C" w:rsidP="0057577C">
            <w:pPr>
              <w:jc w:val="center"/>
              <w:rPr>
                <w:color w:val="000000"/>
                <w:sz w:val="20"/>
                <w:szCs w:val="20"/>
              </w:rPr>
            </w:pPr>
            <w:r>
              <w:rPr>
                <w:color w:val="000000"/>
                <w:sz w:val="20"/>
                <w:szCs w:val="20"/>
              </w:rPr>
              <w:t>1</w:t>
            </w:r>
          </w:p>
        </w:tc>
        <w:tc>
          <w:tcPr>
            <w:tcW w:w="636" w:type="pct"/>
            <w:tcBorders>
              <w:top w:val="nil"/>
              <w:left w:val="nil"/>
              <w:bottom w:val="nil"/>
              <w:right w:val="nil"/>
            </w:tcBorders>
            <w:shd w:val="clear" w:color="auto" w:fill="auto"/>
            <w:noWrap/>
            <w:vAlign w:val="center"/>
            <w:hideMark/>
          </w:tcPr>
          <w:p w14:paraId="62B76868" w14:textId="17C83007" w:rsidR="0057577C" w:rsidRPr="0097539F" w:rsidRDefault="0057577C" w:rsidP="0057577C">
            <w:pPr>
              <w:jc w:val="center"/>
              <w:rPr>
                <w:color w:val="000000"/>
                <w:sz w:val="20"/>
                <w:szCs w:val="20"/>
              </w:rPr>
            </w:pPr>
            <w:r>
              <w:rPr>
                <w:color w:val="000000"/>
                <w:sz w:val="20"/>
                <w:szCs w:val="20"/>
              </w:rPr>
              <w:t>0</w:t>
            </w:r>
          </w:p>
        </w:tc>
        <w:tc>
          <w:tcPr>
            <w:tcW w:w="527" w:type="pct"/>
            <w:tcBorders>
              <w:top w:val="nil"/>
              <w:left w:val="nil"/>
              <w:bottom w:val="nil"/>
              <w:right w:val="nil"/>
            </w:tcBorders>
            <w:shd w:val="clear" w:color="auto" w:fill="auto"/>
            <w:noWrap/>
            <w:vAlign w:val="center"/>
            <w:hideMark/>
          </w:tcPr>
          <w:p w14:paraId="312D4B1A" w14:textId="43F2E16A" w:rsidR="0057577C" w:rsidRPr="0097539F" w:rsidRDefault="0057577C" w:rsidP="0057577C">
            <w:pPr>
              <w:jc w:val="center"/>
              <w:rPr>
                <w:color w:val="000000"/>
                <w:sz w:val="20"/>
                <w:szCs w:val="20"/>
              </w:rPr>
            </w:pPr>
            <w:r>
              <w:rPr>
                <w:color w:val="000000"/>
                <w:sz w:val="20"/>
                <w:szCs w:val="20"/>
              </w:rPr>
              <w:t>1</w:t>
            </w:r>
          </w:p>
        </w:tc>
        <w:tc>
          <w:tcPr>
            <w:tcW w:w="516" w:type="pct"/>
            <w:tcBorders>
              <w:top w:val="nil"/>
              <w:left w:val="nil"/>
              <w:bottom w:val="nil"/>
              <w:right w:val="nil"/>
            </w:tcBorders>
            <w:shd w:val="clear" w:color="auto" w:fill="auto"/>
            <w:noWrap/>
            <w:vAlign w:val="center"/>
            <w:hideMark/>
          </w:tcPr>
          <w:p w14:paraId="31A6FECF" w14:textId="6BF9B00B" w:rsidR="0057577C" w:rsidRPr="0097539F" w:rsidRDefault="0057577C" w:rsidP="0057577C">
            <w:pPr>
              <w:jc w:val="center"/>
              <w:rPr>
                <w:color w:val="000000"/>
                <w:sz w:val="20"/>
                <w:szCs w:val="20"/>
              </w:rPr>
            </w:pPr>
            <w:r>
              <w:rPr>
                <w:color w:val="000000"/>
                <w:sz w:val="20"/>
                <w:szCs w:val="20"/>
              </w:rPr>
              <w:t>0</w:t>
            </w:r>
          </w:p>
        </w:tc>
        <w:tc>
          <w:tcPr>
            <w:tcW w:w="514" w:type="pct"/>
            <w:tcBorders>
              <w:top w:val="nil"/>
              <w:left w:val="nil"/>
              <w:bottom w:val="nil"/>
              <w:right w:val="nil"/>
            </w:tcBorders>
            <w:shd w:val="clear" w:color="auto" w:fill="auto"/>
            <w:noWrap/>
            <w:vAlign w:val="center"/>
            <w:hideMark/>
          </w:tcPr>
          <w:p w14:paraId="6E8A2749" w14:textId="04E72F40" w:rsidR="0057577C" w:rsidRPr="0097539F" w:rsidRDefault="0057577C" w:rsidP="0057577C">
            <w:pPr>
              <w:jc w:val="center"/>
              <w:rPr>
                <w:color w:val="000000"/>
                <w:sz w:val="20"/>
                <w:szCs w:val="20"/>
              </w:rPr>
            </w:pPr>
            <w:r>
              <w:rPr>
                <w:color w:val="000000"/>
                <w:sz w:val="20"/>
                <w:szCs w:val="20"/>
              </w:rPr>
              <w:t>1</w:t>
            </w:r>
          </w:p>
        </w:tc>
      </w:tr>
      <w:tr w:rsidR="0057577C" w14:paraId="7A4050E5" w14:textId="77777777" w:rsidTr="00CF1A36">
        <w:trPr>
          <w:trHeight w:val="63"/>
        </w:trPr>
        <w:tc>
          <w:tcPr>
            <w:tcW w:w="1530" w:type="pct"/>
            <w:tcBorders>
              <w:top w:val="nil"/>
              <w:left w:val="nil"/>
              <w:bottom w:val="nil"/>
              <w:right w:val="nil"/>
            </w:tcBorders>
            <w:shd w:val="clear" w:color="auto" w:fill="auto"/>
            <w:noWrap/>
            <w:vAlign w:val="center"/>
            <w:hideMark/>
          </w:tcPr>
          <w:p w14:paraId="5E5A6C72" w14:textId="77777777" w:rsidR="0057577C" w:rsidRPr="0097539F" w:rsidRDefault="0057577C" w:rsidP="0057577C">
            <w:pPr>
              <w:rPr>
                <w:color w:val="000000"/>
                <w:sz w:val="20"/>
                <w:szCs w:val="20"/>
              </w:rPr>
            </w:pPr>
            <w:r w:rsidRPr="0097539F">
              <w:rPr>
                <w:color w:val="000000"/>
                <w:sz w:val="20"/>
                <w:szCs w:val="20"/>
              </w:rPr>
              <w:t>Neuroticism</w:t>
            </w:r>
          </w:p>
        </w:tc>
        <w:tc>
          <w:tcPr>
            <w:tcW w:w="669" w:type="pct"/>
            <w:tcBorders>
              <w:top w:val="nil"/>
              <w:left w:val="nil"/>
              <w:bottom w:val="nil"/>
              <w:right w:val="nil"/>
            </w:tcBorders>
            <w:shd w:val="clear" w:color="auto" w:fill="auto"/>
            <w:noWrap/>
            <w:vAlign w:val="center"/>
            <w:hideMark/>
          </w:tcPr>
          <w:p w14:paraId="4DFF2AE1" w14:textId="139CF9B0" w:rsidR="0057577C" w:rsidRPr="0097539F" w:rsidRDefault="0057577C" w:rsidP="0057577C">
            <w:pPr>
              <w:jc w:val="center"/>
              <w:rPr>
                <w:color w:val="000000"/>
                <w:sz w:val="20"/>
                <w:szCs w:val="20"/>
              </w:rPr>
            </w:pPr>
            <w:r>
              <w:rPr>
                <w:color w:val="000000"/>
                <w:sz w:val="20"/>
                <w:szCs w:val="20"/>
              </w:rPr>
              <w:t>0</w:t>
            </w:r>
          </w:p>
        </w:tc>
        <w:tc>
          <w:tcPr>
            <w:tcW w:w="608" w:type="pct"/>
            <w:tcBorders>
              <w:top w:val="nil"/>
              <w:left w:val="nil"/>
              <w:bottom w:val="nil"/>
              <w:right w:val="nil"/>
            </w:tcBorders>
            <w:shd w:val="clear" w:color="auto" w:fill="auto"/>
            <w:noWrap/>
            <w:vAlign w:val="center"/>
            <w:hideMark/>
          </w:tcPr>
          <w:p w14:paraId="511CCEEE" w14:textId="554686EA" w:rsidR="0057577C" w:rsidRPr="0097539F" w:rsidRDefault="0057577C" w:rsidP="0057577C">
            <w:pPr>
              <w:jc w:val="center"/>
              <w:rPr>
                <w:color w:val="000000"/>
                <w:sz w:val="20"/>
                <w:szCs w:val="20"/>
              </w:rPr>
            </w:pPr>
            <w:r>
              <w:rPr>
                <w:color w:val="000000"/>
                <w:sz w:val="20"/>
                <w:szCs w:val="20"/>
              </w:rPr>
              <w:t>1</w:t>
            </w:r>
          </w:p>
        </w:tc>
        <w:tc>
          <w:tcPr>
            <w:tcW w:w="636" w:type="pct"/>
            <w:tcBorders>
              <w:top w:val="nil"/>
              <w:left w:val="nil"/>
              <w:bottom w:val="nil"/>
              <w:right w:val="nil"/>
            </w:tcBorders>
            <w:shd w:val="clear" w:color="auto" w:fill="auto"/>
            <w:noWrap/>
            <w:vAlign w:val="center"/>
            <w:hideMark/>
          </w:tcPr>
          <w:p w14:paraId="593B6E74" w14:textId="434785BA" w:rsidR="0057577C" w:rsidRPr="0097539F" w:rsidRDefault="0057577C" w:rsidP="0057577C">
            <w:pPr>
              <w:jc w:val="center"/>
              <w:rPr>
                <w:color w:val="000000"/>
                <w:sz w:val="20"/>
                <w:szCs w:val="20"/>
              </w:rPr>
            </w:pPr>
            <w:r>
              <w:rPr>
                <w:color w:val="000000"/>
                <w:sz w:val="20"/>
                <w:szCs w:val="20"/>
              </w:rPr>
              <w:t>0</w:t>
            </w:r>
          </w:p>
        </w:tc>
        <w:tc>
          <w:tcPr>
            <w:tcW w:w="527" w:type="pct"/>
            <w:tcBorders>
              <w:top w:val="nil"/>
              <w:left w:val="nil"/>
              <w:bottom w:val="nil"/>
              <w:right w:val="nil"/>
            </w:tcBorders>
            <w:shd w:val="clear" w:color="auto" w:fill="auto"/>
            <w:noWrap/>
            <w:vAlign w:val="center"/>
            <w:hideMark/>
          </w:tcPr>
          <w:p w14:paraId="58094ADB" w14:textId="5DB686D6" w:rsidR="0057577C" w:rsidRPr="0097539F" w:rsidRDefault="0057577C" w:rsidP="0057577C">
            <w:pPr>
              <w:jc w:val="center"/>
              <w:rPr>
                <w:color w:val="000000"/>
                <w:sz w:val="20"/>
                <w:szCs w:val="20"/>
              </w:rPr>
            </w:pPr>
            <w:r>
              <w:rPr>
                <w:color w:val="000000"/>
                <w:sz w:val="20"/>
                <w:szCs w:val="20"/>
              </w:rPr>
              <w:t>1</w:t>
            </w:r>
          </w:p>
        </w:tc>
        <w:tc>
          <w:tcPr>
            <w:tcW w:w="516" w:type="pct"/>
            <w:tcBorders>
              <w:top w:val="nil"/>
              <w:left w:val="nil"/>
              <w:bottom w:val="nil"/>
              <w:right w:val="nil"/>
            </w:tcBorders>
            <w:shd w:val="clear" w:color="auto" w:fill="auto"/>
            <w:noWrap/>
            <w:vAlign w:val="center"/>
            <w:hideMark/>
          </w:tcPr>
          <w:p w14:paraId="778990EB" w14:textId="5A579006" w:rsidR="0057577C" w:rsidRPr="0097539F" w:rsidRDefault="0057577C" w:rsidP="0057577C">
            <w:pPr>
              <w:jc w:val="center"/>
              <w:rPr>
                <w:color w:val="000000"/>
                <w:sz w:val="20"/>
                <w:szCs w:val="20"/>
              </w:rPr>
            </w:pPr>
            <w:r>
              <w:rPr>
                <w:color w:val="000000"/>
                <w:sz w:val="20"/>
                <w:szCs w:val="20"/>
              </w:rPr>
              <w:t>0</w:t>
            </w:r>
          </w:p>
        </w:tc>
        <w:tc>
          <w:tcPr>
            <w:tcW w:w="514" w:type="pct"/>
            <w:tcBorders>
              <w:top w:val="nil"/>
              <w:left w:val="nil"/>
              <w:bottom w:val="nil"/>
              <w:right w:val="nil"/>
            </w:tcBorders>
            <w:shd w:val="clear" w:color="auto" w:fill="auto"/>
            <w:noWrap/>
            <w:vAlign w:val="center"/>
            <w:hideMark/>
          </w:tcPr>
          <w:p w14:paraId="73896DA5" w14:textId="007F2041" w:rsidR="0057577C" w:rsidRPr="0097539F" w:rsidRDefault="0057577C" w:rsidP="0057577C">
            <w:pPr>
              <w:jc w:val="center"/>
              <w:rPr>
                <w:color w:val="000000"/>
                <w:sz w:val="20"/>
                <w:szCs w:val="20"/>
              </w:rPr>
            </w:pPr>
            <w:r>
              <w:rPr>
                <w:color w:val="000000"/>
                <w:sz w:val="20"/>
                <w:szCs w:val="20"/>
              </w:rPr>
              <w:t>1</w:t>
            </w:r>
          </w:p>
        </w:tc>
      </w:tr>
      <w:tr w:rsidR="0057577C" w14:paraId="64C4C5D6" w14:textId="77777777" w:rsidTr="00CF1A36">
        <w:trPr>
          <w:trHeight w:val="281"/>
        </w:trPr>
        <w:tc>
          <w:tcPr>
            <w:tcW w:w="1530" w:type="pct"/>
            <w:tcBorders>
              <w:top w:val="nil"/>
              <w:left w:val="nil"/>
              <w:bottom w:val="nil"/>
              <w:right w:val="nil"/>
            </w:tcBorders>
            <w:shd w:val="clear" w:color="auto" w:fill="auto"/>
            <w:noWrap/>
            <w:vAlign w:val="center"/>
            <w:hideMark/>
          </w:tcPr>
          <w:p w14:paraId="106C4812" w14:textId="77777777" w:rsidR="0057577C" w:rsidRPr="0097539F" w:rsidRDefault="0057577C" w:rsidP="0057577C">
            <w:pPr>
              <w:rPr>
                <w:color w:val="000000"/>
                <w:sz w:val="20"/>
                <w:szCs w:val="20"/>
              </w:rPr>
            </w:pPr>
            <w:r w:rsidRPr="0097539F">
              <w:rPr>
                <w:color w:val="000000"/>
                <w:sz w:val="20"/>
                <w:szCs w:val="20"/>
              </w:rPr>
              <w:t>Extraversion</w:t>
            </w:r>
          </w:p>
        </w:tc>
        <w:tc>
          <w:tcPr>
            <w:tcW w:w="669" w:type="pct"/>
            <w:tcBorders>
              <w:top w:val="nil"/>
              <w:left w:val="nil"/>
              <w:bottom w:val="nil"/>
              <w:right w:val="nil"/>
            </w:tcBorders>
            <w:shd w:val="clear" w:color="auto" w:fill="auto"/>
            <w:noWrap/>
            <w:vAlign w:val="center"/>
            <w:hideMark/>
          </w:tcPr>
          <w:p w14:paraId="25159D27" w14:textId="1711B4D8" w:rsidR="0057577C" w:rsidRPr="0097539F" w:rsidRDefault="0057577C" w:rsidP="0057577C">
            <w:pPr>
              <w:jc w:val="center"/>
              <w:rPr>
                <w:color w:val="000000"/>
                <w:sz w:val="20"/>
                <w:szCs w:val="20"/>
              </w:rPr>
            </w:pPr>
            <w:r>
              <w:rPr>
                <w:color w:val="000000"/>
                <w:sz w:val="20"/>
                <w:szCs w:val="20"/>
              </w:rPr>
              <w:t>0</w:t>
            </w:r>
          </w:p>
        </w:tc>
        <w:tc>
          <w:tcPr>
            <w:tcW w:w="608" w:type="pct"/>
            <w:tcBorders>
              <w:top w:val="nil"/>
              <w:left w:val="nil"/>
              <w:bottom w:val="nil"/>
              <w:right w:val="nil"/>
            </w:tcBorders>
            <w:shd w:val="clear" w:color="auto" w:fill="auto"/>
            <w:noWrap/>
            <w:vAlign w:val="center"/>
            <w:hideMark/>
          </w:tcPr>
          <w:p w14:paraId="493AA700" w14:textId="275365E8" w:rsidR="0057577C" w:rsidRPr="0097539F" w:rsidRDefault="0057577C" w:rsidP="0057577C">
            <w:pPr>
              <w:jc w:val="center"/>
              <w:rPr>
                <w:color w:val="000000"/>
                <w:sz w:val="20"/>
                <w:szCs w:val="20"/>
              </w:rPr>
            </w:pPr>
            <w:r>
              <w:rPr>
                <w:color w:val="000000"/>
                <w:sz w:val="20"/>
                <w:szCs w:val="20"/>
              </w:rPr>
              <w:t>1</w:t>
            </w:r>
          </w:p>
        </w:tc>
        <w:tc>
          <w:tcPr>
            <w:tcW w:w="636" w:type="pct"/>
            <w:tcBorders>
              <w:top w:val="nil"/>
              <w:left w:val="nil"/>
              <w:bottom w:val="nil"/>
              <w:right w:val="nil"/>
            </w:tcBorders>
            <w:shd w:val="clear" w:color="auto" w:fill="auto"/>
            <w:noWrap/>
            <w:vAlign w:val="center"/>
            <w:hideMark/>
          </w:tcPr>
          <w:p w14:paraId="6A258FED" w14:textId="7534B38E" w:rsidR="0057577C" w:rsidRPr="0097539F" w:rsidRDefault="0057577C" w:rsidP="0057577C">
            <w:pPr>
              <w:jc w:val="center"/>
              <w:rPr>
                <w:color w:val="000000"/>
                <w:sz w:val="20"/>
                <w:szCs w:val="20"/>
              </w:rPr>
            </w:pPr>
            <w:r>
              <w:rPr>
                <w:color w:val="000000"/>
                <w:sz w:val="20"/>
                <w:szCs w:val="20"/>
              </w:rPr>
              <w:t>0</w:t>
            </w:r>
          </w:p>
        </w:tc>
        <w:tc>
          <w:tcPr>
            <w:tcW w:w="527" w:type="pct"/>
            <w:tcBorders>
              <w:top w:val="nil"/>
              <w:left w:val="nil"/>
              <w:bottom w:val="nil"/>
              <w:right w:val="nil"/>
            </w:tcBorders>
            <w:shd w:val="clear" w:color="auto" w:fill="auto"/>
            <w:noWrap/>
            <w:vAlign w:val="center"/>
            <w:hideMark/>
          </w:tcPr>
          <w:p w14:paraId="3E0F6AA3" w14:textId="08882EF2" w:rsidR="0057577C" w:rsidRPr="0097539F" w:rsidRDefault="0057577C" w:rsidP="0057577C">
            <w:pPr>
              <w:jc w:val="center"/>
              <w:rPr>
                <w:color w:val="000000"/>
                <w:sz w:val="20"/>
                <w:szCs w:val="20"/>
              </w:rPr>
            </w:pPr>
            <w:r>
              <w:rPr>
                <w:color w:val="000000"/>
                <w:sz w:val="20"/>
                <w:szCs w:val="20"/>
              </w:rPr>
              <w:t>1</w:t>
            </w:r>
          </w:p>
        </w:tc>
        <w:tc>
          <w:tcPr>
            <w:tcW w:w="516" w:type="pct"/>
            <w:tcBorders>
              <w:top w:val="nil"/>
              <w:left w:val="nil"/>
              <w:bottom w:val="nil"/>
              <w:right w:val="nil"/>
            </w:tcBorders>
            <w:shd w:val="clear" w:color="auto" w:fill="auto"/>
            <w:noWrap/>
            <w:vAlign w:val="center"/>
            <w:hideMark/>
          </w:tcPr>
          <w:p w14:paraId="707ACC7F" w14:textId="67A0D7AE" w:rsidR="0057577C" w:rsidRPr="0097539F" w:rsidRDefault="0057577C" w:rsidP="0057577C">
            <w:pPr>
              <w:jc w:val="center"/>
              <w:rPr>
                <w:color w:val="000000"/>
                <w:sz w:val="20"/>
                <w:szCs w:val="20"/>
              </w:rPr>
            </w:pPr>
            <w:r>
              <w:rPr>
                <w:color w:val="000000"/>
                <w:sz w:val="20"/>
                <w:szCs w:val="20"/>
              </w:rPr>
              <w:t>0</w:t>
            </w:r>
          </w:p>
        </w:tc>
        <w:tc>
          <w:tcPr>
            <w:tcW w:w="514" w:type="pct"/>
            <w:tcBorders>
              <w:top w:val="nil"/>
              <w:left w:val="nil"/>
              <w:bottom w:val="nil"/>
              <w:right w:val="nil"/>
            </w:tcBorders>
            <w:shd w:val="clear" w:color="auto" w:fill="auto"/>
            <w:noWrap/>
            <w:vAlign w:val="center"/>
            <w:hideMark/>
          </w:tcPr>
          <w:p w14:paraId="320429CF" w14:textId="45BC2CFA" w:rsidR="0057577C" w:rsidRPr="0097539F" w:rsidRDefault="0057577C" w:rsidP="0057577C">
            <w:pPr>
              <w:jc w:val="center"/>
              <w:rPr>
                <w:color w:val="000000"/>
                <w:sz w:val="20"/>
                <w:szCs w:val="20"/>
              </w:rPr>
            </w:pPr>
            <w:r>
              <w:rPr>
                <w:color w:val="000000"/>
                <w:sz w:val="20"/>
                <w:szCs w:val="20"/>
              </w:rPr>
              <w:t>1</w:t>
            </w:r>
          </w:p>
        </w:tc>
      </w:tr>
      <w:tr w:rsidR="0057577C" w14:paraId="41C84CC5" w14:textId="77777777" w:rsidTr="00CF1A36">
        <w:trPr>
          <w:trHeight w:val="281"/>
        </w:trPr>
        <w:tc>
          <w:tcPr>
            <w:tcW w:w="1530" w:type="pct"/>
            <w:tcBorders>
              <w:top w:val="nil"/>
              <w:left w:val="nil"/>
              <w:bottom w:val="nil"/>
              <w:right w:val="nil"/>
            </w:tcBorders>
            <w:shd w:val="clear" w:color="auto" w:fill="auto"/>
            <w:noWrap/>
            <w:vAlign w:val="center"/>
            <w:hideMark/>
          </w:tcPr>
          <w:p w14:paraId="6BE68233" w14:textId="77777777" w:rsidR="0057577C" w:rsidRPr="0097539F" w:rsidRDefault="0057577C" w:rsidP="0057577C">
            <w:pPr>
              <w:rPr>
                <w:color w:val="000000"/>
                <w:sz w:val="20"/>
                <w:szCs w:val="20"/>
              </w:rPr>
            </w:pPr>
            <w:r w:rsidRPr="0097539F">
              <w:rPr>
                <w:color w:val="000000"/>
                <w:sz w:val="20"/>
                <w:szCs w:val="20"/>
              </w:rPr>
              <w:t>Agreeableness</w:t>
            </w:r>
          </w:p>
        </w:tc>
        <w:tc>
          <w:tcPr>
            <w:tcW w:w="669" w:type="pct"/>
            <w:tcBorders>
              <w:top w:val="nil"/>
              <w:left w:val="nil"/>
              <w:bottom w:val="nil"/>
              <w:right w:val="nil"/>
            </w:tcBorders>
            <w:shd w:val="clear" w:color="auto" w:fill="auto"/>
            <w:noWrap/>
            <w:vAlign w:val="center"/>
            <w:hideMark/>
          </w:tcPr>
          <w:p w14:paraId="051DC81B" w14:textId="54DE037C" w:rsidR="0057577C" w:rsidRPr="0097539F" w:rsidRDefault="0057577C" w:rsidP="0057577C">
            <w:pPr>
              <w:jc w:val="center"/>
              <w:rPr>
                <w:color w:val="000000"/>
                <w:sz w:val="20"/>
                <w:szCs w:val="20"/>
              </w:rPr>
            </w:pPr>
            <w:r>
              <w:rPr>
                <w:color w:val="000000"/>
                <w:sz w:val="20"/>
                <w:szCs w:val="20"/>
              </w:rPr>
              <w:t>0</w:t>
            </w:r>
          </w:p>
        </w:tc>
        <w:tc>
          <w:tcPr>
            <w:tcW w:w="608" w:type="pct"/>
            <w:tcBorders>
              <w:top w:val="nil"/>
              <w:left w:val="nil"/>
              <w:bottom w:val="nil"/>
              <w:right w:val="nil"/>
            </w:tcBorders>
            <w:shd w:val="clear" w:color="auto" w:fill="auto"/>
            <w:noWrap/>
            <w:vAlign w:val="center"/>
            <w:hideMark/>
          </w:tcPr>
          <w:p w14:paraId="629264BC" w14:textId="664194F9" w:rsidR="0057577C" w:rsidRPr="0097539F" w:rsidRDefault="0057577C" w:rsidP="0057577C">
            <w:pPr>
              <w:jc w:val="center"/>
              <w:rPr>
                <w:color w:val="000000"/>
                <w:sz w:val="20"/>
                <w:szCs w:val="20"/>
              </w:rPr>
            </w:pPr>
            <w:r>
              <w:rPr>
                <w:color w:val="000000"/>
                <w:sz w:val="20"/>
                <w:szCs w:val="20"/>
              </w:rPr>
              <w:t>1</w:t>
            </w:r>
          </w:p>
        </w:tc>
        <w:tc>
          <w:tcPr>
            <w:tcW w:w="636" w:type="pct"/>
            <w:tcBorders>
              <w:top w:val="nil"/>
              <w:left w:val="nil"/>
              <w:bottom w:val="nil"/>
              <w:right w:val="nil"/>
            </w:tcBorders>
            <w:shd w:val="clear" w:color="auto" w:fill="auto"/>
            <w:noWrap/>
            <w:vAlign w:val="center"/>
            <w:hideMark/>
          </w:tcPr>
          <w:p w14:paraId="252F7197" w14:textId="4D91B397" w:rsidR="0057577C" w:rsidRPr="0097539F" w:rsidRDefault="0057577C" w:rsidP="0057577C">
            <w:pPr>
              <w:jc w:val="center"/>
              <w:rPr>
                <w:color w:val="000000"/>
                <w:sz w:val="20"/>
                <w:szCs w:val="20"/>
              </w:rPr>
            </w:pPr>
            <w:r>
              <w:rPr>
                <w:color w:val="000000"/>
                <w:sz w:val="20"/>
                <w:szCs w:val="20"/>
              </w:rPr>
              <w:t>0</w:t>
            </w:r>
          </w:p>
        </w:tc>
        <w:tc>
          <w:tcPr>
            <w:tcW w:w="527" w:type="pct"/>
            <w:tcBorders>
              <w:top w:val="nil"/>
              <w:left w:val="nil"/>
              <w:bottom w:val="nil"/>
              <w:right w:val="nil"/>
            </w:tcBorders>
            <w:shd w:val="clear" w:color="auto" w:fill="auto"/>
            <w:noWrap/>
            <w:vAlign w:val="center"/>
            <w:hideMark/>
          </w:tcPr>
          <w:p w14:paraId="282579E9" w14:textId="426847AE" w:rsidR="0057577C" w:rsidRPr="0097539F" w:rsidRDefault="0057577C" w:rsidP="0057577C">
            <w:pPr>
              <w:jc w:val="center"/>
              <w:rPr>
                <w:color w:val="000000"/>
                <w:sz w:val="20"/>
                <w:szCs w:val="20"/>
              </w:rPr>
            </w:pPr>
            <w:r>
              <w:rPr>
                <w:color w:val="000000"/>
                <w:sz w:val="20"/>
                <w:szCs w:val="20"/>
              </w:rPr>
              <w:t>1</w:t>
            </w:r>
          </w:p>
        </w:tc>
        <w:tc>
          <w:tcPr>
            <w:tcW w:w="516" w:type="pct"/>
            <w:tcBorders>
              <w:top w:val="nil"/>
              <w:left w:val="nil"/>
              <w:bottom w:val="nil"/>
              <w:right w:val="nil"/>
            </w:tcBorders>
            <w:shd w:val="clear" w:color="auto" w:fill="auto"/>
            <w:noWrap/>
            <w:vAlign w:val="center"/>
            <w:hideMark/>
          </w:tcPr>
          <w:p w14:paraId="40C2A122" w14:textId="76EC3107" w:rsidR="0057577C" w:rsidRPr="0097539F" w:rsidRDefault="0057577C" w:rsidP="0057577C">
            <w:pPr>
              <w:jc w:val="center"/>
              <w:rPr>
                <w:color w:val="000000"/>
                <w:sz w:val="20"/>
                <w:szCs w:val="20"/>
              </w:rPr>
            </w:pPr>
            <w:r>
              <w:rPr>
                <w:color w:val="000000"/>
                <w:sz w:val="20"/>
                <w:szCs w:val="20"/>
              </w:rPr>
              <w:t>0</w:t>
            </w:r>
          </w:p>
        </w:tc>
        <w:tc>
          <w:tcPr>
            <w:tcW w:w="514" w:type="pct"/>
            <w:tcBorders>
              <w:top w:val="nil"/>
              <w:left w:val="nil"/>
              <w:bottom w:val="nil"/>
              <w:right w:val="nil"/>
            </w:tcBorders>
            <w:shd w:val="clear" w:color="auto" w:fill="auto"/>
            <w:noWrap/>
            <w:vAlign w:val="center"/>
            <w:hideMark/>
          </w:tcPr>
          <w:p w14:paraId="05AC65C1" w14:textId="51C29C1E" w:rsidR="0057577C" w:rsidRPr="0097539F" w:rsidRDefault="0057577C" w:rsidP="0057577C">
            <w:pPr>
              <w:jc w:val="center"/>
              <w:rPr>
                <w:color w:val="000000"/>
                <w:sz w:val="20"/>
                <w:szCs w:val="20"/>
              </w:rPr>
            </w:pPr>
            <w:r>
              <w:rPr>
                <w:color w:val="000000"/>
                <w:sz w:val="20"/>
                <w:szCs w:val="20"/>
              </w:rPr>
              <w:t>1</w:t>
            </w:r>
          </w:p>
        </w:tc>
      </w:tr>
      <w:tr w:rsidR="0057577C" w14:paraId="4DEF3B59" w14:textId="77777777" w:rsidTr="00CF1A36">
        <w:trPr>
          <w:trHeight w:val="281"/>
        </w:trPr>
        <w:tc>
          <w:tcPr>
            <w:tcW w:w="1530" w:type="pct"/>
            <w:tcBorders>
              <w:top w:val="nil"/>
              <w:left w:val="nil"/>
              <w:bottom w:val="nil"/>
              <w:right w:val="nil"/>
            </w:tcBorders>
            <w:shd w:val="clear" w:color="auto" w:fill="auto"/>
            <w:noWrap/>
            <w:vAlign w:val="center"/>
            <w:hideMark/>
          </w:tcPr>
          <w:p w14:paraId="3C35E920" w14:textId="77777777" w:rsidR="0057577C" w:rsidRPr="0097539F" w:rsidRDefault="0057577C" w:rsidP="0057577C">
            <w:pPr>
              <w:rPr>
                <w:color w:val="000000"/>
                <w:sz w:val="20"/>
                <w:szCs w:val="20"/>
              </w:rPr>
            </w:pPr>
            <w:r w:rsidRPr="0097539F">
              <w:rPr>
                <w:color w:val="000000"/>
                <w:sz w:val="20"/>
                <w:szCs w:val="20"/>
              </w:rPr>
              <w:t>Openness</w:t>
            </w:r>
          </w:p>
        </w:tc>
        <w:tc>
          <w:tcPr>
            <w:tcW w:w="669" w:type="pct"/>
            <w:tcBorders>
              <w:top w:val="nil"/>
              <w:left w:val="nil"/>
              <w:bottom w:val="nil"/>
              <w:right w:val="nil"/>
            </w:tcBorders>
            <w:shd w:val="clear" w:color="auto" w:fill="auto"/>
            <w:noWrap/>
            <w:vAlign w:val="center"/>
            <w:hideMark/>
          </w:tcPr>
          <w:p w14:paraId="7B3D3601" w14:textId="1114AB57" w:rsidR="0057577C" w:rsidRPr="0097539F" w:rsidRDefault="0057577C" w:rsidP="0057577C">
            <w:pPr>
              <w:jc w:val="center"/>
              <w:rPr>
                <w:color w:val="000000"/>
                <w:sz w:val="20"/>
                <w:szCs w:val="20"/>
              </w:rPr>
            </w:pPr>
            <w:r>
              <w:rPr>
                <w:color w:val="000000"/>
                <w:sz w:val="20"/>
                <w:szCs w:val="20"/>
              </w:rPr>
              <w:t>0</w:t>
            </w:r>
          </w:p>
        </w:tc>
        <w:tc>
          <w:tcPr>
            <w:tcW w:w="608" w:type="pct"/>
            <w:tcBorders>
              <w:top w:val="nil"/>
              <w:left w:val="nil"/>
              <w:bottom w:val="nil"/>
              <w:right w:val="nil"/>
            </w:tcBorders>
            <w:shd w:val="clear" w:color="auto" w:fill="auto"/>
            <w:noWrap/>
            <w:vAlign w:val="center"/>
            <w:hideMark/>
          </w:tcPr>
          <w:p w14:paraId="764DCC35" w14:textId="0891850B" w:rsidR="0057577C" w:rsidRPr="0097539F" w:rsidRDefault="0057577C" w:rsidP="0057577C">
            <w:pPr>
              <w:jc w:val="center"/>
              <w:rPr>
                <w:color w:val="000000"/>
                <w:sz w:val="20"/>
                <w:szCs w:val="20"/>
              </w:rPr>
            </w:pPr>
            <w:r>
              <w:rPr>
                <w:color w:val="000000"/>
                <w:sz w:val="20"/>
                <w:szCs w:val="20"/>
              </w:rPr>
              <w:t>1</w:t>
            </w:r>
          </w:p>
        </w:tc>
        <w:tc>
          <w:tcPr>
            <w:tcW w:w="636" w:type="pct"/>
            <w:tcBorders>
              <w:top w:val="nil"/>
              <w:left w:val="nil"/>
              <w:bottom w:val="nil"/>
              <w:right w:val="nil"/>
            </w:tcBorders>
            <w:shd w:val="clear" w:color="auto" w:fill="auto"/>
            <w:noWrap/>
            <w:vAlign w:val="center"/>
            <w:hideMark/>
          </w:tcPr>
          <w:p w14:paraId="219FF33C" w14:textId="56B772E5" w:rsidR="0057577C" w:rsidRPr="0097539F" w:rsidRDefault="0057577C" w:rsidP="0057577C">
            <w:pPr>
              <w:jc w:val="center"/>
              <w:rPr>
                <w:color w:val="000000"/>
                <w:sz w:val="20"/>
                <w:szCs w:val="20"/>
              </w:rPr>
            </w:pPr>
            <w:r>
              <w:rPr>
                <w:color w:val="000000"/>
                <w:sz w:val="20"/>
                <w:szCs w:val="20"/>
              </w:rPr>
              <w:t>0</w:t>
            </w:r>
          </w:p>
        </w:tc>
        <w:tc>
          <w:tcPr>
            <w:tcW w:w="527" w:type="pct"/>
            <w:tcBorders>
              <w:top w:val="nil"/>
              <w:left w:val="nil"/>
              <w:bottom w:val="nil"/>
              <w:right w:val="nil"/>
            </w:tcBorders>
            <w:shd w:val="clear" w:color="auto" w:fill="auto"/>
            <w:noWrap/>
            <w:vAlign w:val="center"/>
            <w:hideMark/>
          </w:tcPr>
          <w:p w14:paraId="10430085" w14:textId="12AD7893" w:rsidR="0057577C" w:rsidRPr="0097539F" w:rsidRDefault="0057577C" w:rsidP="0057577C">
            <w:pPr>
              <w:jc w:val="center"/>
              <w:rPr>
                <w:color w:val="000000"/>
                <w:sz w:val="20"/>
                <w:szCs w:val="20"/>
              </w:rPr>
            </w:pPr>
            <w:r>
              <w:rPr>
                <w:color w:val="000000"/>
                <w:sz w:val="20"/>
                <w:szCs w:val="20"/>
              </w:rPr>
              <w:t>1</w:t>
            </w:r>
          </w:p>
        </w:tc>
        <w:tc>
          <w:tcPr>
            <w:tcW w:w="516" w:type="pct"/>
            <w:tcBorders>
              <w:top w:val="nil"/>
              <w:left w:val="nil"/>
              <w:bottom w:val="nil"/>
              <w:right w:val="nil"/>
            </w:tcBorders>
            <w:shd w:val="clear" w:color="auto" w:fill="auto"/>
            <w:noWrap/>
            <w:vAlign w:val="center"/>
            <w:hideMark/>
          </w:tcPr>
          <w:p w14:paraId="757798DF" w14:textId="48F9DBC0" w:rsidR="0057577C" w:rsidRPr="0097539F" w:rsidRDefault="0057577C" w:rsidP="0057577C">
            <w:pPr>
              <w:jc w:val="center"/>
              <w:rPr>
                <w:color w:val="000000"/>
                <w:sz w:val="20"/>
                <w:szCs w:val="20"/>
              </w:rPr>
            </w:pPr>
            <w:r>
              <w:rPr>
                <w:color w:val="000000"/>
                <w:sz w:val="20"/>
                <w:szCs w:val="20"/>
              </w:rPr>
              <w:t>0</w:t>
            </w:r>
          </w:p>
        </w:tc>
        <w:tc>
          <w:tcPr>
            <w:tcW w:w="514" w:type="pct"/>
            <w:tcBorders>
              <w:top w:val="nil"/>
              <w:left w:val="nil"/>
              <w:bottom w:val="nil"/>
              <w:right w:val="nil"/>
            </w:tcBorders>
            <w:shd w:val="clear" w:color="auto" w:fill="auto"/>
            <w:noWrap/>
            <w:vAlign w:val="center"/>
            <w:hideMark/>
          </w:tcPr>
          <w:p w14:paraId="0830A9D0" w14:textId="5025381A" w:rsidR="0057577C" w:rsidRPr="0097539F" w:rsidRDefault="0057577C" w:rsidP="0057577C">
            <w:pPr>
              <w:jc w:val="center"/>
              <w:rPr>
                <w:color w:val="000000"/>
                <w:sz w:val="20"/>
                <w:szCs w:val="20"/>
              </w:rPr>
            </w:pPr>
            <w:r>
              <w:rPr>
                <w:color w:val="000000"/>
                <w:sz w:val="20"/>
                <w:szCs w:val="20"/>
              </w:rPr>
              <w:t>1</w:t>
            </w:r>
          </w:p>
        </w:tc>
      </w:tr>
      <w:tr w:rsidR="00554798" w14:paraId="5CFB8AF6" w14:textId="77777777" w:rsidTr="00CF1A36">
        <w:trPr>
          <w:trHeight w:val="281"/>
        </w:trPr>
        <w:tc>
          <w:tcPr>
            <w:tcW w:w="1530" w:type="pct"/>
            <w:tcBorders>
              <w:top w:val="single" w:sz="4" w:space="0" w:color="auto"/>
              <w:left w:val="nil"/>
              <w:bottom w:val="single" w:sz="4" w:space="0" w:color="auto"/>
              <w:right w:val="nil"/>
            </w:tcBorders>
            <w:shd w:val="clear" w:color="auto" w:fill="auto"/>
            <w:noWrap/>
            <w:vAlign w:val="bottom"/>
            <w:hideMark/>
          </w:tcPr>
          <w:p w14:paraId="6DC4944E" w14:textId="77777777" w:rsidR="00554798" w:rsidRPr="0097539F" w:rsidRDefault="00554798" w:rsidP="00CF1A36">
            <w:pPr>
              <w:rPr>
                <w:i/>
                <w:iCs/>
                <w:color w:val="000000"/>
                <w:sz w:val="20"/>
                <w:szCs w:val="20"/>
              </w:rPr>
            </w:pPr>
            <w:r w:rsidRPr="0097539F">
              <w:rPr>
                <w:i/>
                <w:iCs/>
                <w:color w:val="000000"/>
                <w:sz w:val="20"/>
                <w:szCs w:val="20"/>
              </w:rPr>
              <w:t>N</w:t>
            </w:r>
          </w:p>
        </w:tc>
        <w:tc>
          <w:tcPr>
            <w:tcW w:w="669" w:type="pct"/>
            <w:tcBorders>
              <w:top w:val="single" w:sz="4" w:space="0" w:color="auto"/>
              <w:left w:val="nil"/>
              <w:bottom w:val="single" w:sz="4" w:space="0" w:color="auto"/>
              <w:right w:val="nil"/>
            </w:tcBorders>
            <w:shd w:val="clear" w:color="auto" w:fill="auto"/>
            <w:noWrap/>
            <w:vAlign w:val="bottom"/>
            <w:hideMark/>
          </w:tcPr>
          <w:p w14:paraId="297A5F69" w14:textId="77777777" w:rsidR="00554798" w:rsidRPr="0097539F" w:rsidRDefault="00554798" w:rsidP="00CF1A36">
            <w:pPr>
              <w:jc w:val="center"/>
              <w:rPr>
                <w:color w:val="000000"/>
                <w:sz w:val="20"/>
                <w:szCs w:val="20"/>
              </w:rPr>
            </w:pPr>
            <w:r w:rsidRPr="0097539F">
              <w:rPr>
                <w:color w:val="000000"/>
                <w:sz w:val="20"/>
                <w:szCs w:val="20"/>
              </w:rPr>
              <w:t>172.546</w:t>
            </w:r>
          </w:p>
        </w:tc>
        <w:tc>
          <w:tcPr>
            <w:tcW w:w="608" w:type="pct"/>
            <w:tcBorders>
              <w:top w:val="single" w:sz="4" w:space="0" w:color="auto"/>
              <w:left w:val="nil"/>
              <w:bottom w:val="single" w:sz="4" w:space="0" w:color="auto"/>
              <w:right w:val="nil"/>
            </w:tcBorders>
            <w:shd w:val="clear" w:color="auto" w:fill="auto"/>
            <w:noWrap/>
            <w:vAlign w:val="bottom"/>
            <w:hideMark/>
          </w:tcPr>
          <w:p w14:paraId="56AB0859" w14:textId="77777777" w:rsidR="00554798" w:rsidRPr="0097539F" w:rsidRDefault="00554798" w:rsidP="00CF1A36">
            <w:pPr>
              <w:jc w:val="center"/>
              <w:rPr>
                <w:color w:val="000000"/>
                <w:sz w:val="20"/>
                <w:szCs w:val="20"/>
              </w:rPr>
            </w:pPr>
          </w:p>
        </w:tc>
        <w:tc>
          <w:tcPr>
            <w:tcW w:w="636" w:type="pct"/>
            <w:tcBorders>
              <w:top w:val="single" w:sz="4" w:space="0" w:color="auto"/>
              <w:left w:val="nil"/>
              <w:bottom w:val="single" w:sz="4" w:space="0" w:color="auto"/>
              <w:right w:val="nil"/>
            </w:tcBorders>
            <w:shd w:val="clear" w:color="auto" w:fill="auto"/>
            <w:noWrap/>
            <w:vAlign w:val="bottom"/>
            <w:hideMark/>
          </w:tcPr>
          <w:p w14:paraId="7A6C29ED" w14:textId="77777777" w:rsidR="00554798" w:rsidRPr="0097539F" w:rsidRDefault="00554798" w:rsidP="00CF1A36">
            <w:pPr>
              <w:jc w:val="center"/>
              <w:rPr>
                <w:color w:val="000000"/>
                <w:sz w:val="20"/>
                <w:szCs w:val="20"/>
              </w:rPr>
            </w:pPr>
            <w:r w:rsidRPr="0097539F">
              <w:rPr>
                <w:color w:val="000000"/>
                <w:sz w:val="20"/>
                <w:szCs w:val="20"/>
              </w:rPr>
              <w:t>43.586</w:t>
            </w:r>
          </w:p>
        </w:tc>
        <w:tc>
          <w:tcPr>
            <w:tcW w:w="527" w:type="pct"/>
            <w:tcBorders>
              <w:top w:val="single" w:sz="4" w:space="0" w:color="auto"/>
              <w:left w:val="nil"/>
              <w:bottom w:val="single" w:sz="4" w:space="0" w:color="auto"/>
              <w:right w:val="nil"/>
            </w:tcBorders>
            <w:shd w:val="clear" w:color="auto" w:fill="auto"/>
            <w:noWrap/>
            <w:vAlign w:val="bottom"/>
            <w:hideMark/>
          </w:tcPr>
          <w:p w14:paraId="22916302" w14:textId="77777777" w:rsidR="00554798" w:rsidRPr="0097539F" w:rsidRDefault="00554798" w:rsidP="00CF1A36">
            <w:pPr>
              <w:jc w:val="center"/>
              <w:rPr>
                <w:color w:val="000000"/>
                <w:sz w:val="20"/>
                <w:szCs w:val="20"/>
              </w:rPr>
            </w:pPr>
          </w:p>
        </w:tc>
        <w:tc>
          <w:tcPr>
            <w:tcW w:w="516" w:type="pct"/>
            <w:tcBorders>
              <w:top w:val="single" w:sz="4" w:space="0" w:color="auto"/>
              <w:left w:val="nil"/>
              <w:bottom w:val="single" w:sz="4" w:space="0" w:color="auto"/>
              <w:right w:val="nil"/>
            </w:tcBorders>
            <w:shd w:val="clear" w:color="auto" w:fill="auto"/>
            <w:noWrap/>
            <w:vAlign w:val="bottom"/>
            <w:hideMark/>
          </w:tcPr>
          <w:p w14:paraId="3E900B95" w14:textId="77777777" w:rsidR="00554798" w:rsidRPr="0097539F" w:rsidRDefault="00554798" w:rsidP="00CF1A36">
            <w:pPr>
              <w:jc w:val="center"/>
              <w:rPr>
                <w:color w:val="000000"/>
                <w:sz w:val="20"/>
                <w:szCs w:val="20"/>
              </w:rPr>
            </w:pPr>
            <w:r w:rsidRPr="0097539F">
              <w:rPr>
                <w:color w:val="000000"/>
                <w:sz w:val="20"/>
                <w:szCs w:val="20"/>
              </w:rPr>
              <w:t>125.368</w:t>
            </w:r>
          </w:p>
        </w:tc>
        <w:tc>
          <w:tcPr>
            <w:tcW w:w="514" w:type="pct"/>
            <w:tcBorders>
              <w:top w:val="single" w:sz="4" w:space="0" w:color="auto"/>
              <w:left w:val="nil"/>
              <w:bottom w:val="single" w:sz="4" w:space="0" w:color="auto"/>
              <w:right w:val="nil"/>
            </w:tcBorders>
            <w:shd w:val="clear" w:color="auto" w:fill="auto"/>
            <w:noWrap/>
            <w:vAlign w:val="bottom"/>
            <w:hideMark/>
          </w:tcPr>
          <w:p w14:paraId="37193463" w14:textId="77777777" w:rsidR="00554798" w:rsidRPr="0097539F" w:rsidRDefault="00554798" w:rsidP="00CF1A36">
            <w:pPr>
              <w:jc w:val="center"/>
              <w:rPr>
                <w:color w:val="000000"/>
                <w:sz w:val="20"/>
                <w:szCs w:val="20"/>
              </w:rPr>
            </w:pPr>
          </w:p>
        </w:tc>
      </w:tr>
    </w:tbl>
    <w:p w14:paraId="390EE6C5" w14:textId="77777777" w:rsidR="00554798" w:rsidRDefault="00554798" w:rsidP="00554798">
      <w:pPr>
        <w:rPr>
          <w:sz w:val="20"/>
          <w:szCs w:val="20"/>
        </w:rPr>
      </w:pPr>
    </w:p>
    <w:p w14:paraId="0BB7E085" w14:textId="77777777" w:rsidR="00554798" w:rsidRDefault="00554798" w:rsidP="00554798">
      <w:pPr>
        <w:rPr>
          <w:b/>
        </w:rPr>
      </w:pPr>
      <w:r>
        <w:rPr>
          <w:sz w:val="20"/>
          <w:szCs w:val="20"/>
        </w:rPr>
        <w:t xml:space="preserve">Notes: Mean values and standard deviations are reported for key descriptive statistics and control variables used in the later regression analysis. Regular smoker is defined as smoking more than 10 cigarettes daily. </w:t>
      </w:r>
    </w:p>
    <w:p w14:paraId="0365EE31" w14:textId="77777777" w:rsidR="0044641A" w:rsidRDefault="0044641A" w:rsidP="0044641A">
      <w:pPr>
        <w:spacing w:line="360" w:lineRule="auto"/>
        <w:jc w:val="both"/>
      </w:pPr>
    </w:p>
    <w:p w14:paraId="3B2D6E5D" w14:textId="130B0924" w:rsidR="0044641A" w:rsidRPr="0044641A" w:rsidRDefault="0044641A" w:rsidP="00922ABE">
      <w:pPr>
        <w:pStyle w:val="Heading2"/>
      </w:pPr>
      <w:r>
        <w:t xml:space="preserve">Methodology </w:t>
      </w:r>
    </w:p>
    <w:p w14:paraId="0047A017" w14:textId="50EA8C23" w:rsidR="0044641A" w:rsidRDefault="0044641A" w:rsidP="00E97A16">
      <w:pPr>
        <w:spacing w:line="360" w:lineRule="auto"/>
        <w:ind w:firstLine="360"/>
        <w:jc w:val="both"/>
      </w:pPr>
      <w:r>
        <w:t xml:space="preserve">The </w:t>
      </w:r>
      <w:r w:rsidR="00CC55CC">
        <w:t xml:space="preserve">primary </w:t>
      </w:r>
      <w:r>
        <w:t xml:space="preserve">aim of this study is to evaluate the effect of the UK public smoking ban depending on </w:t>
      </w:r>
      <w:r w:rsidR="00CC55CC">
        <w:t xml:space="preserve">a </w:t>
      </w:r>
      <w:r>
        <w:t xml:space="preserve">smokers’ level of conscientiousness and </w:t>
      </w:r>
      <w:r w:rsidR="00CC55CC">
        <w:t xml:space="preserve">to </w:t>
      </w:r>
      <w:r>
        <w:t>consider whether there are differential effects across smoking cohorts. We begin by determining whether conscientiousness predicts a lower likelihood of smo</w:t>
      </w:r>
      <w:r w:rsidR="00E5615C">
        <w:t xml:space="preserve">king and cigarette consumption, with an eye to exploring whether this tendency varies across </w:t>
      </w:r>
      <w:r w:rsidR="00E66E23">
        <w:t>the</w:t>
      </w:r>
      <w:r w:rsidR="00E5615C">
        <w:t xml:space="preserve"> three generations. </w:t>
      </w:r>
      <w:r>
        <w:t xml:space="preserve">To achieve </w:t>
      </w:r>
      <w:r w:rsidR="002B3B80">
        <w:t>this,</w:t>
      </w:r>
      <w:r>
        <w:t xml:space="preserve"> we estimate the following specification: </w:t>
      </w:r>
    </w:p>
    <w:p w14:paraId="510EE98A" w14:textId="77777777" w:rsidR="00A110A9" w:rsidRDefault="00A110A9" w:rsidP="0044641A">
      <w:pPr>
        <w:spacing w:line="360" w:lineRule="auto"/>
        <w:jc w:val="both"/>
      </w:pPr>
    </w:p>
    <w:p w14:paraId="57646535" w14:textId="327B1591" w:rsidR="0044641A" w:rsidRPr="0044641A" w:rsidRDefault="007E7CFD" w:rsidP="0044641A">
      <w:pPr>
        <w:spacing w:line="360" w:lineRule="auto"/>
        <w:jc w:val="both"/>
      </w:pPr>
      <m:oMath>
        <m:sSub>
          <m:sSubPr>
            <m:ctrlPr>
              <w:rPr>
                <w:rFonts w:ascii="Cambria Math" w:hAnsi="Cambria Math"/>
                <w:i/>
              </w:rPr>
            </m:ctrlPr>
          </m:sSubPr>
          <m:e>
            <m:r>
              <w:rPr>
                <w:rFonts w:ascii="Cambria Math" w:hAnsi="Cambria Math"/>
              </w:rPr>
              <m:t>y</m:t>
            </m:r>
          </m:e>
          <m:sub>
            <m:r>
              <w:rPr>
                <w:rFonts w:ascii="Cambria Math" w:hAnsi="Cambria Math"/>
              </w:rPr>
              <m:t>irt</m:t>
            </m:r>
          </m:sub>
        </m:sSub>
        <m:r>
          <w:rPr>
            <w:rFonts w:ascii="Cambria Math" w:hAnsi="Cambria Math"/>
          </w:rPr>
          <m:t>=α+</m:t>
        </m:r>
        <m:sSub>
          <m:sSubPr>
            <m:ctrlPr>
              <w:rPr>
                <w:rFonts w:ascii="Cambria Math" w:hAnsi="Cambria Math"/>
                <w:i/>
              </w:rPr>
            </m:ctrlPr>
          </m:sSubPr>
          <m:e>
            <m:r>
              <w:rPr>
                <w:rFonts w:ascii="Cambria Math" w:hAnsi="Cambria Math"/>
                <w:noProof/>
              </w:rPr>
              <m:t>δ’*</m:t>
            </m:r>
            <m:r>
              <w:rPr>
                <w:rFonts w:ascii="Cambria Math" w:hAnsi="Cambria Math"/>
              </w:rPr>
              <m:t>C</m:t>
            </m:r>
          </m:e>
          <m:sub>
            <m:r>
              <w:rPr>
                <w:rFonts w:ascii="Cambria Math" w:hAnsi="Cambria Math"/>
              </w:rPr>
              <m:t>irt</m:t>
            </m:r>
          </m:sub>
        </m:sSub>
        <m:r>
          <w:rPr>
            <w:rFonts w:ascii="Cambria Math" w:hAnsi="Cambria Math"/>
          </w:rPr>
          <m:t>+</m:t>
        </m:r>
        <m:r>
          <w:rPr>
            <w:rFonts w:ascii="Cambria Math" w:hAnsi="Cambria Math"/>
            <w:color w:val="000000"/>
          </w:rPr>
          <m:t>β’*</m:t>
        </m:r>
        <m:sSub>
          <m:sSubPr>
            <m:ctrlPr>
              <w:rPr>
                <w:rFonts w:ascii="Cambria Math" w:hAnsi="Cambria Math"/>
                <w:i/>
              </w:rPr>
            </m:ctrlPr>
          </m:sSubPr>
          <m:e>
            <m:r>
              <w:rPr>
                <w:rFonts w:ascii="Cambria Math" w:hAnsi="Cambria Math"/>
              </w:rPr>
              <m:t>X</m:t>
            </m:r>
          </m:e>
          <m:sub>
            <m:r>
              <w:rPr>
                <w:rFonts w:ascii="Cambria Math" w:hAnsi="Cambria Math"/>
              </w:rPr>
              <m:t>irt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ϑ</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irt</m:t>
            </m:r>
          </m:sub>
        </m:sSub>
      </m:oMath>
      <w:r w:rsidR="0044641A">
        <w:t xml:space="preserve">                  </w:t>
      </w:r>
      <w:r w:rsidR="00046F28">
        <w:tab/>
      </w:r>
      <w:r w:rsidR="00046F28">
        <w:tab/>
      </w:r>
      <w:r w:rsidR="00046F28">
        <w:tab/>
      </w:r>
      <w:r w:rsidR="00046F28">
        <w:tab/>
      </w:r>
      <w:r w:rsidR="0044641A">
        <w:t xml:space="preserve">(1) </w:t>
      </w:r>
    </w:p>
    <w:p w14:paraId="71DD84DF" w14:textId="77777777" w:rsidR="0044641A" w:rsidRDefault="0044641A" w:rsidP="0044641A">
      <w:pPr>
        <w:spacing w:line="360" w:lineRule="auto"/>
        <w:jc w:val="both"/>
      </w:pPr>
    </w:p>
    <w:p w14:paraId="78FB0853" w14:textId="1F1F8DA8" w:rsidR="0044641A" w:rsidRDefault="0044641A" w:rsidP="00E97A16">
      <w:pPr>
        <w:spacing w:line="360" w:lineRule="auto"/>
        <w:ind w:firstLine="720"/>
        <w:jc w:val="both"/>
      </w:pPr>
      <w:r>
        <w:t xml:space="preserve">In equation 1 </w:t>
      </w:r>
      <w:r w:rsidRPr="00784975">
        <w:rPr>
          <w:i/>
        </w:rPr>
        <w:t>i</w:t>
      </w:r>
      <w:r>
        <w:t xml:space="preserve"> denotes </w:t>
      </w:r>
      <w:r w:rsidR="00E66E23">
        <w:t xml:space="preserve">the </w:t>
      </w:r>
      <w:r>
        <w:t xml:space="preserve">individual, </w:t>
      </w:r>
      <w:r w:rsidRPr="00784975">
        <w:rPr>
          <w:i/>
        </w:rPr>
        <w:t>t</w:t>
      </w:r>
      <w:r>
        <w:t xml:space="preserve"> </w:t>
      </w:r>
      <w:r w:rsidR="00E66E23">
        <w:t xml:space="preserve">denotes </w:t>
      </w:r>
      <w:r>
        <w:t>time (month/year of interview</w:t>
      </w:r>
      <w:proofErr w:type="gramStart"/>
      <w:r>
        <w:t>)</w:t>
      </w:r>
      <w:proofErr w:type="gramEnd"/>
      <w:r>
        <w:t xml:space="preserve"> and </w:t>
      </w:r>
      <w:r w:rsidRPr="00784975">
        <w:rPr>
          <w:i/>
        </w:rPr>
        <w:t>r</w:t>
      </w:r>
      <w:r>
        <w:t xml:space="preserve"> </w:t>
      </w:r>
      <w:r w:rsidR="00E66E23">
        <w:t xml:space="preserve">denotes </w:t>
      </w:r>
      <w:r>
        <w:t xml:space="preserve">region (Scotland, England, Wales, Northern Ireland).  </w:t>
      </w:r>
      <w:r w:rsidR="0053594E">
        <w:rPr>
          <w:i/>
        </w:rPr>
        <w:t xml:space="preserve">y </w:t>
      </w:r>
      <w:r>
        <w:t xml:space="preserve">is either a dummy variable indicating that a person is a smoker, or a count of the number of cigarettes consumed </w:t>
      </w:r>
      <w:r w:rsidR="00E66E23">
        <w:t>weekly</w:t>
      </w:r>
      <w:r>
        <w:t xml:space="preserve">. </w:t>
      </w:r>
      <w:r>
        <w:rPr>
          <w:i/>
        </w:rPr>
        <w:t xml:space="preserve">C </w:t>
      </w:r>
      <w:r>
        <w:t xml:space="preserve">is </w:t>
      </w:r>
      <w:r w:rsidR="00E66E23">
        <w:t xml:space="preserve">then </w:t>
      </w:r>
      <w:r>
        <w:t xml:space="preserve">the standardised level of an individual’s conscientiousness. </w:t>
      </w:r>
      <m:oMath>
        <m:r>
          <w:rPr>
            <w:rFonts w:ascii="Cambria Math" w:hAnsi="Cambria Math"/>
          </w:rPr>
          <m:t xml:space="preserve"> </m:t>
        </m:r>
      </m:oMath>
      <w:r>
        <w:t xml:space="preserve"> </w:t>
      </w:r>
      <m:oMath>
        <m:sSub>
          <m:sSubPr>
            <m:ctrlPr>
              <w:rPr>
                <w:rFonts w:ascii="Cambria Math" w:hAnsi="Cambria Math"/>
                <w:i/>
              </w:rPr>
            </m:ctrlPr>
          </m:sSubPr>
          <m:e>
            <m:r>
              <w:rPr>
                <w:rFonts w:ascii="Cambria Math" w:hAnsi="Cambria Math"/>
              </w:rPr>
              <m:t>μ</m:t>
            </m:r>
          </m:e>
          <m:sub>
            <m:r>
              <w:rPr>
                <w:rFonts w:ascii="Cambria Math" w:hAnsi="Cambria Math"/>
              </w:rPr>
              <m:t>t</m:t>
            </m:r>
          </m:sub>
        </m:sSub>
        <m:r>
          <w:rPr>
            <w:rFonts w:ascii="Cambria Math" w:hAnsi="Cambria Math"/>
          </w:rPr>
          <m:t xml:space="preserve"> and </m:t>
        </m:r>
        <m:sSub>
          <m:sSubPr>
            <m:ctrlPr>
              <w:rPr>
                <w:rFonts w:ascii="Cambria Math" w:hAnsi="Cambria Math"/>
                <w:i/>
              </w:rPr>
            </m:ctrlPr>
          </m:sSubPr>
          <m:e>
            <m:r>
              <w:rPr>
                <w:rFonts w:ascii="Cambria Math" w:hAnsi="Cambria Math"/>
              </w:rPr>
              <m:t>ϑ</m:t>
            </m:r>
          </m:e>
          <m:sub>
            <m:r>
              <w:rPr>
                <w:rFonts w:ascii="Cambria Math" w:hAnsi="Cambria Math"/>
              </w:rPr>
              <m:t>r</m:t>
            </m:r>
          </m:sub>
        </m:sSub>
      </m:oMath>
      <w:r>
        <w:t xml:space="preserve"> are fixed effects for month/year and region respectively. </w:t>
      </w:r>
      <w:r w:rsidR="00E66E23">
        <w:t>Including</w:t>
      </w:r>
      <w:r>
        <w:t xml:space="preserve"> time fixed </w:t>
      </w:r>
      <w:r>
        <w:lastRenderedPageBreak/>
        <w:t>effects allow</w:t>
      </w:r>
      <w:r w:rsidR="00E66E23">
        <w:t>s</w:t>
      </w:r>
      <w:r>
        <w:t xml:space="preserve"> for time-varying effects that are the </w:t>
      </w:r>
      <w:r w:rsidR="00E66E23">
        <w:t xml:space="preserve">constant </w:t>
      </w:r>
      <w:r>
        <w:t xml:space="preserve">across individuals, such as cigarette tax increases, seasonality in smoking and dissemination of information about smoking health impacts. Time fixed effects also pick up the general downward trend in smoking prevalence that occurred all over the UK </w:t>
      </w:r>
      <w:r>
        <w:fldChar w:fldCharType="begin" w:fldLock="1"/>
      </w:r>
      <w:r>
        <w:instrText>ADDIN CSL_CITATION { "citationItems" : [ { "id" : "ITEM-1", "itemData" : { "DOI" : "10.3790/schm.131.2.419", "author" : [ { "dropping-particle" : "", "family" : "Bruederl", "given" : "Josef", "non-dropping-particle" : "", "parse-names" : false, "suffix" : "" }, { "dropping-particle" : "", "family" : "Ludwig", "given" : "Volker", "non-dropping-particle" : "", "parse-names" : false, "suffix" : "" } ], "container-title" : "Schmollers Jahrbuch", "id" : "ITEM-1", "issue" : "July", "issued" : { "date-parts" : [ [ "2011" ] ] }, "page" : "419-429", "title" : "Does a Smoking Ban Reduce Smoking ? Evidence from Germany", "type" : "article-journal" }, "uris" : [ "http://www.mendeley.com/documents/?uuid=e26df0da-186b-4216-beed-6d217ad44e7a" ] } ], "mendeley" : { "formattedCitation" : "(Bruederl &amp; Ludwig 2011)", "plainTextFormattedCitation" : "(Bruederl &amp; Ludwig 2011)", "previouslyFormattedCitation" : "(Bruederl &amp; Ludwig 2011)" }, "properties" : { "noteIndex" : 0 }, "schema" : "https://github.com/citation-style-language/schema/raw/master/csl-citation.json" }</w:instrText>
      </w:r>
      <w:r>
        <w:fldChar w:fldCharType="separate"/>
      </w:r>
      <w:r w:rsidRPr="0057713E">
        <w:rPr>
          <w:noProof/>
        </w:rPr>
        <w:t>(Bruederl &amp; Ludwig 2011)</w:t>
      </w:r>
      <w:r>
        <w:fldChar w:fldCharType="end"/>
      </w:r>
      <w:r>
        <w:t>.</w:t>
      </w:r>
      <w:r w:rsidRPr="0044641A">
        <w:t xml:space="preserve"> </w:t>
      </w:r>
      <w:r>
        <w:t xml:space="preserve">Region fixed effects </w:t>
      </w:r>
      <w:r w:rsidR="00E66E23">
        <w:t xml:space="preserve">allow </w:t>
      </w:r>
      <w:r>
        <w:t>for constant differences across regions, such as cultural attitudes towards smoking.</w:t>
      </w:r>
      <m:oMath>
        <m:r>
          <w:rPr>
            <w:rFonts w:ascii="Cambria Math" w:hAnsi="Cambria Math"/>
          </w:rPr>
          <m:t xml:space="preserve"> X</m:t>
        </m:r>
      </m:oMath>
      <w:r>
        <w:t xml:space="preserve">  is </w:t>
      </w:r>
      <w:r w:rsidR="00E66E23">
        <w:t xml:space="preserve">then </w:t>
      </w:r>
      <w:r>
        <w:t xml:space="preserve">a vector of control variables containing the other four </w:t>
      </w:r>
      <w:r w:rsidR="0050385D">
        <w:t xml:space="preserve">standardised </w:t>
      </w:r>
      <w:r>
        <w:t xml:space="preserve">personality traits. In </w:t>
      </w:r>
      <w:r w:rsidR="002B3B80">
        <w:t>addition,</w:t>
      </w:r>
      <w:r>
        <w:t xml:space="preserve"> </w:t>
      </w:r>
      <m:oMath>
        <m:r>
          <w:rPr>
            <w:rFonts w:ascii="Cambria Math" w:hAnsi="Cambria Math"/>
          </w:rPr>
          <m:t>X</m:t>
        </m:r>
      </m:oMath>
      <w:r>
        <w:t xml:space="preserve"> </w:t>
      </w:r>
      <w:r w:rsidR="002B3B80">
        <w:t>contains age</w:t>
      </w:r>
      <w:r>
        <w:t>, age squared, gender,</w:t>
      </w:r>
      <w:r w:rsidR="00A92AC5">
        <w:t xml:space="preserve"> a dummy denoting if a person has a degree</w:t>
      </w:r>
      <w:r>
        <w:t>, employment status</w:t>
      </w:r>
      <w:r>
        <w:rPr>
          <w:rStyle w:val="FootnoteReference"/>
        </w:rPr>
        <w:footnoteReference w:id="8"/>
      </w:r>
      <w:r>
        <w:t>, the number of children in the household, equivalised household income, marital status</w:t>
      </w:r>
      <w:r>
        <w:rPr>
          <w:rStyle w:val="FootnoteReference"/>
        </w:rPr>
        <w:footnoteReference w:id="9"/>
      </w:r>
      <w:r>
        <w:t xml:space="preserve"> and a dummy that is equal to one if a person is an immigrant and zero otherwise. A negative and significant </w:t>
      </w:r>
      <w:r w:rsidRPr="009C384F">
        <w:rPr>
          <w:bCs/>
          <w:i/>
          <w:noProof/>
        </w:rPr>
        <w:t>δ’</w:t>
      </w:r>
      <w:r>
        <w:rPr>
          <w:bCs/>
          <w:i/>
          <w:noProof/>
        </w:rPr>
        <w:t xml:space="preserve"> </w:t>
      </w:r>
      <w:r>
        <w:rPr>
          <w:bCs/>
          <w:noProof/>
        </w:rPr>
        <w:t xml:space="preserve">is evidence that conscientious people are less likely to smoke and/or consume fewer cigarettes. </w:t>
      </w:r>
      <w:r>
        <w:t xml:space="preserve">We run regressions for the full BHPS sample, </w:t>
      </w:r>
      <w:proofErr w:type="gramStart"/>
      <w:r>
        <w:t>and also</w:t>
      </w:r>
      <w:proofErr w:type="gramEnd"/>
      <w:r>
        <w:t xml:space="preserve"> separately for the hooked, middle and information generations. Standard errors are clustered at the individual level.</w:t>
      </w:r>
    </w:p>
    <w:p w14:paraId="4321FD5A" w14:textId="58CE2A2A" w:rsidR="00E66E23" w:rsidRDefault="00E66E23" w:rsidP="0044641A">
      <w:pPr>
        <w:spacing w:line="360" w:lineRule="auto"/>
        <w:jc w:val="both"/>
      </w:pPr>
    </w:p>
    <w:p w14:paraId="5DFC7A65" w14:textId="60908337" w:rsidR="0044641A" w:rsidRDefault="0044641A" w:rsidP="00E66E23">
      <w:pPr>
        <w:spacing w:line="360" w:lineRule="auto"/>
        <w:ind w:firstLine="720"/>
        <w:jc w:val="both"/>
      </w:pPr>
      <w:r>
        <w:t xml:space="preserve">To consider how the smoking ban affected individuals with varying levels of conscientiousness differently we rely on the following model:  </w:t>
      </w:r>
    </w:p>
    <w:p w14:paraId="2306AC6D" w14:textId="77777777" w:rsidR="0044641A" w:rsidRDefault="0044641A" w:rsidP="0044641A">
      <w:pPr>
        <w:spacing w:line="360" w:lineRule="auto"/>
        <w:jc w:val="both"/>
      </w:pPr>
    </w:p>
    <w:tbl>
      <w:tblPr>
        <w:tblStyle w:val="TableGrid"/>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7"/>
        <w:gridCol w:w="1252"/>
      </w:tblGrid>
      <w:tr w:rsidR="0044641A" w14:paraId="70D3F34D" w14:textId="77777777" w:rsidTr="003C20E0">
        <w:trPr>
          <w:trHeight w:val="1108"/>
        </w:trPr>
        <w:tc>
          <w:tcPr>
            <w:tcW w:w="7559" w:type="dxa"/>
          </w:tcPr>
          <w:p w14:paraId="746CF940" w14:textId="6AE135E3" w:rsidR="0044641A" w:rsidRDefault="007E7CFD" w:rsidP="003C20E0">
            <w:pPr>
              <w:spacing w:after="120" w:line="360" w:lineRule="auto"/>
              <w:rPr>
                <w:b/>
                <w:lang w:eastAsia="de-DE"/>
              </w:rPr>
            </w:pPr>
            <m:oMathPara>
              <m:oMath>
                <m:sSub>
                  <m:sSubPr>
                    <m:ctrlPr>
                      <w:rPr>
                        <w:rFonts w:ascii="Cambria Math" w:hAnsi="Cambria Math"/>
                        <w:i/>
                      </w:rPr>
                    </m:ctrlPr>
                  </m:sSubPr>
                  <m:e>
                    <m:r>
                      <w:rPr>
                        <w:rFonts w:ascii="Cambria Math" w:hAnsi="Cambria Math"/>
                      </w:rPr>
                      <m:t>y</m:t>
                    </m:r>
                  </m:e>
                  <m:sub>
                    <m:r>
                      <w:rPr>
                        <w:rFonts w:ascii="Cambria Math" w:hAnsi="Cambria Math"/>
                      </w:rPr>
                      <m:t>irt</m:t>
                    </m:r>
                  </m:sub>
                </m:sSub>
                <m:r>
                  <w:rPr>
                    <w:rFonts w:ascii="Cambria Math" w:hAnsi="Cambria Math"/>
                  </w:rPr>
                  <m:t>=α+</m:t>
                </m:r>
                <m:sSub>
                  <m:sSubPr>
                    <m:ctrlPr>
                      <w:rPr>
                        <w:rFonts w:ascii="Cambria Math" w:hAnsi="Cambria Math"/>
                        <w:i/>
                      </w:rPr>
                    </m:ctrlPr>
                  </m:sSubPr>
                  <m:e>
                    <m:r>
                      <w:rPr>
                        <w:rFonts w:ascii="Cambria Math" w:hAnsi="Cambria Math"/>
                        <w:color w:val="000000"/>
                      </w:rPr>
                      <m:t>γ’</m:t>
                    </m:r>
                    <m:sSub>
                      <m:sSubPr>
                        <m:ctrlPr>
                          <w:rPr>
                            <w:rFonts w:ascii="Cambria Math" w:hAnsi="Cambria Math"/>
                            <w:i/>
                          </w:rPr>
                        </m:ctrlPr>
                      </m:sSubPr>
                      <m:e>
                        <m:r>
                          <w:rPr>
                            <w:rFonts w:ascii="Cambria Math" w:hAnsi="Cambria Math"/>
                          </w:rPr>
                          <m:t>Ban</m:t>
                        </m:r>
                      </m:e>
                      <m:sub>
                        <m:r>
                          <w:rPr>
                            <w:rFonts w:ascii="Cambria Math" w:hAnsi="Cambria Math"/>
                          </w:rPr>
                          <m:t>rt</m:t>
                        </m:r>
                      </m:sub>
                    </m:sSub>
                    <m:r>
                      <w:rPr>
                        <w:rFonts w:ascii="Cambria Math" w:hAnsi="Cambria Math"/>
                      </w:rPr>
                      <m:t>*C</m:t>
                    </m:r>
                  </m:e>
                  <m:sub>
                    <m:r>
                      <w:rPr>
                        <w:rFonts w:ascii="Cambria Math" w:hAnsi="Cambria Math"/>
                      </w:rPr>
                      <m:t>irt</m:t>
                    </m:r>
                  </m:sub>
                </m:sSub>
                <m:r>
                  <w:rPr>
                    <w:rFonts w:ascii="Cambria Math" w:hAnsi="Cambria Math"/>
                  </w:rPr>
                  <m:t>+</m:t>
                </m:r>
                <m:r>
                  <w:rPr>
                    <w:rFonts w:ascii="Cambria Math" w:hAnsi="Cambria Math"/>
                    <w:color w:val="000000"/>
                  </w:rPr>
                  <m:t>β’*</m:t>
                </m:r>
                <m:sSub>
                  <m:sSubPr>
                    <m:ctrlPr>
                      <w:rPr>
                        <w:rFonts w:ascii="Cambria Math" w:hAnsi="Cambria Math"/>
                        <w:i/>
                      </w:rPr>
                    </m:ctrlPr>
                  </m:sSubPr>
                  <m:e>
                    <m:r>
                      <w:rPr>
                        <w:rFonts w:ascii="Cambria Math" w:hAnsi="Cambria Math"/>
                      </w:rPr>
                      <m:t>X</m:t>
                    </m:r>
                  </m:e>
                  <m:sub>
                    <m:r>
                      <w:rPr>
                        <w:rFonts w:ascii="Cambria Math" w:hAnsi="Cambria Math"/>
                      </w:rPr>
                      <m:t>irt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ϑ</m:t>
                    </m:r>
                  </m:e>
                  <m:sub>
                    <m:r>
                      <w:rPr>
                        <w:rFonts w:ascii="Cambria Math" w:hAnsi="Cambria Math"/>
                      </w:rPr>
                      <m:t>r</m:t>
                    </m:r>
                  </m:sub>
                </m:sSub>
                <m:r>
                  <w:rPr>
                    <w:rFonts w:ascii="Cambria Math" w:hAnsi="Cambria Math"/>
                    <w:color w:val="000000"/>
                    <w:vertAlign w:val="subscript"/>
                  </w:rPr>
                  <m:t>+</m:t>
                </m:r>
                <m:sSub>
                  <m:sSubPr>
                    <m:ctrlPr>
                      <w:rPr>
                        <w:rFonts w:ascii="Cambria Math" w:hAnsi="Cambria Math"/>
                        <w:i/>
                      </w:rPr>
                    </m:ctrlPr>
                  </m:sSubPr>
                  <m:e>
                    <m:r>
                      <w:rPr>
                        <w:rFonts w:ascii="Cambria Math" w:hAnsi="Cambria Math"/>
                        <w:noProof/>
                      </w:rPr>
                      <m:t>δ</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irt</m:t>
                    </m:r>
                  </m:sub>
                </m:sSub>
              </m:oMath>
            </m:oMathPara>
          </w:p>
        </w:tc>
        <w:tc>
          <w:tcPr>
            <w:tcW w:w="1218" w:type="dxa"/>
          </w:tcPr>
          <w:p w14:paraId="13A30A6F" w14:textId="6D0F71DA" w:rsidR="0044641A" w:rsidRDefault="0044641A" w:rsidP="003C20E0">
            <w:pPr>
              <w:spacing w:after="120" w:line="360" w:lineRule="auto"/>
              <w:ind w:firstLine="709"/>
              <w:jc w:val="right"/>
              <w:rPr>
                <w:rFonts w:eastAsiaTheme="majorEastAsia"/>
                <w:color w:val="243F60" w:themeColor="accent1" w:themeShade="7F"/>
                <w:lang w:eastAsia="de-DE"/>
              </w:rPr>
            </w:pPr>
            <w:r>
              <w:t>(2)</w:t>
            </w:r>
            <w:r>
              <w:fldChar w:fldCharType="begin"/>
            </w:r>
            <w:r>
              <w:instrText xml:space="preserve"> EQ </w:instrText>
            </w:r>
            <w:r>
              <w:fldChar w:fldCharType="end"/>
            </w:r>
          </w:p>
        </w:tc>
      </w:tr>
    </w:tbl>
    <w:p w14:paraId="3DA4C02B" w14:textId="77777777" w:rsidR="0044641A" w:rsidRPr="004861BD" w:rsidRDefault="0044641A" w:rsidP="0044641A">
      <w:pPr>
        <w:spacing w:line="360" w:lineRule="auto"/>
        <w:jc w:val="both"/>
      </w:pPr>
    </w:p>
    <w:p w14:paraId="5A992EA6" w14:textId="74EC8B3B" w:rsidR="0044641A" w:rsidRPr="00AE3BBB" w:rsidRDefault="0044641A" w:rsidP="00E66E23">
      <w:pPr>
        <w:spacing w:line="360" w:lineRule="auto"/>
        <w:ind w:firstLine="720"/>
        <w:jc w:val="both"/>
      </w:pPr>
      <w:r>
        <w:t xml:space="preserve">All definitions in equation (2) are consistent to equation (1) with a few additions. First, we only consider those </w:t>
      </w:r>
      <w:r w:rsidR="002B3B80">
        <w:t>that have</w:t>
      </w:r>
      <w:r>
        <w:t xml:space="preserve"> smoked at least once </w:t>
      </w:r>
      <w:r w:rsidR="00E5615C">
        <w:t xml:space="preserve">in the panel </w:t>
      </w:r>
      <w:r>
        <w:t xml:space="preserve">as we care most about the effect of the ban on smokers (and </w:t>
      </w:r>
      <w:r w:rsidR="00A110A9">
        <w:t>do not</w:t>
      </w:r>
      <w:r>
        <w:t xml:space="preserve"> observe initial decisions to smoke). Specifically, in equation (2) </w:t>
      </w:r>
      <m:oMath>
        <m:r>
          <w:rPr>
            <w:rFonts w:ascii="Cambria Math" w:hAnsi="Cambria Math"/>
          </w:rPr>
          <m:t xml:space="preserve">Ban </m:t>
        </m:r>
      </m:oMath>
      <w:r>
        <w:t xml:space="preserve">is a dummy variable that is equal to 1 if an individual was affected by the ban and zero otherwise. </w:t>
      </w:r>
      <w:r w:rsidR="00E66E23">
        <w:t>The ban</w:t>
      </w:r>
      <w:r w:rsidR="00E66E23" w:rsidRPr="00CF568F">
        <w:t xml:space="preserve"> on smoking in </w:t>
      </w:r>
      <w:r w:rsidR="00E66E23">
        <w:t xml:space="preserve">enclosed </w:t>
      </w:r>
      <w:r w:rsidR="00E66E23" w:rsidRPr="009E2FB4">
        <w:t>public places</w:t>
      </w:r>
      <w:r w:rsidR="00E66E23">
        <w:t>, including workplaces, pubs and restaurants</w:t>
      </w:r>
      <w:r w:rsidR="00E66E23" w:rsidRPr="00CF568F">
        <w:t xml:space="preserve"> was implemented</w:t>
      </w:r>
      <w:r w:rsidR="00E66E23">
        <w:t xml:space="preserve"> in the UK</w:t>
      </w:r>
      <w:r w:rsidR="00E66E23" w:rsidRPr="00CF568F">
        <w:t xml:space="preserve"> </w:t>
      </w:r>
      <w:r w:rsidR="00E66E23">
        <w:t xml:space="preserve">in 2006/2007 </w:t>
      </w:r>
      <w:r w:rsidR="00E66E23" w:rsidRPr="00CF568F">
        <w:t xml:space="preserve">as </w:t>
      </w:r>
      <w:r w:rsidR="00E66E23">
        <w:t xml:space="preserve">part of the country’s </w:t>
      </w:r>
      <w:r w:rsidR="00E66E23" w:rsidRPr="00CF568F">
        <w:t>smoke-free regulation</w:t>
      </w:r>
      <w:r w:rsidR="00E66E23">
        <w:t xml:space="preserve"> </w:t>
      </w:r>
      <w:r w:rsidR="00E66E23">
        <w:fldChar w:fldCharType="begin" w:fldLock="1"/>
      </w:r>
      <w:r w:rsidR="00E66E23">
        <w:instrText>ADDIN CSL_CITATION { "citationItems" : [ { "id" : "ITEM-1", "itemData" : { "abstract" : "For over forty years, government public health policies have increasingly focused on reducing the toll of death and disease from tobacco use. These initiatives have reduced smoking prevalence from 70% of men in 1962 (the year the Royal College of Physicians published their groundbreaking study that concluded smoking was a cause of lung cancer) to 24% in 2005. 1 But smoking still accounted for around a hundred thousand deaths a year, with passive smoking blamed for some eleven thousand of these deaths. 2 Moreover, smoking was increasingly shown to be a significant driver of health inequalities. Evidence on the health impacts of passive smoking (and declines in the proportion of the population who smoked) increased the focus on smoking in public places. In 1998, the Labour government published the first ever white paper dedicated to tobacco and continued the tradition of relying on a voluntary approach to control smoking in public places. By the early 2000s, it was clear that levels of compliance with the voluntary ban were low and there was increasing pressure inside government and outside to move to a statutory ban. But this would constitute a step change in government willingness to regulate private behaviours and risked considerable opposition in parliament and beyond. The Labour Party's 2005 manifesto proposed only a partial ban. Now the full ban on smoking in public places is widely accepted and general compliance is high. The case study looks at how this particular landmark in the decades-long effort to reduce smoking rates was achieved, despite deep ambivalence within government. Policy background Efforts to determine the health implications of smoking had begun before World War Two, but the breakthrough came when Richard Doll and Austin Bradford Hill conducted the first large-scale study into the link between smoking and lung cancer. 3 In September 1950, they published their preliminary findings in the British Medical Journal, based on a survey of lung cancer patients in 20 1 See Nicholas Wald and Ans Nicolaides-Bouman (eds.), UK Smoking Statistics (Oxford: Oxford University Press, 1991); and", "author" : [ { "dropping-particle" : "", "family" : "IfG", "given" : "", "non-dropping-particle" : "", "parse-names" : false, "suffix" : "" } ], "id" : "ITEM-1", "issued" : { "date-parts" : [ [ "2007" ] ] }, "page" : "99-110", "title" : "The Ban on Smoking in Public Places", "type" : "article-journal", "volume" : "79" }, "uris" : [ "http://www.mendeley.com/documents/?uuid=e7c56111-3f7b-4f54-bf93-bdb3c50e667b" ] } ], "mendeley" : { "formattedCitation" : "(IfG 2007)", "plainTextFormattedCitation" : "(IfG 2007)", "previouslyFormattedCitation" : "(IfG 2007)" }, "properties" : { "noteIndex" : 0 }, "schema" : "https://github.com/citation-style-language/schema/raw/master/csl-citation.json" }</w:instrText>
      </w:r>
      <w:r w:rsidR="00E66E23">
        <w:fldChar w:fldCharType="separate"/>
      </w:r>
      <w:r w:rsidR="00E66E23" w:rsidRPr="0011200A">
        <w:rPr>
          <w:noProof/>
        </w:rPr>
        <w:t>(IfG 2007)</w:t>
      </w:r>
      <w:r w:rsidR="00E66E23">
        <w:fldChar w:fldCharType="end"/>
      </w:r>
      <w:r w:rsidR="00E66E23" w:rsidRPr="00CF568F">
        <w:t xml:space="preserve">. </w:t>
      </w:r>
      <w:r w:rsidR="00E66E23">
        <w:t xml:space="preserve">The public smoking ban was implemented on 26 March 2006 in Scotland, on 1 July 2007 in England , on </w:t>
      </w:r>
      <w:r w:rsidR="00E66E23" w:rsidRPr="00FD65DA">
        <w:t>2</w:t>
      </w:r>
      <w:r w:rsidR="00E66E23">
        <w:t xml:space="preserve"> </w:t>
      </w:r>
      <w:r w:rsidR="00E66E23">
        <w:lastRenderedPageBreak/>
        <w:t xml:space="preserve">April </w:t>
      </w:r>
      <w:r w:rsidR="00E66E23" w:rsidRPr="00FD65DA">
        <w:t>2007</w:t>
      </w:r>
      <w:r w:rsidR="00E66E23">
        <w:t xml:space="preserve">  in Wales and on </w:t>
      </w:r>
      <w:r w:rsidR="00E66E23" w:rsidRPr="00FD65DA">
        <w:t>30</w:t>
      </w:r>
      <w:r w:rsidR="00E66E23">
        <w:t xml:space="preserve"> April </w:t>
      </w:r>
      <w:r w:rsidR="00E66E23" w:rsidRPr="00FD65DA">
        <w:t>2007</w:t>
      </w:r>
      <w:r w:rsidR="00E66E23">
        <w:t xml:space="preserve"> in Northern Ireland.  </w:t>
      </w:r>
      <w:r w:rsidR="00E66E23">
        <w:fldChar w:fldCharType="begin" w:fldLock="1"/>
      </w:r>
      <w:r w:rsidR="00E66E23">
        <w:instrText>ADDIN CSL_CITATION { "citationItems" : [ { "id" : "ITEM-1", "itemData" : { "author" : [ { "dropping-particle" : "", "family" : "Jones", "given" : "Andrew M", "non-dropping-particle" : "", "parse-names" : false, "suffix" : "" }, { "dropping-particle" : "", "family" : "Laporte", "given" : "Audrey", "non-dropping-particle" : "", "parse-names" : false, "suffix" : "" }, { "dropping-particle" : "", "family" : "Rice", "given" : "Nigel", "non-dropping-particle" : "", "parse-names" : false, "suffix" : "" }, { "dropping-particle" : "", "family" : "Zucchelli", "given" : "Eugenio", "non-dropping-particle" : "", "parse-names" : false, "suffix" : "" } ], "container-title" : "Health, Econometrics and Data Group", "id" : "ITEM-1", "issue" : "May", "issued" : { "date-parts" : [ [ "2011" ] ] }, "title" : "A model of the impact of smoking bans on smoking with evidence from bans in England and Scotland", "type" : "article-journal" }, "uris" : [ "http://www.mendeley.com/documents/?uuid=6dddb2ac-86f2-4831-9695-354625ee455e" ] } ], "mendeley" : { "formattedCitation" : "(Jones et al. 2011)", "plainTextFormattedCitation" : "(Jones et al. 2011)", "previouslyFormattedCitation" : "(Jones et al. 2011)" }, "properties" : { "noteIndex" : 0 }, "schema" : "https://github.com/citation-style-language/schema/raw/master/csl-citation.json" }</w:instrText>
      </w:r>
      <w:r w:rsidR="00E66E23">
        <w:fldChar w:fldCharType="separate"/>
      </w:r>
      <w:r w:rsidR="00E66E23" w:rsidRPr="00337833">
        <w:rPr>
          <w:noProof/>
        </w:rPr>
        <w:t>(Jones et al. 2011)</w:t>
      </w:r>
      <w:r w:rsidR="00E66E23">
        <w:fldChar w:fldCharType="end"/>
      </w:r>
      <w:r w:rsidR="00E66E23">
        <w:t>. Given</w:t>
      </w:r>
      <w:r>
        <w:t xml:space="preserve"> the ban was implemented at different times in different regions </w:t>
      </w:r>
      <w:r w:rsidR="00E66E23">
        <w:t xml:space="preserve">across the </w:t>
      </w:r>
      <w:proofErr w:type="gramStart"/>
      <w:r w:rsidR="00E66E23">
        <w:t xml:space="preserve">UK, </w:t>
      </w:r>
      <w:r>
        <w:t xml:space="preserve"> it</w:t>
      </w:r>
      <w:proofErr w:type="gramEnd"/>
      <w:r>
        <w:t xml:space="preserve"> equals one if an individual was interviewed in a month after the introduction of the ban in her respective region of residence (April/2006 Scotland, April/2007 Wales, May/2007 Northern Ireland, July/2007 England)</w:t>
      </w:r>
      <w:r w:rsidR="00E66E23">
        <w:t xml:space="preserve"> and is zero otherwise. </w:t>
      </w:r>
      <w:r>
        <w:t xml:space="preserve">  The variation in timing of the ban across UK regions provides a quasi-natural experiment </w:t>
      </w:r>
      <w:proofErr w:type="gramStart"/>
      <w:r>
        <w:t>assuming that</w:t>
      </w:r>
      <w:proofErr w:type="gramEnd"/>
      <w:r>
        <w:t xml:space="preserve"> any differences in attitudes towards smoking remain fixed over the sample period they are captured by the region fixed effects. We view this as a most reasonable assumption, particularly when the analysis is restricted to a very short time </w:t>
      </w:r>
      <w:r w:rsidR="002B3B80">
        <w:t xml:space="preserve">period </w:t>
      </w:r>
      <w:r w:rsidR="00A110A9">
        <w:t xml:space="preserve">(but do consider additional </w:t>
      </w:r>
      <w:r>
        <w:t>robustness checks</w:t>
      </w:r>
      <w:r w:rsidR="00A110A9">
        <w:t>, see</w:t>
      </w:r>
      <w:r>
        <w:t xml:space="preserve"> below). </w:t>
      </w:r>
    </w:p>
    <w:p w14:paraId="18ADB29B" w14:textId="77777777" w:rsidR="0044641A" w:rsidRDefault="0044641A" w:rsidP="0044641A">
      <w:pPr>
        <w:spacing w:line="360" w:lineRule="auto"/>
        <w:ind w:firstLine="720"/>
        <w:jc w:val="both"/>
      </w:pPr>
    </w:p>
    <w:p w14:paraId="09E6FFF0" w14:textId="595DDD42" w:rsidR="0044641A" w:rsidRDefault="007E7CFD" w:rsidP="0044641A">
      <w:pPr>
        <w:spacing w:line="360" w:lineRule="auto"/>
        <w:ind w:firstLine="720"/>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Ban</m:t>
                </m:r>
              </m:e>
              <m:sub>
                <m:r>
                  <w:rPr>
                    <w:rFonts w:ascii="Cambria Math" w:hAnsi="Cambria Math"/>
                  </w:rPr>
                  <m:t>rt</m:t>
                </m:r>
              </m:sub>
            </m:sSub>
            <m:r>
              <w:rPr>
                <w:rFonts w:ascii="Cambria Math" w:hAnsi="Cambria Math"/>
              </w:rPr>
              <m:t>*C</m:t>
            </m:r>
          </m:e>
          <m:sub>
            <m:r>
              <w:rPr>
                <w:rFonts w:ascii="Cambria Math" w:hAnsi="Cambria Math"/>
              </w:rPr>
              <m:t>irt</m:t>
            </m:r>
          </m:sub>
        </m:sSub>
      </m:oMath>
      <w:r w:rsidR="0044641A">
        <w:t xml:space="preserve"> is </w:t>
      </w:r>
      <w:r w:rsidR="00E66E23">
        <w:t>the</w:t>
      </w:r>
      <w:r w:rsidR="0044641A">
        <w:t xml:space="preserve"> interaction between the ban dummy variable and </w:t>
      </w:r>
      <w:r w:rsidR="00E66E23">
        <w:t xml:space="preserve">an individual’s standardised measure of </w:t>
      </w:r>
      <w:r w:rsidR="002B3B80">
        <w:t>conscientiousness</w:t>
      </w:r>
      <w:r w:rsidR="00E66E23">
        <w:t>.</w:t>
      </w:r>
      <w:r w:rsidR="0044641A">
        <w:t xml:space="preserve"> We add to vector </w:t>
      </w:r>
      <w:r w:rsidR="0044641A" w:rsidRPr="0044641A">
        <w:rPr>
          <w:i/>
        </w:rPr>
        <w:t>X</w:t>
      </w:r>
      <w:r w:rsidR="0044641A">
        <w:t xml:space="preserve"> interactions with the ban variable and the other four </w:t>
      </w:r>
      <w:r w:rsidR="0050385D">
        <w:t xml:space="preserve">standardised </w:t>
      </w:r>
      <w:r w:rsidR="0044641A">
        <w:t xml:space="preserve">personality traits. Otherwise, </w:t>
      </w:r>
      <w:proofErr w:type="gramStart"/>
      <w:r w:rsidR="0044641A" w:rsidRPr="0044641A">
        <w:rPr>
          <w:i/>
        </w:rPr>
        <w:t>X</w:t>
      </w:r>
      <w:r w:rsidR="0044641A">
        <w:rPr>
          <w:i/>
        </w:rPr>
        <w:t xml:space="preserve"> </w:t>
      </w:r>
      <w:r w:rsidR="0050385D">
        <w:rPr>
          <w:i/>
        </w:rPr>
        <w:t xml:space="preserve"> </w:t>
      </w:r>
      <w:r w:rsidR="0044641A">
        <w:t>has</w:t>
      </w:r>
      <w:proofErr w:type="gramEnd"/>
      <w:r w:rsidR="0044641A">
        <w:t xml:space="preserve"> identical variables as per equation </w:t>
      </w:r>
      <w:r w:rsidR="0035547A">
        <w:t xml:space="preserve">(1). </w:t>
      </w:r>
      <w:r w:rsidR="0044641A">
        <w:t xml:space="preserve"> </w:t>
      </w:r>
      <m:oMath>
        <m:sSub>
          <m:sSubPr>
            <m:ctrlPr>
              <w:rPr>
                <w:rFonts w:ascii="Cambria Math" w:hAnsi="Cambria Math"/>
                <w:i/>
              </w:rPr>
            </m:ctrlPr>
          </m:sSubPr>
          <m:e>
            <m:r>
              <w:rPr>
                <w:rFonts w:ascii="Cambria Math" w:hAnsi="Cambria Math"/>
                <w:noProof/>
              </w:rPr>
              <m:t>δ</m:t>
            </m:r>
          </m:e>
          <m:sub>
            <m:r>
              <w:rPr>
                <w:rFonts w:ascii="Cambria Math" w:hAnsi="Cambria Math"/>
              </w:rPr>
              <m:t>i</m:t>
            </m:r>
          </m:sub>
        </m:sSub>
      </m:oMath>
      <w:r w:rsidR="00112AD7">
        <w:t xml:space="preserve"> is</w:t>
      </w:r>
      <w:r w:rsidR="0044641A">
        <w:t xml:space="preserve"> a set of individual fixed </w:t>
      </w:r>
      <w:r w:rsidR="00112AD7">
        <w:t xml:space="preserve">effects. </w:t>
      </w:r>
      <w:r w:rsidR="0044641A">
        <w:t xml:space="preserve">Because </w:t>
      </w:r>
      <m:oMath>
        <m:sSub>
          <m:sSubPr>
            <m:ctrlPr>
              <w:rPr>
                <w:rFonts w:ascii="Cambria Math" w:hAnsi="Cambria Math"/>
                <w:i/>
              </w:rPr>
            </m:ctrlPr>
          </m:sSubPr>
          <m:e>
            <m:r>
              <w:rPr>
                <w:rFonts w:ascii="Cambria Math" w:hAnsi="Cambria Math"/>
                <w:noProof/>
              </w:rPr>
              <m:t>δ</m:t>
            </m:r>
          </m:e>
          <m:sub>
            <m:r>
              <w:rPr>
                <w:rFonts w:ascii="Cambria Math" w:hAnsi="Cambria Math"/>
              </w:rPr>
              <m:t>i</m:t>
            </m:r>
          </m:sub>
        </m:sSub>
        <m:r>
          <w:rPr>
            <w:rFonts w:ascii="Cambria Math" w:hAnsi="Cambria Math"/>
          </w:rPr>
          <m:t xml:space="preserve"> </m:t>
        </m:r>
      </m:oMath>
      <w:r w:rsidR="0044641A">
        <w:t xml:space="preserve">is included in equation 2, </w:t>
      </w:r>
      <w:r w:rsidR="0044641A">
        <w:rPr>
          <w:i/>
        </w:rPr>
        <w:t>C</w:t>
      </w:r>
      <w:r w:rsidR="0044641A">
        <w:rPr>
          <w:i/>
          <w:vertAlign w:val="subscript"/>
        </w:rPr>
        <w:t>i</w:t>
      </w:r>
      <w:r w:rsidR="0044641A">
        <w:t xml:space="preserve"> and the</w:t>
      </w:r>
      <w:r w:rsidR="0035547A">
        <w:t xml:space="preserve"> </w:t>
      </w:r>
      <w:r w:rsidR="0044641A">
        <w:t xml:space="preserve">four </w:t>
      </w:r>
      <w:r w:rsidR="0035547A">
        <w:t xml:space="preserve">other </w:t>
      </w:r>
      <w:r w:rsidR="0044641A">
        <w:t xml:space="preserve">personality traits drop out of the equation as they are time invariant. Thus, if we take the smoking ban as a </w:t>
      </w:r>
      <w:proofErr w:type="gramStart"/>
      <w:r w:rsidR="0044641A">
        <w:t>shock</w:t>
      </w:r>
      <w:proofErr w:type="gramEnd"/>
      <w:r w:rsidR="0044641A">
        <w:t xml:space="preserve"> we can interpret </w:t>
      </w:r>
      <m:oMath>
        <m:sSup>
          <m:sSupPr>
            <m:ctrlPr>
              <w:rPr>
                <w:rFonts w:ascii="Cambria Math" w:hAnsi="Cambria Math"/>
                <w:i/>
                <w:color w:val="000000"/>
              </w:rPr>
            </m:ctrlPr>
          </m:sSupPr>
          <m:e>
            <m:r>
              <w:rPr>
                <w:rFonts w:ascii="Cambria Math" w:hAnsi="Cambria Math"/>
                <w:color w:val="000000"/>
              </w:rPr>
              <m:t>ω</m:t>
            </m:r>
          </m:e>
          <m:sup>
            <m:r>
              <w:rPr>
                <w:rFonts w:ascii="Cambria Math" w:hAnsi="Cambria Math"/>
                <w:color w:val="000000"/>
              </w:rPr>
              <m:t>'</m:t>
            </m:r>
          </m:sup>
        </m:sSup>
      </m:oMath>
      <w:r w:rsidR="0044641A">
        <w:rPr>
          <w:color w:val="000000"/>
        </w:rPr>
        <w:t xml:space="preserve"> as the causal impact of the ban on the propensity to smoke. </w:t>
      </w:r>
      <m:oMath>
        <m:r>
          <w:rPr>
            <w:rFonts w:ascii="Cambria Math" w:hAnsi="Cambria Math"/>
            <w:color w:val="000000"/>
          </w:rPr>
          <m:t>γ’</m:t>
        </m:r>
      </m:oMath>
      <w:r w:rsidR="0044641A">
        <w:rPr>
          <w:color w:val="000000"/>
        </w:rPr>
        <w:t xml:space="preserve"> then highlights how this differs by levels of conscientiousness. </w:t>
      </w:r>
      <w:r w:rsidR="00F97E3F">
        <w:rPr>
          <w:color w:val="000000"/>
        </w:rPr>
        <w:t xml:space="preserve">In other words. </w:t>
      </w:r>
      <m:oMath>
        <m:r>
          <w:rPr>
            <w:rFonts w:ascii="Cambria Math" w:hAnsi="Cambria Math"/>
            <w:color w:val="000000"/>
          </w:rPr>
          <m:t xml:space="preserve">γ’ </m:t>
        </m:r>
      </m:oMath>
      <w:r w:rsidR="00F97E3F">
        <w:rPr>
          <w:color w:val="000000"/>
        </w:rPr>
        <w:t xml:space="preserve"> captures any heterogenous responses to the smoking ban by a smokers</w:t>
      </w:r>
      <w:r w:rsidR="0005752A">
        <w:rPr>
          <w:color w:val="000000"/>
        </w:rPr>
        <w:t>’</w:t>
      </w:r>
      <w:r w:rsidR="00F97E3F">
        <w:rPr>
          <w:color w:val="000000"/>
        </w:rPr>
        <w:t xml:space="preserve"> level of conscientiousness. </w:t>
      </w:r>
      <w:r w:rsidR="0044641A">
        <w:t>Standard errors are clustered at the individual level</w:t>
      </w:r>
      <w:r w:rsidR="00F97E3F">
        <w:t xml:space="preserve"> and for unknown heterogeneity. </w:t>
      </w:r>
    </w:p>
    <w:p w14:paraId="1317DC57" w14:textId="624D4B2D" w:rsidR="0044641A" w:rsidRDefault="0044641A" w:rsidP="0044641A">
      <w:pPr>
        <w:spacing w:line="360" w:lineRule="auto"/>
        <w:jc w:val="both"/>
      </w:pPr>
      <w:r>
        <w:t xml:space="preserve">  </w:t>
      </w:r>
      <w:r>
        <w:tab/>
      </w:r>
    </w:p>
    <w:p w14:paraId="6211414B" w14:textId="4500EFB0" w:rsidR="0044641A" w:rsidRDefault="0044641A" w:rsidP="0044641A">
      <w:pPr>
        <w:spacing w:line="360" w:lineRule="auto"/>
        <w:ind w:firstLine="360"/>
        <w:jc w:val="both"/>
      </w:pPr>
      <w:r>
        <w:t xml:space="preserve">We do note that </w:t>
      </w:r>
      <w:r w:rsidR="00E03F3E">
        <w:t xml:space="preserve">estimating the true causal impact of the </w:t>
      </w:r>
      <w:r w:rsidR="00F97E3F">
        <w:t xml:space="preserve">smoking </w:t>
      </w:r>
      <w:r w:rsidR="00E03F3E">
        <w:t>ban is difficult given that there might still be omitted variables that differ across individuals</w:t>
      </w:r>
      <w:r w:rsidR="009960CC">
        <w:t>, regions</w:t>
      </w:r>
      <w:r w:rsidR="00E03F3E">
        <w:t xml:space="preserve"> and</w:t>
      </w:r>
      <w:r w:rsidR="00F97E3F">
        <w:t xml:space="preserve">/or </w:t>
      </w:r>
      <w:r w:rsidR="00E03F3E">
        <w:t xml:space="preserve">time, which are correlated with </w:t>
      </w:r>
      <w:r w:rsidR="00F97E3F">
        <w:t>both t</w:t>
      </w:r>
      <w:r w:rsidR="00E03F3E">
        <w:t xml:space="preserve">he ban and smoking. </w:t>
      </w:r>
      <w:r w:rsidR="00F97E3F">
        <w:t>For example, a</w:t>
      </w:r>
      <w:r w:rsidR="00E03F3E">
        <w:t xml:space="preserve">nti-smoking sentiments potentially differ </w:t>
      </w:r>
      <w:r w:rsidR="009960CC">
        <w:t xml:space="preserve">within </w:t>
      </w:r>
      <w:r w:rsidR="00E03F3E">
        <w:t xml:space="preserve">UK regions and disentangling those from the purely mechanical effect of the ban is difficult. Given that smoking prevalence and other characteristics also differ substantially across geographic </w:t>
      </w:r>
      <w:r w:rsidR="00EE0B59">
        <w:t>areas</w:t>
      </w:r>
      <w:r w:rsidR="00E03F3E">
        <w:t xml:space="preserve"> in the UK, there might be other confounding factors that lead to heterogeneous responses to the ban. </w:t>
      </w:r>
      <w:r>
        <w:t xml:space="preserve"> To abate these concerns, i</w:t>
      </w:r>
      <w:r w:rsidR="00E03F3E">
        <w:t>n later specifications, the observation period is reduced to years closer to the ban to ensure that the coefficient is not picking up other smoking policies</w:t>
      </w:r>
      <w:r w:rsidR="00EE0B59">
        <w:t xml:space="preserve"> or varying attitudes</w:t>
      </w:r>
      <w:r w:rsidR="00E03F3E">
        <w:t>. Close to the ban, there was</w:t>
      </w:r>
      <w:r w:rsidR="00C169F2">
        <w:t xml:space="preserve"> </w:t>
      </w:r>
      <w:r w:rsidR="00E03F3E">
        <w:t>no other major policy that was implemented (</w:t>
      </w:r>
      <w:r>
        <w:t xml:space="preserve">See </w:t>
      </w:r>
      <w:r w:rsidR="00EE0B59" w:rsidRPr="00EE0B59">
        <w:lastRenderedPageBreak/>
        <w:t xml:space="preserve">Table </w:t>
      </w:r>
      <w:r w:rsidR="00904D86">
        <w:t>A.1</w:t>
      </w:r>
      <w:r w:rsidR="00A110A9">
        <w:t xml:space="preserve"> in appendix A</w:t>
      </w:r>
      <w:r w:rsidR="00E03F3E" w:rsidRPr="00EE0B59">
        <w:t>)</w:t>
      </w:r>
      <w:r w:rsidR="00E03F3E">
        <w:t xml:space="preserve"> except </w:t>
      </w:r>
      <w:r w:rsidR="00AF2030">
        <w:t>steady price increases</w:t>
      </w:r>
      <w:r w:rsidR="00F97E3F">
        <w:t>. These are</w:t>
      </w:r>
      <w:r w:rsidR="00E03F3E">
        <w:t xml:space="preserve"> controlled for by </w:t>
      </w:r>
      <w:r w:rsidR="00112AD7">
        <w:t>month</w:t>
      </w:r>
      <w:r w:rsidR="00F97E3F">
        <w:t xml:space="preserve"> crossed by </w:t>
      </w:r>
      <w:r>
        <w:t>year fixed effects</w:t>
      </w:r>
      <w:r w:rsidR="00E03F3E">
        <w:t xml:space="preserve">. </w:t>
      </w:r>
    </w:p>
    <w:p w14:paraId="437B4DE1" w14:textId="77777777" w:rsidR="0044641A" w:rsidRDefault="0044641A" w:rsidP="0044641A">
      <w:pPr>
        <w:spacing w:line="360" w:lineRule="auto"/>
        <w:ind w:firstLine="360"/>
        <w:jc w:val="both"/>
      </w:pPr>
    </w:p>
    <w:p w14:paraId="589E3138" w14:textId="2052A779" w:rsidR="00554798" w:rsidRDefault="0044641A" w:rsidP="00554798">
      <w:pPr>
        <w:spacing w:line="360" w:lineRule="auto"/>
        <w:ind w:firstLine="720"/>
        <w:jc w:val="both"/>
      </w:pPr>
      <w:r>
        <w:t xml:space="preserve">We note that the </w:t>
      </w:r>
      <w:r w:rsidR="00F97E3F">
        <w:t xml:space="preserve">smoking </w:t>
      </w:r>
      <w:r>
        <w:t xml:space="preserve">ban was supposed to be implemented in England in the same year as in </w:t>
      </w:r>
      <w:proofErr w:type="gramStart"/>
      <w:r>
        <w:t>Scotland</w:t>
      </w:r>
      <w:proofErr w:type="gramEnd"/>
      <w:r>
        <w:t xml:space="preserve"> but the policy was delayed at Cabinet level</w:t>
      </w:r>
      <w:r w:rsidR="00F97E3F">
        <w:t xml:space="preserve">. </w:t>
      </w:r>
      <w:r>
        <w:t xml:space="preserve"> </w:t>
      </w:r>
      <w:r w:rsidR="00F97E3F">
        <w:t xml:space="preserve">The </w:t>
      </w:r>
      <w:r>
        <w:t>smoking ban w</w:t>
      </w:r>
      <w:r w:rsidR="00F97E3F">
        <w:t>as</w:t>
      </w:r>
      <w:r>
        <w:t xml:space="preserve"> already discussed in all UK regions in 2002 </w:t>
      </w:r>
      <w:r>
        <w:fldChar w:fldCharType="begin" w:fldLock="1"/>
      </w:r>
      <w:r>
        <w:instrText>ADDIN CSL_CITATION { "citationItems" : [ { "id" : "ITEM-1", "itemData" : { "URL" : "http://ash.org.uk/information-and-resources/briefings/key-dates-in-the-history-of-anti-tobacco-campaigning/", "accessed" : { "date-parts" : [ [ "2017", "8", "28" ] ] }, "author" : [ { "dropping-particle" : "", "family" : "ASH", "given" : "", "non-dropping-particle" : "", "parse-names" : false, "suffix" : "" } ], "id" : "ITEM-1", "issued" : { "date-parts" : [ [ "2017" ] ] }, "page" : "1-82", "title" : "Key dates in the History of Anti-Tobacco Campaigning", "type" : "webpage" }, "uris" : [ "http://www.mendeley.com/documents/?uuid=e50e8a7b-6ec9-476d-8f5d-6f2333b81c17" ] } ], "mendeley" : { "formattedCitation" : "(ASH 2017)", "plainTextFormattedCitation" : "(ASH 2017)", "previouslyFormattedCitation" : "(ASH 2017)" }, "properties" : { "noteIndex" : 0 }, "schema" : "https://github.com/citation-style-language/schema/raw/master/csl-citation.json" }</w:instrText>
      </w:r>
      <w:r>
        <w:fldChar w:fldCharType="separate"/>
      </w:r>
      <w:r w:rsidRPr="00EE0B59">
        <w:rPr>
          <w:noProof/>
        </w:rPr>
        <w:t>(ASH 2017)</w:t>
      </w:r>
      <w:r>
        <w:fldChar w:fldCharType="end"/>
      </w:r>
      <w:r>
        <w:t>. This indicates that sentiments towards smoking in Scotland and the rest of the UK population were probably already similar in 2006 and the exact timing of the bans, the treatment assignment, is likely to be exogenous</w:t>
      </w:r>
      <w:r w:rsidR="00F97E3F">
        <w:t xml:space="preserve"> </w:t>
      </w:r>
      <w:proofErr w:type="gramStart"/>
      <w:r w:rsidR="0050385D">
        <w:t>i.e.</w:t>
      </w:r>
      <w:proofErr w:type="gramEnd"/>
      <w:r w:rsidR="00F97E3F">
        <w:t xml:space="preserve"> the exact timing of the initiation of the ban was not owed to variation in sentiment across population. </w:t>
      </w:r>
      <w:r>
        <w:t xml:space="preserve"> A further robustness </w:t>
      </w:r>
      <w:r w:rsidR="00F97E3F">
        <w:t xml:space="preserve">therefore </w:t>
      </w:r>
      <w:r w:rsidR="002B3B80">
        <w:t>reduces</w:t>
      </w:r>
      <w:r>
        <w:t xml:space="preserve"> the sample</w:t>
      </w:r>
      <w:r w:rsidR="00E03F3E">
        <w:t xml:space="preserve"> to England and Scotland only given that pre-treatment trends in smoking prevalence are </w:t>
      </w:r>
      <w:r>
        <w:t>the most</w:t>
      </w:r>
      <w:r w:rsidR="00E03F3E">
        <w:t xml:space="preserve"> similar for those two regions </w:t>
      </w:r>
      <w:r w:rsidR="00554798">
        <w:t xml:space="preserve">as can be </w:t>
      </w:r>
      <w:r w:rsidR="00F97E3F">
        <w:t>see</w:t>
      </w:r>
      <w:r w:rsidR="00554798">
        <w:t>n in</w:t>
      </w:r>
      <w:r w:rsidR="00F97E3F">
        <w:t xml:space="preserve"> </w:t>
      </w:r>
      <w:r w:rsidR="00C169F2">
        <w:t xml:space="preserve">Figure </w:t>
      </w:r>
      <w:r w:rsidR="00C9493F">
        <w:t>2</w:t>
      </w:r>
      <w:r w:rsidR="00554798">
        <w:t xml:space="preserve"> below</w:t>
      </w:r>
      <w:r w:rsidR="00E03F3E">
        <w:t xml:space="preserve">. </w:t>
      </w:r>
    </w:p>
    <w:p w14:paraId="7C239A12" w14:textId="77777777" w:rsidR="00ED7AA9" w:rsidRDefault="00ED7AA9" w:rsidP="00E97A16">
      <w:pPr>
        <w:spacing w:line="360" w:lineRule="auto"/>
        <w:jc w:val="both"/>
      </w:pPr>
    </w:p>
    <w:p w14:paraId="6BC39533" w14:textId="77777777" w:rsidR="00ED7AA9" w:rsidRDefault="00ED7AA9">
      <w:pPr>
        <w:spacing w:line="360" w:lineRule="auto"/>
        <w:ind w:firstLine="720"/>
        <w:jc w:val="both"/>
      </w:pPr>
    </w:p>
    <w:p w14:paraId="53B096E6" w14:textId="1377877A" w:rsidR="00554798" w:rsidRDefault="00554798" w:rsidP="00E97A16">
      <w:pPr>
        <w:spacing w:line="360" w:lineRule="auto"/>
        <w:ind w:firstLine="720"/>
        <w:jc w:val="both"/>
      </w:pPr>
      <w:r>
        <w:t xml:space="preserve">Figure </w:t>
      </w:r>
      <w:r w:rsidR="00C9493F">
        <w:t>2</w:t>
      </w:r>
      <w:r>
        <w:t>: Smoking Prevalence by Country and Year</w:t>
      </w:r>
    </w:p>
    <w:p w14:paraId="3899E307" w14:textId="77777777" w:rsidR="00554798" w:rsidRDefault="00554798" w:rsidP="00554798">
      <w:pPr>
        <w:spacing w:line="360" w:lineRule="auto"/>
        <w:ind w:firstLine="720"/>
        <w:jc w:val="both"/>
      </w:pPr>
      <w:r w:rsidRPr="00D2788B">
        <w:rPr>
          <w:noProof/>
          <w:lang w:val="en-US"/>
        </w:rPr>
        <w:drawing>
          <wp:inline distT="0" distB="0" distL="0" distR="0" wp14:anchorId="02A7457C" wp14:editId="66215387">
            <wp:extent cx="4721635" cy="3429000"/>
            <wp:effectExtent l="0" t="0" r="3175" b="0"/>
            <wp:docPr id="2" name="Picture 2" descr="U:\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igur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0678" cy="3435567"/>
                    </a:xfrm>
                    <a:prstGeom prst="rect">
                      <a:avLst/>
                    </a:prstGeom>
                    <a:noFill/>
                    <a:ln>
                      <a:noFill/>
                    </a:ln>
                  </pic:spPr>
                </pic:pic>
              </a:graphicData>
            </a:graphic>
          </wp:inline>
        </w:drawing>
      </w:r>
    </w:p>
    <w:p w14:paraId="077D5A26" w14:textId="77777777" w:rsidR="00554798" w:rsidRDefault="00554798" w:rsidP="0044641A">
      <w:pPr>
        <w:spacing w:line="360" w:lineRule="auto"/>
        <w:ind w:firstLine="720"/>
        <w:jc w:val="both"/>
      </w:pPr>
    </w:p>
    <w:p w14:paraId="3407C40F" w14:textId="6EA1B28F" w:rsidR="005D1D68" w:rsidRPr="00732E18" w:rsidRDefault="005D1D68" w:rsidP="00922ABE">
      <w:pPr>
        <w:pStyle w:val="Heading2"/>
      </w:pPr>
      <w:bookmarkStart w:id="2" w:name="_Toc491858220"/>
      <w:r>
        <w:lastRenderedPageBreak/>
        <w:t>Results</w:t>
      </w:r>
      <w:bookmarkEnd w:id="2"/>
    </w:p>
    <w:p w14:paraId="45DD2E7F" w14:textId="17BF9D7C" w:rsidR="00F97E3F" w:rsidRDefault="00904D86" w:rsidP="00E97A16">
      <w:pPr>
        <w:spacing w:line="360" w:lineRule="auto"/>
        <w:ind w:firstLine="360"/>
        <w:jc w:val="both"/>
        <w:rPr>
          <w:bCs/>
        </w:rPr>
      </w:pPr>
      <w:r>
        <w:rPr>
          <w:bCs/>
        </w:rPr>
        <w:fldChar w:fldCharType="begin"/>
      </w:r>
      <w:r>
        <w:rPr>
          <w:bCs/>
        </w:rPr>
        <w:instrText xml:space="preserve"> REF _Ref24387434 </w:instrText>
      </w:r>
      <w:r>
        <w:rPr>
          <w:bCs/>
        </w:rPr>
        <w:fldChar w:fldCharType="separate"/>
      </w:r>
      <w:r w:rsidRPr="00904D86">
        <w:t xml:space="preserve">Table </w:t>
      </w:r>
      <w:r w:rsidRPr="00904D86">
        <w:rPr>
          <w:noProof/>
        </w:rPr>
        <w:t>2</w:t>
      </w:r>
      <w:r>
        <w:rPr>
          <w:bCs/>
        </w:rPr>
        <w:fldChar w:fldCharType="end"/>
      </w:r>
      <w:r>
        <w:rPr>
          <w:bCs/>
        </w:rPr>
        <w:t xml:space="preserve"> </w:t>
      </w:r>
      <w:r w:rsidR="00F97E3F">
        <w:rPr>
          <w:bCs/>
        </w:rPr>
        <w:t xml:space="preserve">documents the results from </w:t>
      </w:r>
      <w:proofErr w:type="gramStart"/>
      <w:r w:rsidR="006062DE">
        <w:rPr>
          <w:bCs/>
        </w:rPr>
        <w:t xml:space="preserve">estimating </w:t>
      </w:r>
      <w:r w:rsidR="00F97E3F">
        <w:rPr>
          <w:bCs/>
        </w:rPr>
        <w:t xml:space="preserve"> equation</w:t>
      </w:r>
      <w:proofErr w:type="gramEnd"/>
      <w:r w:rsidR="00F97E3F">
        <w:rPr>
          <w:bCs/>
        </w:rPr>
        <w:t xml:space="preserve"> </w:t>
      </w:r>
      <w:r w:rsidR="00CF1A36">
        <w:rPr>
          <w:bCs/>
        </w:rPr>
        <w:t>1</w:t>
      </w:r>
      <w:r w:rsidR="00F97E3F">
        <w:rPr>
          <w:bCs/>
        </w:rPr>
        <w:t xml:space="preserve">. </w:t>
      </w:r>
      <w:r w:rsidR="003C20E0" w:rsidRPr="003C20E0">
        <w:rPr>
          <w:bCs/>
        </w:rPr>
        <w:t xml:space="preserve">From column (1), a one standard deviation increase in conscientiousness is associated with a </w:t>
      </w:r>
      <w:r w:rsidR="00F97E3F">
        <w:rPr>
          <w:bCs/>
        </w:rPr>
        <w:t>one percentage point reduction in the</w:t>
      </w:r>
      <w:r w:rsidR="003C20E0" w:rsidRPr="003C20E0">
        <w:rPr>
          <w:bCs/>
        </w:rPr>
        <w:t xml:space="preserve"> probability of being a smoker. </w:t>
      </w:r>
      <w:r w:rsidR="003C20E0">
        <w:rPr>
          <w:bCs/>
        </w:rPr>
        <w:t xml:space="preserve">Notably, conscientiousness does not significantly predict the probability of smoking for the </w:t>
      </w:r>
      <w:r w:rsidR="002B5403">
        <w:rPr>
          <w:bCs/>
        </w:rPr>
        <w:t xml:space="preserve">hooked generation, consistent with the idea that conscientiousness does not matter for this group given that the negative effects of smoking were not </w:t>
      </w:r>
      <w:r w:rsidR="009848ED">
        <w:rPr>
          <w:bCs/>
        </w:rPr>
        <w:t xml:space="preserve">known to this group when making the initial decision to smoke. However, conscientiousness does matter for both the middle and informed generation. </w:t>
      </w:r>
      <w:r w:rsidR="003F2F98">
        <w:rPr>
          <w:bCs/>
        </w:rPr>
        <w:t>As expected</w:t>
      </w:r>
      <w:r w:rsidR="00F97E3F">
        <w:rPr>
          <w:bCs/>
        </w:rPr>
        <w:t>,</w:t>
      </w:r>
      <w:r w:rsidR="003F2F98">
        <w:rPr>
          <w:bCs/>
        </w:rPr>
        <w:t xml:space="preserve"> the coefficient for conscientiousness is most substantive for the informed generation. From column (</w:t>
      </w:r>
      <w:r w:rsidR="00380B4D">
        <w:rPr>
          <w:bCs/>
        </w:rPr>
        <w:t>4</w:t>
      </w:r>
      <w:r w:rsidR="003F2F98">
        <w:rPr>
          <w:bCs/>
        </w:rPr>
        <w:t xml:space="preserve">), </w:t>
      </w:r>
      <w:r w:rsidR="003F2F98" w:rsidRPr="003C20E0">
        <w:rPr>
          <w:bCs/>
        </w:rPr>
        <w:t>a one standard deviation increase in conscien</w:t>
      </w:r>
      <w:r w:rsidR="003F2F98">
        <w:rPr>
          <w:bCs/>
        </w:rPr>
        <w:t>tiousness is associated with a 2.</w:t>
      </w:r>
      <w:r w:rsidR="00380B4D">
        <w:rPr>
          <w:bCs/>
        </w:rPr>
        <w:t>8</w:t>
      </w:r>
      <w:r w:rsidR="00F97E3F">
        <w:rPr>
          <w:bCs/>
        </w:rPr>
        <w:t xml:space="preserve"> percentage point reduction in the </w:t>
      </w:r>
      <w:r w:rsidR="003F2F98" w:rsidRPr="003C20E0">
        <w:rPr>
          <w:bCs/>
        </w:rPr>
        <w:t>probability of being a smoker.</w:t>
      </w:r>
      <w:r w:rsidR="00C6610A">
        <w:rPr>
          <w:bCs/>
        </w:rPr>
        <w:t xml:space="preserve"> </w:t>
      </w:r>
    </w:p>
    <w:p w14:paraId="116476AF" w14:textId="5629D696" w:rsidR="00C6610A" w:rsidRDefault="00C6610A" w:rsidP="00EE405C">
      <w:pPr>
        <w:spacing w:line="360" w:lineRule="auto"/>
        <w:jc w:val="both"/>
        <w:rPr>
          <w:bCs/>
        </w:rPr>
      </w:pPr>
    </w:p>
    <w:p w14:paraId="6D9C463E" w14:textId="74F6A490" w:rsidR="00C6610A" w:rsidRDefault="00E97A16" w:rsidP="00E97A16">
      <w:pPr>
        <w:spacing w:line="360" w:lineRule="auto"/>
        <w:ind w:firstLine="360"/>
        <w:jc w:val="both"/>
        <w:rPr>
          <w:bCs/>
        </w:rPr>
      </w:pPr>
      <w:r w:rsidRPr="00E97A16">
        <w:rPr>
          <w:bCs/>
        </w:rPr>
        <w:t>The remaining four personality traits also predict the propensity to smoke. In general</w:t>
      </w:r>
      <w:r>
        <w:rPr>
          <w:bCs/>
        </w:rPr>
        <w:t xml:space="preserve"> </w:t>
      </w:r>
      <w:r w:rsidRPr="00E97A16">
        <w:rPr>
          <w:bCs/>
        </w:rPr>
        <w:t>individuals who are extravert and</w:t>
      </w:r>
      <w:r>
        <w:rPr>
          <w:bCs/>
        </w:rPr>
        <w:t xml:space="preserve"> </w:t>
      </w:r>
      <w:r w:rsidRPr="00E97A16">
        <w:rPr>
          <w:bCs/>
        </w:rPr>
        <w:t>neurotic are more likely to smoke, and those that are open and</w:t>
      </w:r>
      <w:r>
        <w:rPr>
          <w:bCs/>
        </w:rPr>
        <w:t xml:space="preserve"> </w:t>
      </w:r>
      <w:r w:rsidRPr="00E97A16">
        <w:rPr>
          <w:bCs/>
        </w:rPr>
        <w:t>agreeable are less likely to smoke</w:t>
      </w:r>
      <w:r w:rsidR="00C6610A">
        <w:rPr>
          <w:bCs/>
        </w:rPr>
        <w:t xml:space="preserve">. </w:t>
      </w:r>
    </w:p>
    <w:p w14:paraId="1E1A2F7B" w14:textId="77777777" w:rsidR="00C6610A" w:rsidRDefault="00C6610A" w:rsidP="00EE405C">
      <w:pPr>
        <w:spacing w:line="360" w:lineRule="auto"/>
        <w:jc w:val="both"/>
        <w:rPr>
          <w:bCs/>
        </w:rPr>
      </w:pPr>
    </w:p>
    <w:p w14:paraId="60EC209C" w14:textId="60E9C509" w:rsidR="00C6610A" w:rsidRPr="003C20E0" w:rsidRDefault="00C6610A" w:rsidP="00922ABE">
      <w:pPr>
        <w:spacing w:line="360" w:lineRule="auto"/>
        <w:ind w:firstLine="360"/>
        <w:jc w:val="both"/>
        <w:rPr>
          <w:bCs/>
        </w:rPr>
      </w:pPr>
      <w:r>
        <w:rPr>
          <w:bCs/>
        </w:rPr>
        <w:t>Conscientiousness also decreases the number of cigarettes smoked significantly for smokers, albeit the implied size of the effect is modest.  A one standard deviation increase in conscientiousness implies 0.136 less cigarettes smoked per day</w:t>
      </w:r>
      <w:r w:rsidR="00922ABE">
        <w:rPr>
          <w:bCs/>
        </w:rPr>
        <w:t>.</w:t>
      </w:r>
      <w:r w:rsidR="00922ABE" w:rsidRPr="00922ABE">
        <w:t xml:space="preserve"> </w:t>
      </w:r>
      <w:r w:rsidR="00922ABE" w:rsidRPr="00922ABE">
        <w:rPr>
          <w:bCs/>
        </w:rPr>
        <w:t>We note that this effect is again driven solely and only significant</w:t>
      </w:r>
      <w:r w:rsidR="00922ABE">
        <w:rPr>
          <w:bCs/>
        </w:rPr>
        <w:t xml:space="preserve"> </w:t>
      </w:r>
      <w:r w:rsidR="00922ABE" w:rsidRPr="00922ABE">
        <w:rPr>
          <w:bCs/>
        </w:rPr>
        <w:t>for the hooked generation, consistent with our hypothesis.</w:t>
      </w:r>
      <w:r w:rsidR="00922ABE">
        <w:rPr>
          <w:bCs/>
        </w:rPr>
        <w:t xml:space="preserve"> </w:t>
      </w:r>
      <w:r>
        <w:rPr>
          <w:bCs/>
        </w:rPr>
        <w:t xml:space="preserve">Notably, neuroticism also significantly predict the number of cigarettes that an individual </w:t>
      </w:r>
      <w:proofErr w:type="gramStart"/>
      <w:r>
        <w:rPr>
          <w:bCs/>
        </w:rPr>
        <w:t>smokes</w:t>
      </w:r>
      <w:proofErr w:type="gramEnd"/>
      <w:r>
        <w:rPr>
          <w:bCs/>
        </w:rPr>
        <w:t xml:space="preserve"> but the size is modest. Interestingly the signs on these effects differ from hooked (negative) as compared to the middle and informed generations, echoing the sentiment that hooked smokers are a different type to the middle and informed generation.</w:t>
      </w:r>
    </w:p>
    <w:p w14:paraId="7A0B8F22" w14:textId="77777777" w:rsidR="00554798" w:rsidRDefault="00554798" w:rsidP="00EE405C">
      <w:pPr>
        <w:spacing w:line="360" w:lineRule="auto"/>
        <w:jc w:val="both"/>
        <w:rPr>
          <w:bCs/>
        </w:rPr>
      </w:pPr>
    </w:p>
    <w:p w14:paraId="37C67AC9" w14:textId="77777777" w:rsidR="00C6610A" w:rsidRDefault="00C6610A">
      <w:pPr>
        <w:rPr>
          <w:rFonts w:cstheme="majorBidi"/>
          <w:b/>
          <w:iCs/>
          <w:color w:val="000000" w:themeColor="text1"/>
          <w:sz w:val="18"/>
          <w:szCs w:val="18"/>
          <w:lang w:eastAsia="en-GB"/>
        </w:rPr>
      </w:pPr>
      <w:r>
        <w:rPr>
          <w:b/>
        </w:rPr>
        <w:br w:type="page"/>
      </w:r>
    </w:p>
    <w:p w14:paraId="4A7972E4" w14:textId="0B7C07C0" w:rsidR="00904D86" w:rsidRDefault="00904D86">
      <w:pPr>
        <w:pStyle w:val="Caption"/>
        <w:keepNext/>
        <w:rPr>
          <w:sz w:val="24"/>
          <w:szCs w:val="24"/>
        </w:rPr>
      </w:pPr>
      <w:bookmarkStart w:id="3" w:name="_Ref24387434"/>
      <w:r w:rsidRPr="007A7E03">
        <w:rPr>
          <w:sz w:val="24"/>
          <w:szCs w:val="24"/>
        </w:rPr>
        <w:lastRenderedPageBreak/>
        <w:t xml:space="preserve">Table </w:t>
      </w:r>
      <w:r w:rsidRPr="007A7E03">
        <w:rPr>
          <w:sz w:val="24"/>
          <w:szCs w:val="24"/>
        </w:rPr>
        <w:fldChar w:fldCharType="begin"/>
      </w:r>
      <w:r w:rsidRPr="007A7E03">
        <w:rPr>
          <w:sz w:val="24"/>
          <w:szCs w:val="24"/>
        </w:rPr>
        <w:instrText xml:space="preserve"> SEQ Table \* ARABIC </w:instrText>
      </w:r>
      <w:r w:rsidRPr="007A7E03">
        <w:rPr>
          <w:sz w:val="24"/>
          <w:szCs w:val="24"/>
        </w:rPr>
        <w:fldChar w:fldCharType="separate"/>
      </w:r>
      <w:r>
        <w:rPr>
          <w:noProof/>
          <w:sz w:val="24"/>
          <w:szCs w:val="24"/>
        </w:rPr>
        <w:t>2</w:t>
      </w:r>
      <w:r w:rsidRPr="007A7E03">
        <w:rPr>
          <w:sz w:val="24"/>
          <w:szCs w:val="24"/>
        </w:rPr>
        <w:fldChar w:fldCharType="end"/>
      </w:r>
      <w:bookmarkEnd w:id="3"/>
      <w:r w:rsidRPr="007A7E03">
        <w:rPr>
          <w:sz w:val="24"/>
          <w:szCs w:val="24"/>
        </w:rPr>
        <w:t>: Effect of Big Five Personality Traits on Smoking using pooled OLS regression, 1991-2008</w:t>
      </w:r>
    </w:p>
    <w:tbl>
      <w:tblPr>
        <w:tblW w:w="11517" w:type="dxa"/>
        <w:tblInd w:w="-1501" w:type="dxa"/>
        <w:tblLook w:val="04A0" w:firstRow="1" w:lastRow="0" w:firstColumn="1" w:lastColumn="0" w:noHBand="0" w:noVBand="1"/>
      </w:tblPr>
      <w:tblGrid>
        <w:gridCol w:w="1694"/>
        <w:gridCol w:w="1388"/>
        <w:gridCol w:w="1105"/>
        <w:gridCol w:w="1105"/>
        <w:gridCol w:w="1166"/>
        <w:gridCol w:w="1066"/>
        <w:gridCol w:w="1266"/>
        <w:gridCol w:w="1266"/>
        <w:gridCol w:w="1461"/>
      </w:tblGrid>
      <w:tr w:rsidR="0057577C" w14:paraId="6F38F163" w14:textId="77777777" w:rsidTr="00922ABE">
        <w:trPr>
          <w:trHeight w:val="291"/>
        </w:trPr>
        <w:tc>
          <w:tcPr>
            <w:tcW w:w="1694" w:type="dxa"/>
            <w:tcBorders>
              <w:top w:val="single" w:sz="8" w:space="0" w:color="auto"/>
              <w:left w:val="nil"/>
              <w:bottom w:val="single" w:sz="8" w:space="0" w:color="auto"/>
              <w:right w:val="nil"/>
            </w:tcBorders>
            <w:shd w:val="clear" w:color="auto" w:fill="auto"/>
            <w:vAlign w:val="center"/>
            <w:hideMark/>
          </w:tcPr>
          <w:p w14:paraId="49179F95" w14:textId="77777777" w:rsidR="0057577C" w:rsidRDefault="0057577C" w:rsidP="0057577C">
            <w:pPr>
              <w:rPr>
                <w:color w:val="000000"/>
                <w:sz w:val="20"/>
                <w:szCs w:val="20"/>
                <w:lang w:eastAsia="en-GB"/>
              </w:rPr>
            </w:pPr>
            <w:r>
              <w:rPr>
                <w:color w:val="000000"/>
                <w:sz w:val="20"/>
                <w:szCs w:val="20"/>
              </w:rPr>
              <w:t> </w:t>
            </w:r>
          </w:p>
        </w:tc>
        <w:tc>
          <w:tcPr>
            <w:tcW w:w="1388" w:type="dxa"/>
            <w:tcBorders>
              <w:top w:val="single" w:sz="8" w:space="0" w:color="auto"/>
              <w:left w:val="nil"/>
              <w:bottom w:val="single" w:sz="8" w:space="0" w:color="auto"/>
              <w:right w:val="nil"/>
            </w:tcBorders>
            <w:shd w:val="clear" w:color="auto" w:fill="auto"/>
            <w:vAlign w:val="center"/>
            <w:hideMark/>
          </w:tcPr>
          <w:p w14:paraId="2A51F803" w14:textId="7D5FFDED" w:rsidR="0057577C" w:rsidRDefault="0057577C" w:rsidP="0050385D">
            <w:pPr>
              <w:jc w:val="center"/>
              <w:rPr>
                <w:color w:val="000000"/>
                <w:sz w:val="20"/>
                <w:szCs w:val="20"/>
              </w:rPr>
            </w:pPr>
            <w:r>
              <w:rPr>
                <w:color w:val="000000"/>
                <w:sz w:val="20"/>
                <w:szCs w:val="20"/>
              </w:rPr>
              <w:t>(1)</w:t>
            </w:r>
          </w:p>
        </w:tc>
        <w:tc>
          <w:tcPr>
            <w:tcW w:w="1105" w:type="dxa"/>
            <w:tcBorders>
              <w:top w:val="single" w:sz="8" w:space="0" w:color="auto"/>
              <w:left w:val="nil"/>
              <w:bottom w:val="single" w:sz="8" w:space="0" w:color="auto"/>
              <w:right w:val="nil"/>
            </w:tcBorders>
            <w:shd w:val="clear" w:color="auto" w:fill="auto"/>
            <w:hideMark/>
          </w:tcPr>
          <w:p w14:paraId="25A45F9C" w14:textId="6D6F56A8" w:rsidR="0057577C" w:rsidRDefault="0057577C" w:rsidP="0050385D">
            <w:pPr>
              <w:jc w:val="center"/>
              <w:rPr>
                <w:color w:val="000000"/>
                <w:sz w:val="20"/>
                <w:szCs w:val="20"/>
              </w:rPr>
            </w:pPr>
            <w:r w:rsidRPr="00024AC6">
              <w:rPr>
                <w:color w:val="000000"/>
                <w:sz w:val="20"/>
                <w:szCs w:val="20"/>
              </w:rPr>
              <w:t>(</w:t>
            </w:r>
            <w:r>
              <w:rPr>
                <w:color w:val="000000"/>
                <w:sz w:val="20"/>
                <w:szCs w:val="20"/>
              </w:rPr>
              <w:t>2</w:t>
            </w:r>
            <w:r w:rsidRPr="00024AC6">
              <w:rPr>
                <w:color w:val="000000"/>
                <w:sz w:val="20"/>
                <w:szCs w:val="20"/>
              </w:rPr>
              <w:t>)</w:t>
            </w:r>
          </w:p>
        </w:tc>
        <w:tc>
          <w:tcPr>
            <w:tcW w:w="1105" w:type="dxa"/>
            <w:tcBorders>
              <w:top w:val="single" w:sz="8" w:space="0" w:color="auto"/>
              <w:left w:val="nil"/>
              <w:bottom w:val="single" w:sz="8" w:space="0" w:color="auto"/>
              <w:right w:val="nil"/>
            </w:tcBorders>
            <w:shd w:val="clear" w:color="auto" w:fill="auto"/>
            <w:hideMark/>
          </w:tcPr>
          <w:p w14:paraId="2DF4B951" w14:textId="6A1FBABD" w:rsidR="0057577C" w:rsidRDefault="0057577C" w:rsidP="0050385D">
            <w:pPr>
              <w:jc w:val="center"/>
              <w:rPr>
                <w:color w:val="000000"/>
                <w:sz w:val="20"/>
                <w:szCs w:val="20"/>
              </w:rPr>
            </w:pPr>
            <w:r w:rsidRPr="00024AC6">
              <w:rPr>
                <w:color w:val="000000"/>
                <w:sz w:val="20"/>
                <w:szCs w:val="20"/>
              </w:rPr>
              <w:t>(</w:t>
            </w:r>
            <w:r>
              <w:rPr>
                <w:color w:val="000000"/>
                <w:sz w:val="20"/>
                <w:szCs w:val="20"/>
              </w:rPr>
              <w:t>3</w:t>
            </w:r>
            <w:r w:rsidRPr="00024AC6">
              <w:rPr>
                <w:color w:val="000000"/>
                <w:sz w:val="20"/>
                <w:szCs w:val="20"/>
              </w:rPr>
              <w:t>)</w:t>
            </w:r>
          </w:p>
        </w:tc>
        <w:tc>
          <w:tcPr>
            <w:tcW w:w="1166" w:type="dxa"/>
            <w:tcBorders>
              <w:top w:val="single" w:sz="8" w:space="0" w:color="auto"/>
              <w:left w:val="nil"/>
              <w:bottom w:val="single" w:sz="8" w:space="0" w:color="auto"/>
              <w:right w:val="nil"/>
            </w:tcBorders>
            <w:shd w:val="clear" w:color="auto" w:fill="auto"/>
            <w:hideMark/>
          </w:tcPr>
          <w:p w14:paraId="20762382" w14:textId="3171E3B2" w:rsidR="0057577C" w:rsidRDefault="0057577C" w:rsidP="0050385D">
            <w:pPr>
              <w:jc w:val="center"/>
              <w:rPr>
                <w:color w:val="000000"/>
                <w:sz w:val="20"/>
                <w:szCs w:val="20"/>
              </w:rPr>
            </w:pPr>
            <w:r w:rsidRPr="00024AC6">
              <w:rPr>
                <w:color w:val="000000"/>
                <w:sz w:val="20"/>
                <w:szCs w:val="20"/>
              </w:rPr>
              <w:t>(</w:t>
            </w:r>
            <w:r>
              <w:rPr>
                <w:color w:val="000000"/>
                <w:sz w:val="20"/>
                <w:szCs w:val="20"/>
              </w:rPr>
              <w:t>4</w:t>
            </w:r>
            <w:r w:rsidRPr="00024AC6">
              <w:rPr>
                <w:color w:val="000000"/>
                <w:sz w:val="20"/>
                <w:szCs w:val="20"/>
              </w:rPr>
              <w:t>)</w:t>
            </w:r>
          </w:p>
        </w:tc>
        <w:tc>
          <w:tcPr>
            <w:tcW w:w="1066" w:type="dxa"/>
            <w:tcBorders>
              <w:top w:val="single" w:sz="8" w:space="0" w:color="auto"/>
              <w:left w:val="nil"/>
              <w:bottom w:val="single" w:sz="8" w:space="0" w:color="auto"/>
              <w:right w:val="nil"/>
            </w:tcBorders>
            <w:shd w:val="clear" w:color="auto" w:fill="auto"/>
            <w:hideMark/>
          </w:tcPr>
          <w:p w14:paraId="6F3CE5D9" w14:textId="7619328D" w:rsidR="0057577C" w:rsidRDefault="0057577C" w:rsidP="0050385D">
            <w:pPr>
              <w:jc w:val="center"/>
              <w:rPr>
                <w:color w:val="000000"/>
                <w:sz w:val="20"/>
                <w:szCs w:val="20"/>
              </w:rPr>
            </w:pPr>
            <w:r w:rsidRPr="00024AC6">
              <w:rPr>
                <w:color w:val="000000"/>
                <w:sz w:val="20"/>
                <w:szCs w:val="20"/>
              </w:rPr>
              <w:t>(</w:t>
            </w:r>
            <w:r>
              <w:rPr>
                <w:color w:val="000000"/>
                <w:sz w:val="20"/>
                <w:szCs w:val="20"/>
              </w:rPr>
              <w:t>5</w:t>
            </w:r>
            <w:r w:rsidRPr="00024AC6">
              <w:rPr>
                <w:color w:val="000000"/>
                <w:sz w:val="20"/>
                <w:szCs w:val="20"/>
              </w:rPr>
              <w:t>)</w:t>
            </w:r>
          </w:p>
        </w:tc>
        <w:tc>
          <w:tcPr>
            <w:tcW w:w="1266" w:type="dxa"/>
            <w:tcBorders>
              <w:top w:val="single" w:sz="8" w:space="0" w:color="auto"/>
              <w:left w:val="nil"/>
              <w:bottom w:val="single" w:sz="8" w:space="0" w:color="auto"/>
              <w:right w:val="nil"/>
            </w:tcBorders>
            <w:shd w:val="clear" w:color="auto" w:fill="auto"/>
            <w:hideMark/>
          </w:tcPr>
          <w:p w14:paraId="0E4ABBCF" w14:textId="378170F0" w:rsidR="0057577C" w:rsidRDefault="0057577C" w:rsidP="0050385D">
            <w:pPr>
              <w:jc w:val="center"/>
              <w:rPr>
                <w:color w:val="000000"/>
                <w:sz w:val="20"/>
                <w:szCs w:val="20"/>
              </w:rPr>
            </w:pPr>
            <w:r w:rsidRPr="00024AC6">
              <w:rPr>
                <w:color w:val="000000"/>
                <w:sz w:val="20"/>
                <w:szCs w:val="20"/>
              </w:rPr>
              <w:t>(</w:t>
            </w:r>
            <w:r>
              <w:rPr>
                <w:color w:val="000000"/>
                <w:sz w:val="20"/>
                <w:szCs w:val="20"/>
              </w:rPr>
              <w:t>6</w:t>
            </w:r>
            <w:r w:rsidRPr="00024AC6">
              <w:rPr>
                <w:color w:val="000000"/>
                <w:sz w:val="20"/>
                <w:szCs w:val="20"/>
              </w:rPr>
              <w:t>)</w:t>
            </w:r>
          </w:p>
        </w:tc>
        <w:tc>
          <w:tcPr>
            <w:tcW w:w="1266" w:type="dxa"/>
            <w:tcBorders>
              <w:top w:val="single" w:sz="8" w:space="0" w:color="auto"/>
              <w:left w:val="nil"/>
              <w:bottom w:val="single" w:sz="8" w:space="0" w:color="auto"/>
              <w:right w:val="nil"/>
            </w:tcBorders>
            <w:shd w:val="clear" w:color="auto" w:fill="auto"/>
            <w:hideMark/>
          </w:tcPr>
          <w:p w14:paraId="64139EFB" w14:textId="2069FE3F" w:rsidR="0057577C" w:rsidRDefault="0057577C" w:rsidP="0050385D">
            <w:pPr>
              <w:jc w:val="center"/>
              <w:rPr>
                <w:color w:val="000000"/>
                <w:sz w:val="20"/>
                <w:szCs w:val="20"/>
              </w:rPr>
            </w:pPr>
            <w:r w:rsidRPr="00024AC6">
              <w:rPr>
                <w:color w:val="000000"/>
                <w:sz w:val="20"/>
                <w:szCs w:val="20"/>
              </w:rPr>
              <w:t>(</w:t>
            </w:r>
            <w:r>
              <w:rPr>
                <w:color w:val="000000"/>
                <w:sz w:val="20"/>
                <w:szCs w:val="20"/>
              </w:rPr>
              <w:t>7</w:t>
            </w:r>
            <w:r w:rsidRPr="00024AC6">
              <w:rPr>
                <w:color w:val="000000"/>
                <w:sz w:val="20"/>
                <w:szCs w:val="20"/>
              </w:rPr>
              <w:t>)</w:t>
            </w:r>
          </w:p>
        </w:tc>
        <w:tc>
          <w:tcPr>
            <w:tcW w:w="1461" w:type="dxa"/>
            <w:tcBorders>
              <w:top w:val="single" w:sz="8" w:space="0" w:color="auto"/>
              <w:left w:val="nil"/>
              <w:bottom w:val="single" w:sz="8" w:space="0" w:color="auto"/>
              <w:right w:val="nil"/>
            </w:tcBorders>
            <w:shd w:val="clear" w:color="auto" w:fill="auto"/>
            <w:hideMark/>
          </w:tcPr>
          <w:p w14:paraId="5FC6F885" w14:textId="4DB4381E" w:rsidR="0057577C" w:rsidRDefault="0057577C" w:rsidP="0050385D">
            <w:pPr>
              <w:jc w:val="center"/>
              <w:rPr>
                <w:color w:val="000000"/>
                <w:sz w:val="20"/>
                <w:szCs w:val="20"/>
              </w:rPr>
            </w:pPr>
            <w:r w:rsidRPr="00024AC6">
              <w:rPr>
                <w:color w:val="000000"/>
                <w:sz w:val="20"/>
                <w:szCs w:val="20"/>
              </w:rPr>
              <w:t>(</w:t>
            </w:r>
            <w:r>
              <w:rPr>
                <w:color w:val="000000"/>
                <w:sz w:val="20"/>
                <w:szCs w:val="20"/>
              </w:rPr>
              <w:t>8</w:t>
            </w:r>
            <w:r w:rsidRPr="00024AC6">
              <w:rPr>
                <w:color w:val="000000"/>
                <w:sz w:val="20"/>
                <w:szCs w:val="20"/>
              </w:rPr>
              <w:t>)</w:t>
            </w:r>
          </w:p>
        </w:tc>
      </w:tr>
      <w:tr w:rsidR="0057577C" w14:paraId="1D77C619" w14:textId="77777777" w:rsidTr="00922ABE">
        <w:trPr>
          <w:trHeight w:val="563"/>
        </w:trPr>
        <w:tc>
          <w:tcPr>
            <w:tcW w:w="1694" w:type="dxa"/>
            <w:tcBorders>
              <w:top w:val="nil"/>
              <w:left w:val="nil"/>
              <w:bottom w:val="single" w:sz="8" w:space="0" w:color="auto"/>
              <w:right w:val="nil"/>
            </w:tcBorders>
            <w:shd w:val="clear" w:color="auto" w:fill="auto"/>
            <w:vAlign w:val="center"/>
            <w:hideMark/>
          </w:tcPr>
          <w:p w14:paraId="76915275" w14:textId="77777777" w:rsidR="0057577C" w:rsidRDefault="0057577C">
            <w:pPr>
              <w:jc w:val="center"/>
              <w:rPr>
                <w:b/>
                <w:bCs/>
                <w:color w:val="000000"/>
                <w:sz w:val="20"/>
                <w:szCs w:val="20"/>
              </w:rPr>
            </w:pPr>
            <w:r>
              <w:rPr>
                <w:b/>
                <w:bCs/>
                <w:color w:val="000000"/>
                <w:sz w:val="20"/>
                <w:szCs w:val="20"/>
              </w:rPr>
              <w:t>Dependent Variable</w:t>
            </w:r>
          </w:p>
        </w:tc>
        <w:tc>
          <w:tcPr>
            <w:tcW w:w="4764" w:type="dxa"/>
            <w:gridSpan w:val="4"/>
            <w:tcBorders>
              <w:top w:val="single" w:sz="8" w:space="0" w:color="auto"/>
              <w:left w:val="nil"/>
              <w:bottom w:val="single" w:sz="8" w:space="0" w:color="auto"/>
              <w:right w:val="nil"/>
            </w:tcBorders>
            <w:shd w:val="clear" w:color="auto" w:fill="auto"/>
            <w:vAlign w:val="center"/>
            <w:hideMark/>
          </w:tcPr>
          <w:p w14:paraId="40153722" w14:textId="77777777" w:rsidR="0057577C" w:rsidRDefault="0057577C">
            <w:pPr>
              <w:jc w:val="center"/>
              <w:rPr>
                <w:b/>
                <w:bCs/>
                <w:color w:val="000000"/>
                <w:sz w:val="20"/>
                <w:szCs w:val="20"/>
              </w:rPr>
            </w:pPr>
            <w:r>
              <w:rPr>
                <w:b/>
                <w:bCs/>
                <w:color w:val="000000"/>
                <w:sz w:val="20"/>
                <w:szCs w:val="20"/>
              </w:rPr>
              <w:t>Smoker</w:t>
            </w:r>
          </w:p>
        </w:tc>
        <w:tc>
          <w:tcPr>
            <w:tcW w:w="5059" w:type="dxa"/>
            <w:gridSpan w:val="4"/>
            <w:tcBorders>
              <w:top w:val="single" w:sz="8" w:space="0" w:color="auto"/>
              <w:left w:val="nil"/>
              <w:bottom w:val="single" w:sz="8" w:space="0" w:color="auto"/>
              <w:right w:val="nil"/>
            </w:tcBorders>
            <w:shd w:val="clear" w:color="auto" w:fill="auto"/>
            <w:vAlign w:val="center"/>
            <w:hideMark/>
          </w:tcPr>
          <w:p w14:paraId="08F0EB19" w14:textId="77777777" w:rsidR="0057577C" w:rsidRDefault="0057577C">
            <w:pPr>
              <w:jc w:val="center"/>
              <w:rPr>
                <w:b/>
                <w:bCs/>
                <w:color w:val="000000"/>
                <w:sz w:val="20"/>
                <w:szCs w:val="20"/>
              </w:rPr>
            </w:pPr>
            <w:r>
              <w:rPr>
                <w:b/>
                <w:bCs/>
                <w:color w:val="000000"/>
                <w:sz w:val="20"/>
                <w:szCs w:val="20"/>
              </w:rPr>
              <w:t>No. of Cigarettes</w:t>
            </w:r>
          </w:p>
        </w:tc>
      </w:tr>
      <w:tr w:rsidR="0057577C" w14:paraId="77B74F5C" w14:textId="77777777" w:rsidTr="00922ABE">
        <w:trPr>
          <w:trHeight w:val="563"/>
        </w:trPr>
        <w:tc>
          <w:tcPr>
            <w:tcW w:w="1694" w:type="dxa"/>
            <w:tcBorders>
              <w:top w:val="nil"/>
              <w:left w:val="nil"/>
              <w:bottom w:val="nil"/>
              <w:right w:val="nil"/>
            </w:tcBorders>
            <w:shd w:val="clear" w:color="auto" w:fill="auto"/>
            <w:vAlign w:val="bottom"/>
            <w:hideMark/>
          </w:tcPr>
          <w:p w14:paraId="16F76069" w14:textId="77777777" w:rsidR="0057577C" w:rsidRDefault="0057577C">
            <w:pPr>
              <w:jc w:val="center"/>
              <w:rPr>
                <w:b/>
                <w:bCs/>
                <w:color w:val="000000"/>
                <w:sz w:val="20"/>
                <w:szCs w:val="20"/>
              </w:rPr>
            </w:pPr>
          </w:p>
        </w:tc>
        <w:tc>
          <w:tcPr>
            <w:tcW w:w="1388" w:type="dxa"/>
            <w:tcBorders>
              <w:top w:val="nil"/>
              <w:left w:val="nil"/>
              <w:bottom w:val="single" w:sz="8" w:space="0" w:color="auto"/>
              <w:right w:val="nil"/>
            </w:tcBorders>
            <w:shd w:val="clear" w:color="auto" w:fill="auto"/>
            <w:vAlign w:val="center"/>
            <w:hideMark/>
          </w:tcPr>
          <w:p w14:paraId="2B3A5FE2" w14:textId="77777777" w:rsidR="0057577C" w:rsidRDefault="0057577C">
            <w:pPr>
              <w:jc w:val="center"/>
              <w:rPr>
                <w:color w:val="000000"/>
                <w:sz w:val="20"/>
                <w:szCs w:val="20"/>
              </w:rPr>
            </w:pPr>
            <w:r>
              <w:rPr>
                <w:color w:val="000000"/>
                <w:sz w:val="20"/>
                <w:szCs w:val="20"/>
              </w:rPr>
              <w:t>Full Sample</w:t>
            </w:r>
          </w:p>
        </w:tc>
        <w:tc>
          <w:tcPr>
            <w:tcW w:w="1105" w:type="dxa"/>
            <w:tcBorders>
              <w:top w:val="nil"/>
              <w:left w:val="nil"/>
              <w:bottom w:val="single" w:sz="8" w:space="0" w:color="auto"/>
              <w:right w:val="nil"/>
            </w:tcBorders>
            <w:shd w:val="clear" w:color="auto" w:fill="auto"/>
            <w:vAlign w:val="center"/>
            <w:hideMark/>
          </w:tcPr>
          <w:p w14:paraId="797D1C5E" w14:textId="77777777" w:rsidR="0057577C" w:rsidRDefault="0057577C">
            <w:pPr>
              <w:jc w:val="center"/>
              <w:rPr>
                <w:color w:val="000000"/>
                <w:sz w:val="20"/>
                <w:szCs w:val="20"/>
              </w:rPr>
            </w:pPr>
            <w:r>
              <w:rPr>
                <w:color w:val="000000"/>
                <w:sz w:val="20"/>
                <w:szCs w:val="20"/>
              </w:rPr>
              <w:t>Hooked Generation</w:t>
            </w:r>
          </w:p>
        </w:tc>
        <w:tc>
          <w:tcPr>
            <w:tcW w:w="1105" w:type="dxa"/>
            <w:tcBorders>
              <w:top w:val="nil"/>
              <w:left w:val="nil"/>
              <w:bottom w:val="single" w:sz="8" w:space="0" w:color="auto"/>
              <w:right w:val="nil"/>
            </w:tcBorders>
            <w:shd w:val="clear" w:color="auto" w:fill="auto"/>
            <w:vAlign w:val="center"/>
            <w:hideMark/>
          </w:tcPr>
          <w:p w14:paraId="4FB635FD" w14:textId="77777777" w:rsidR="0057577C" w:rsidRDefault="0057577C">
            <w:pPr>
              <w:jc w:val="center"/>
              <w:rPr>
                <w:color w:val="000000"/>
                <w:sz w:val="20"/>
                <w:szCs w:val="20"/>
              </w:rPr>
            </w:pPr>
            <w:r>
              <w:rPr>
                <w:color w:val="000000"/>
                <w:sz w:val="20"/>
                <w:szCs w:val="20"/>
              </w:rPr>
              <w:t>Middle Generation</w:t>
            </w:r>
          </w:p>
        </w:tc>
        <w:tc>
          <w:tcPr>
            <w:tcW w:w="1166" w:type="dxa"/>
            <w:tcBorders>
              <w:top w:val="nil"/>
              <w:left w:val="nil"/>
              <w:bottom w:val="single" w:sz="8" w:space="0" w:color="auto"/>
              <w:right w:val="nil"/>
            </w:tcBorders>
            <w:shd w:val="clear" w:color="auto" w:fill="auto"/>
            <w:vAlign w:val="center"/>
            <w:hideMark/>
          </w:tcPr>
          <w:p w14:paraId="1C41FDDC" w14:textId="77777777" w:rsidR="0057577C" w:rsidRDefault="0057577C">
            <w:pPr>
              <w:jc w:val="center"/>
              <w:rPr>
                <w:color w:val="000000"/>
                <w:sz w:val="20"/>
                <w:szCs w:val="20"/>
              </w:rPr>
            </w:pPr>
            <w:r>
              <w:rPr>
                <w:color w:val="000000"/>
                <w:sz w:val="20"/>
                <w:szCs w:val="20"/>
              </w:rPr>
              <w:t>Informed Generation</w:t>
            </w:r>
          </w:p>
        </w:tc>
        <w:tc>
          <w:tcPr>
            <w:tcW w:w="1066" w:type="dxa"/>
            <w:tcBorders>
              <w:top w:val="nil"/>
              <w:left w:val="nil"/>
              <w:bottom w:val="single" w:sz="8" w:space="0" w:color="auto"/>
              <w:right w:val="nil"/>
            </w:tcBorders>
            <w:shd w:val="clear" w:color="auto" w:fill="auto"/>
            <w:vAlign w:val="center"/>
            <w:hideMark/>
          </w:tcPr>
          <w:p w14:paraId="2AB49752" w14:textId="77777777" w:rsidR="0057577C" w:rsidRDefault="0057577C">
            <w:pPr>
              <w:jc w:val="center"/>
              <w:rPr>
                <w:color w:val="000000"/>
                <w:sz w:val="20"/>
                <w:szCs w:val="20"/>
              </w:rPr>
            </w:pPr>
            <w:r>
              <w:rPr>
                <w:color w:val="000000"/>
                <w:sz w:val="20"/>
                <w:szCs w:val="20"/>
              </w:rPr>
              <w:t>Full Sample</w:t>
            </w:r>
          </w:p>
        </w:tc>
        <w:tc>
          <w:tcPr>
            <w:tcW w:w="1266" w:type="dxa"/>
            <w:tcBorders>
              <w:top w:val="nil"/>
              <w:left w:val="nil"/>
              <w:bottom w:val="single" w:sz="8" w:space="0" w:color="auto"/>
              <w:right w:val="nil"/>
            </w:tcBorders>
            <w:shd w:val="clear" w:color="auto" w:fill="auto"/>
            <w:vAlign w:val="center"/>
            <w:hideMark/>
          </w:tcPr>
          <w:p w14:paraId="6D1DF9AE" w14:textId="77777777" w:rsidR="0057577C" w:rsidRDefault="0057577C">
            <w:pPr>
              <w:jc w:val="center"/>
              <w:rPr>
                <w:color w:val="000000"/>
                <w:sz w:val="20"/>
                <w:szCs w:val="20"/>
              </w:rPr>
            </w:pPr>
            <w:r>
              <w:rPr>
                <w:color w:val="000000"/>
                <w:sz w:val="20"/>
                <w:szCs w:val="20"/>
              </w:rPr>
              <w:t>Hooked Generation</w:t>
            </w:r>
          </w:p>
        </w:tc>
        <w:tc>
          <w:tcPr>
            <w:tcW w:w="1266" w:type="dxa"/>
            <w:tcBorders>
              <w:top w:val="nil"/>
              <w:left w:val="nil"/>
              <w:bottom w:val="single" w:sz="8" w:space="0" w:color="auto"/>
              <w:right w:val="nil"/>
            </w:tcBorders>
            <w:shd w:val="clear" w:color="auto" w:fill="auto"/>
            <w:vAlign w:val="center"/>
            <w:hideMark/>
          </w:tcPr>
          <w:p w14:paraId="320080B2" w14:textId="77777777" w:rsidR="0057577C" w:rsidRDefault="0057577C">
            <w:pPr>
              <w:jc w:val="center"/>
              <w:rPr>
                <w:color w:val="000000"/>
                <w:sz w:val="20"/>
                <w:szCs w:val="20"/>
              </w:rPr>
            </w:pPr>
            <w:r>
              <w:rPr>
                <w:color w:val="000000"/>
                <w:sz w:val="20"/>
                <w:szCs w:val="20"/>
              </w:rPr>
              <w:t>Middle Generation</w:t>
            </w:r>
          </w:p>
        </w:tc>
        <w:tc>
          <w:tcPr>
            <w:tcW w:w="1461" w:type="dxa"/>
            <w:tcBorders>
              <w:top w:val="nil"/>
              <w:left w:val="nil"/>
              <w:bottom w:val="single" w:sz="8" w:space="0" w:color="auto"/>
              <w:right w:val="nil"/>
            </w:tcBorders>
            <w:shd w:val="clear" w:color="auto" w:fill="auto"/>
            <w:vAlign w:val="center"/>
            <w:hideMark/>
          </w:tcPr>
          <w:p w14:paraId="58560980" w14:textId="77777777" w:rsidR="0057577C" w:rsidRDefault="0057577C">
            <w:pPr>
              <w:jc w:val="center"/>
              <w:rPr>
                <w:color w:val="000000"/>
                <w:sz w:val="20"/>
                <w:szCs w:val="20"/>
              </w:rPr>
            </w:pPr>
            <w:r>
              <w:rPr>
                <w:color w:val="000000"/>
                <w:sz w:val="20"/>
                <w:szCs w:val="20"/>
              </w:rPr>
              <w:t>Informed Generation</w:t>
            </w:r>
          </w:p>
        </w:tc>
      </w:tr>
      <w:tr w:rsidR="0057577C" w14:paraId="4CAAE17C" w14:textId="77777777" w:rsidTr="00922ABE">
        <w:trPr>
          <w:trHeight w:val="272"/>
        </w:trPr>
        <w:tc>
          <w:tcPr>
            <w:tcW w:w="1694" w:type="dxa"/>
            <w:tcBorders>
              <w:top w:val="single" w:sz="8" w:space="0" w:color="auto"/>
              <w:left w:val="nil"/>
              <w:bottom w:val="nil"/>
              <w:right w:val="nil"/>
            </w:tcBorders>
            <w:shd w:val="clear" w:color="auto" w:fill="auto"/>
            <w:vAlign w:val="center"/>
            <w:hideMark/>
          </w:tcPr>
          <w:p w14:paraId="4E6C70C9" w14:textId="77777777" w:rsidR="0057577C" w:rsidRDefault="0057577C">
            <w:pPr>
              <w:rPr>
                <w:b/>
                <w:bCs/>
                <w:color w:val="000000"/>
                <w:sz w:val="20"/>
                <w:szCs w:val="20"/>
              </w:rPr>
            </w:pPr>
            <w:r>
              <w:rPr>
                <w:b/>
                <w:bCs/>
                <w:color w:val="000000"/>
                <w:sz w:val="20"/>
                <w:szCs w:val="20"/>
              </w:rPr>
              <w:t>Big Five</w:t>
            </w:r>
          </w:p>
        </w:tc>
        <w:tc>
          <w:tcPr>
            <w:tcW w:w="1388" w:type="dxa"/>
            <w:tcBorders>
              <w:top w:val="nil"/>
              <w:left w:val="nil"/>
              <w:bottom w:val="nil"/>
              <w:right w:val="nil"/>
            </w:tcBorders>
            <w:shd w:val="clear" w:color="auto" w:fill="auto"/>
            <w:noWrap/>
            <w:vAlign w:val="center"/>
            <w:hideMark/>
          </w:tcPr>
          <w:p w14:paraId="312FAC4E" w14:textId="77777777" w:rsidR="0057577C" w:rsidRDefault="0057577C">
            <w:pPr>
              <w:jc w:val="cente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0CF20BA6" w14:textId="77777777" w:rsidR="0057577C" w:rsidRDefault="0057577C">
            <w:pPr>
              <w:jc w:val="center"/>
              <w:rPr>
                <w:color w:val="000000"/>
                <w:sz w:val="20"/>
                <w:szCs w:val="20"/>
              </w:rPr>
            </w:pPr>
          </w:p>
        </w:tc>
        <w:tc>
          <w:tcPr>
            <w:tcW w:w="1105" w:type="dxa"/>
            <w:tcBorders>
              <w:top w:val="nil"/>
              <w:left w:val="nil"/>
              <w:bottom w:val="nil"/>
              <w:right w:val="nil"/>
            </w:tcBorders>
            <w:shd w:val="clear" w:color="auto" w:fill="auto"/>
            <w:noWrap/>
            <w:vAlign w:val="center"/>
            <w:hideMark/>
          </w:tcPr>
          <w:p w14:paraId="3CB59494" w14:textId="77777777" w:rsidR="0057577C" w:rsidRDefault="0057577C">
            <w:pPr>
              <w:jc w:val="center"/>
              <w:rPr>
                <w:sz w:val="20"/>
                <w:szCs w:val="20"/>
              </w:rPr>
            </w:pPr>
          </w:p>
        </w:tc>
        <w:tc>
          <w:tcPr>
            <w:tcW w:w="1166" w:type="dxa"/>
            <w:tcBorders>
              <w:top w:val="nil"/>
              <w:left w:val="nil"/>
              <w:bottom w:val="nil"/>
              <w:right w:val="nil"/>
            </w:tcBorders>
            <w:shd w:val="clear" w:color="auto" w:fill="auto"/>
            <w:noWrap/>
            <w:vAlign w:val="center"/>
            <w:hideMark/>
          </w:tcPr>
          <w:p w14:paraId="1D11D13A" w14:textId="77777777" w:rsidR="0057577C" w:rsidRDefault="0057577C">
            <w:pPr>
              <w:jc w:val="center"/>
              <w:rPr>
                <w:sz w:val="20"/>
                <w:szCs w:val="20"/>
              </w:rPr>
            </w:pPr>
          </w:p>
        </w:tc>
        <w:tc>
          <w:tcPr>
            <w:tcW w:w="1066" w:type="dxa"/>
            <w:tcBorders>
              <w:top w:val="nil"/>
              <w:left w:val="nil"/>
              <w:bottom w:val="nil"/>
              <w:right w:val="nil"/>
            </w:tcBorders>
            <w:shd w:val="clear" w:color="auto" w:fill="auto"/>
            <w:noWrap/>
            <w:vAlign w:val="center"/>
            <w:hideMark/>
          </w:tcPr>
          <w:p w14:paraId="4F946148" w14:textId="77777777" w:rsidR="0057577C" w:rsidRDefault="0057577C">
            <w:pPr>
              <w:jc w:val="center"/>
              <w:rPr>
                <w:sz w:val="20"/>
                <w:szCs w:val="20"/>
              </w:rPr>
            </w:pPr>
          </w:p>
        </w:tc>
        <w:tc>
          <w:tcPr>
            <w:tcW w:w="1266" w:type="dxa"/>
            <w:tcBorders>
              <w:top w:val="nil"/>
              <w:left w:val="nil"/>
              <w:bottom w:val="nil"/>
              <w:right w:val="nil"/>
            </w:tcBorders>
            <w:shd w:val="clear" w:color="auto" w:fill="auto"/>
            <w:noWrap/>
            <w:vAlign w:val="center"/>
            <w:hideMark/>
          </w:tcPr>
          <w:p w14:paraId="0A64DE60" w14:textId="77777777" w:rsidR="0057577C" w:rsidRDefault="0057577C">
            <w:pPr>
              <w:jc w:val="center"/>
              <w:rPr>
                <w:sz w:val="20"/>
                <w:szCs w:val="20"/>
              </w:rPr>
            </w:pPr>
          </w:p>
        </w:tc>
        <w:tc>
          <w:tcPr>
            <w:tcW w:w="1266" w:type="dxa"/>
            <w:tcBorders>
              <w:top w:val="nil"/>
              <w:left w:val="nil"/>
              <w:bottom w:val="nil"/>
              <w:right w:val="nil"/>
            </w:tcBorders>
            <w:shd w:val="clear" w:color="auto" w:fill="auto"/>
            <w:noWrap/>
            <w:vAlign w:val="center"/>
            <w:hideMark/>
          </w:tcPr>
          <w:p w14:paraId="5AB3CCD5" w14:textId="77777777" w:rsidR="0057577C" w:rsidRDefault="0057577C">
            <w:pPr>
              <w:jc w:val="center"/>
              <w:rPr>
                <w:sz w:val="20"/>
                <w:szCs w:val="20"/>
              </w:rPr>
            </w:pPr>
          </w:p>
        </w:tc>
        <w:tc>
          <w:tcPr>
            <w:tcW w:w="1461" w:type="dxa"/>
            <w:tcBorders>
              <w:top w:val="nil"/>
              <w:left w:val="nil"/>
              <w:bottom w:val="nil"/>
              <w:right w:val="nil"/>
            </w:tcBorders>
            <w:shd w:val="clear" w:color="auto" w:fill="auto"/>
            <w:noWrap/>
            <w:vAlign w:val="center"/>
            <w:hideMark/>
          </w:tcPr>
          <w:p w14:paraId="3EC5FDEA" w14:textId="77777777" w:rsidR="0057577C" w:rsidRDefault="0057577C">
            <w:pPr>
              <w:jc w:val="center"/>
              <w:rPr>
                <w:sz w:val="20"/>
                <w:szCs w:val="20"/>
              </w:rPr>
            </w:pPr>
          </w:p>
        </w:tc>
      </w:tr>
      <w:tr w:rsidR="0057577C" w14:paraId="72D11DC1" w14:textId="77777777" w:rsidTr="00922ABE">
        <w:trPr>
          <w:trHeight w:val="545"/>
        </w:trPr>
        <w:tc>
          <w:tcPr>
            <w:tcW w:w="1694" w:type="dxa"/>
            <w:tcBorders>
              <w:top w:val="nil"/>
              <w:left w:val="nil"/>
              <w:bottom w:val="nil"/>
              <w:right w:val="nil"/>
            </w:tcBorders>
            <w:shd w:val="clear" w:color="auto" w:fill="auto"/>
            <w:vAlign w:val="center"/>
            <w:hideMark/>
          </w:tcPr>
          <w:p w14:paraId="529925F7" w14:textId="77777777" w:rsidR="0057577C" w:rsidRDefault="0057577C">
            <w:pPr>
              <w:jc w:val="center"/>
              <w:rPr>
                <w:color w:val="000000"/>
                <w:sz w:val="20"/>
                <w:szCs w:val="20"/>
              </w:rPr>
            </w:pPr>
            <w:r>
              <w:rPr>
                <w:color w:val="000000"/>
                <w:sz w:val="20"/>
                <w:szCs w:val="20"/>
              </w:rPr>
              <w:t>Conscientiousness</w:t>
            </w:r>
          </w:p>
        </w:tc>
        <w:tc>
          <w:tcPr>
            <w:tcW w:w="1388" w:type="dxa"/>
            <w:tcBorders>
              <w:top w:val="nil"/>
              <w:left w:val="nil"/>
              <w:bottom w:val="nil"/>
              <w:right w:val="nil"/>
            </w:tcBorders>
            <w:shd w:val="clear" w:color="auto" w:fill="auto"/>
            <w:noWrap/>
            <w:vAlign w:val="center"/>
            <w:hideMark/>
          </w:tcPr>
          <w:p w14:paraId="58525F5A" w14:textId="77777777" w:rsidR="0057577C" w:rsidRDefault="0057577C">
            <w:pPr>
              <w:jc w:val="center"/>
              <w:rPr>
                <w:color w:val="000000"/>
                <w:sz w:val="20"/>
                <w:szCs w:val="20"/>
              </w:rPr>
            </w:pPr>
            <w:r>
              <w:rPr>
                <w:color w:val="000000"/>
                <w:sz w:val="20"/>
                <w:szCs w:val="20"/>
              </w:rPr>
              <w:t>-0.01</w:t>
            </w:r>
          </w:p>
        </w:tc>
        <w:tc>
          <w:tcPr>
            <w:tcW w:w="1105" w:type="dxa"/>
            <w:tcBorders>
              <w:top w:val="nil"/>
              <w:left w:val="nil"/>
              <w:bottom w:val="nil"/>
              <w:right w:val="nil"/>
            </w:tcBorders>
            <w:shd w:val="clear" w:color="auto" w:fill="auto"/>
            <w:noWrap/>
            <w:vAlign w:val="center"/>
            <w:hideMark/>
          </w:tcPr>
          <w:p w14:paraId="6B20EBBD" w14:textId="77777777" w:rsidR="0057577C" w:rsidRDefault="0057577C">
            <w:pPr>
              <w:jc w:val="center"/>
              <w:rPr>
                <w:color w:val="000000"/>
                <w:sz w:val="20"/>
                <w:szCs w:val="20"/>
              </w:rPr>
            </w:pPr>
            <w:r>
              <w:rPr>
                <w:color w:val="000000"/>
                <w:sz w:val="20"/>
                <w:szCs w:val="20"/>
              </w:rPr>
              <w:t>0.001</w:t>
            </w:r>
          </w:p>
        </w:tc>
        <w:tc>
          <w:tcPr>
            <w:tcW w:w="1105" w:type="dxa"/>
            <w:tcBorders>
              <w:top w:val="nil"/>
              <w:left w:val="nil"/>
              <w:bottom w:val="nil"/>
              <w:right w:val="nil"/>
            </w:tcBorders>
            <w:shd w:val="clear" w:color="auto" w:fill="auto"/>
            <w:noWrap/>
            <w:vAlign w:val="center"/>
            <w:hideMark/>
          </w:tcPr>
          <w:p w14:paraId="6900AF03" w14:textId="77777777" w:rsidR="0057577C" w:rsidRDefault="0057577C">
            <w:pPr>
              <w:jc w:val="center"/>
              <w:rPr>
                <w:color w:val="000000"/>
                <w:sz w:val="20"/>
                <w:szCs w:val="20"/>
              </w:rPr>
            </w:pPr>
            <w:r>
              <w:rPr>
                <w:color w:val="000000"/>
                <w:sz w:val="20"/>
                <w:szCs w:val="20"/>
              </w:rPr>
              <w:t>-0.016</w:t>
            </w:r>
          </w:p>
        </w:tc>
        <w:tc>
          <w:tcPr>
            <w:tcW w:w="1166" w:type="dxa"/>
            <w:tcBorders>
              <w:top w:val="nil"/>
              <w:left w:val="nil"/>
              <w:bottom w:val="nil"/>
              <w:right w:val="nil"/>
            </w:tcBorders>
            <w:shd w:val="clear" w:color="auto" w:fill="auto"/>
            <w:noWrap/>
            <w:vAlign w:val="center"/>
            <w:hideMark/>
          </w:tcPr>
          <w:p w14:paraId="5A4701F2" w14:textId="2CC651B7" w:rsidR="0057577C" w:rsidRDefault="0057577C">
            <w:pPr>
              <w:jc w:val="center"/>
              <w:rPr>
                <w:color w:val="000000"/>
                <w:sz w:val="20"/>
                <w:szCs w:val="20"/>
              </w:rPr>
            </w:pPr>
            <w:r>
              <w:rPr>
                <w:color w:val="000000"/>
                <w:sz w:val="20"/>
                <w:szCs w:val="20"/>
              </w:rPr>
              <w:t>-0.02</w:t>
            </w:r>
            <w:r w:rsidR="00380B4D">
              <w:rPr>
                <w:color w:val="000000"/>
                <w:sz w:val="20"/>
                <w:szCs w:val="20"/>
              </w:rPr>
              <w:t>8</w:t>
            </w:r>
          </w:p>
        </w:tc>
        <w:tc>
          <w:tcPr>
            <w:tcW w:w="1066" w:type="dxa"/>
            <w:tcBorders>
              <w:top w:val="nil"/>
              <w:left w:val="nil"/>
              <w:bottom w:val="nil"/>
              <w:right w:val="nil"/>
            </w:tcBorders>
            <w:shd w:val="clear" w:color="auto" w:fill="auto"/>
            <w:noWrap/>
            <w:vAlign w:val="center"/>
            <w:hideMark/>
          </w:tcPr>
          <w:p w14:paraId="7122846B" w14:textId="62398B60" w:rsidR="0057577C" w:rsidRDefault="0057577C">
            <w:pPr>
              <w:jc w:val="center"/>
              <w:rPr>
                <w:color w:val="000000"/>
                <w:sz w:val="20"/>
                <w:szCs w:val="20"/>
              </w:rPr>
            </w:pPr>
            <w:r>
              <w:rPr>
                <w:color w:val="000000"/>
                <w:sz w:val="20"/>
                <w:szCs w:val="20"/>
              </w:rPr>
              <w:t>-0.136</w:t>
            </w:r>
          </w:p>
        </w:tc>
        <w:tc>
          <w:tcPr>
            <w:tcW w:w="1266" w:type="dxa"/>
            <w:tcBorders>
              <w:top w:val="nil"/>
              <w:left w:val="nil"/>
              <w:bottom w:val="nil"/>
              <w:right w:val="nil"/>
            </w:tcBorders>
            <w:shd w:val="clear" w:color="auto" w:fill="auto"/>
            <w:noWrap/>
            <w:vAlign w:val="center"/>
            <w:hideMark/>
          </w:tcPr>
          <w:p w14:paraId="543EDF1A" w14:textId="1F8DC658" w:rsidR="0057577C" w:rsidRDefault="0057577C">
            <w:pPr>
              <w:jc w:val="center"/>
              <w:rPr>
                <w:color w:val="000000"/>
                <w:sz w:val="20"/>
                <w:szCs w:val="20"/>
              </w:rPr>
            </w:pPr>
            <w:r>
              <w:rPr>
                <w:color w:val="000000"/>
                <w:sz w:val="20"/>
                <w:szCs w:val="20"/>
              </w:rPr>
              <w:t>-0.</w:t>
            </w:r>
            <w:r w:rsidR="00380B4D">
              <w:rPr>
                <w:color w:val="000000"/>
                <w:sz w:val="20"/>
                <w:szCs w:val="20"/>
              </w:rPr>
              <w:t>576</w:t>
            </w:r>
          </w:p>
        </w:tc>
        <w:tc>
          <w:tcPr>
            <w:tcW w:w="1266" w:type="dxa"/>
            <w:tcBorders>
              <w:top w:val="nil"/>
              <w:left w:val="nil"/>
              <w:bottom w:val="nil"/>
              <w:right w:val="nil"/>
            </w:tcBorders>
            <w:shd w:val="clear" w:color="auto" w:fill="auto"/>
            <w:noWrap/>
            <w:vAlign w:val="center"/>
            <w:hideMark/>
          </w:tcPr>
          <w:p w14:paraId="0B01C762" w14:textId="7125DF0A" w:rsidR="0057577C" w:rsidRDefault="0057577C">
            <w:pPr>
              <w:jc w:val="center"/>
              <w:rPr>
                <w:color w:val="000000"/>
                <w:sz w:val="20"/>
                <w:szCs w:val="20"/>
              </w:rPr>
            </w:pPr>
            <w:r>
              <w:rPr>
                <w:color w:val="000000"/>
                <w:sz w:val="20"/>
                <w:szCs w:val="20"/>
              </w:rPr>
              <w:t>0.0</w:t>
            </w:r>
            <w:r w:rsidR="00380B4D">
              <w:rPr>
                <w:color w:val="000000"/>
                <w:sz w:val="20"/>
                <w:szCs w:val="20"/>
              </w:rPr>
              <w:t>353</w:t>
            </w:r>
          </w:p>
        </w:tc>
        <w:tc>
          <w:tcPr>
            <w:tcW w:w="1461" w:type="dxa"/>
            <w:tcBorders>
              <w:top w:val="nil"/>
              <w:left w:val="nil"/>
              <w:bottom w:val="nil"/>
              <w:right w:val="nil"/>
            </w:tcBorders>
            <w:shd w:val="clear" w:color="auto" w:fill="auto"/>
            <w:noWrap/>
            <w:vAlign w:val="center"/>
            <w:hideMark/>
          </w:tcPr>
          <w:p w14:paraId="5E4AB365" w14:textId="54EA786B" w:rsidR="0057577C" w:rsidRDefault="0057577C">
            <w:pPr>
              <w:jc w:val="center"/>
              <w:rPr>
                <w:color w:val="000000"/>
                <w:sz w:val="20"/>
                <w:szCs w:val="20"/>
              </w:rPr>
            </w:pPr>
            <w:r>
              <w:rPr>
                <w:color w:val="000000"/>
                <w:sz w:val="20"/>
                <w:szCs w:val="20"/>
              </w:rPr>
              <w:t>0.</w:t>
            </w:r>
            <w:r w:rsidR="00380B4D">
              <w:rPr>
                <w:color w:val="000000"/>
                <w:sz w:val="20"/>
                <w:szCs w:val="20"/>
              </w:rPr>
              <w:t>101</w:t>
            </w:r>
          </w:p>
        </w:tc>
      </w:tr>
      <w:tr w:rsidR="0057577C" w14:paraId="43AE65B7" w14:textId="77777777" w:rsidTr="00922ABE">
        <w:trPr>
          <w:trHeight w:val="310"/>
        </w:trPr>
        <w:tc>
          <w:tcPr>
            <w:tcW w:w="1694" w:type="dxa"/>
            <w:tcBorders>
              <w:top w:val="nil"/>
              <w:left w:val="nil"/>
              <w:bottom w:val="nil"/>
              <w:right w:val="nil"/>
            </w:tcBorders>
            <w:shd w:val="clear" w:color="auto" w:fill="auto"/>
            <w:vAlign w:val="bottom"/>
            <w:hideMark/>
          </w:tcPr>
          <w:p w14:paraId="5B6F5CD0" w14:textId="77777777" w:rsidR="0057577C" w:rsidRDefault="0057577C">
            <w:pPr>
              <w:jc w:val="center"/>
              <w:rPr>
                <w:color w:val="000000"/>
                <w:sz w:val="20"/>
                <w:szCs w:val="20"/>
              </w:rPr>
            </w:pPr>
          </w:p>
        </w:tc>
        <w:tc>
          <w:tcPr>
            <w:tcW w:w="1388" w:type="dxa"/>
            <w:tcBorders>
              <w:top w:val="nil"/>
              <w:left w:val="nil"/>
              <w:bottom w:val="nil"/>
              <w:right w:val="nil"/>
            </w:tcBorders>
            <w:shd w:val="clear" w:color="auto" w:fill="auto"/>
            <w:noWrap/>
            <w:vAlign w:val="center"/>
            <w:hideMark/>
          </w:tcPr>
          <w:p w14:paraId="5A488063" w14:textId="421A8F64" w:rsidR="0057577C" w:rsidRDefault="0057577C">
            <w:pPr>
              <w:jc w:val="center"/>
              <w:rPr>
                <w:color w:val="000000"/>
                <w:sz w:val="20"/>
                <w:szCs w:val="20"/>
              </w:rPr>
            </w:pPr>
            <w:r>
              <w:rPr>
                <w:color w:val="000000"/>
                <w:sz w:val="20"/>
                <w:szCs w:val="20"/>
              </w:rPr>
              <w:t>(0.00</w:t>
            </w:r>
            <w:r w:rsidR="00380B4D">
              <w:rPr>
                <w:color w:val="000000"/>
                <w:sz w:val="20"/>
                <w:szCs w:val="20"/>
              </w:rPr>
              <w:t>4</w:t>
            </w:r>
            <w:r>
              <w:rPr>
                <w:color w:val="000000"/>
                <w:sz w:val="20"/>
                <w:szCs w:val="20"/>
              </w:rPr>
              <w:t>)</w:t>
            </w:r>
          </w:p>
        </w:tc>
        <w:tc>
          <w:tcPr>
            <w:tcW w:w="1105" w:type="dxa"/>
            <w:tcBorders>
              <w:top w:val="nil"/>
              <w:left w:val="nil"/>
              <w:bottom w:val="nil"/>
              <w:right w:val="nil"/>
            </w:tcBorders>
            <w:shd w:val="clear" w:color="auto" w:fill="auto"/>
            <w:noWrap/>
            <w:vAlign w:val="center"/>
            <w:hideMark/>
          </w:tcPr>
          <w:p w14:paraId="2A72343A" w14:textId="0FFBC619"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05" w:type="dxa"/>
            <w:tcBorders>
              <w:top w:val="nil"/>
              <w:left w:val="nil"/>
              <w:bottom w:val="nil"/>
              <w:right w:val="nil"/>
            </w:tcBorders>
            <w:shd w:val="clear" w:color="auto" w:fill="auto"/>
            <w:noWrap/>
            <w:vAlign w:val="center"/>
            <w:hideMark/>
          </w:tcPr>
          <w:p w14:paraId="7A4A5BE0" w14:textId="48EB6D98"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7</w:t>
            </w:r>
            <w:r>
              <w:rPr>
                <w:color w:val="000000"/>
                <w:sz w:val="20"/>
                <w:szCs w:val="20"/>
              </w:rPr>
              <w:t>)</w:t>
            </w:r>
          </w:p>
        </w:tc>
        <w:tc>
          <w:tcPr>
            <w:tcW w:w="1166" w:type="dxa"/>
            <w:tcBorders>
              <w:top w:val="nil"/>
              <w:left w:val="nil"/>
              <w:bottom w:val="nil"/>
              <w:right w:val="nil"/>
            </w:tcBorders>
            <w:shd w:val="clear" w:color="auto" w:fill="auto"/>
            <w:noWrap/>
            <w:vAlign w:val="center"/>
            <w:hideMark/>
          </w:tcPr>
          <w:p w14:paraId="11B3932B" w14:textId="0AD8491F"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8</w:t>
            </w:r>
            <w:r>
              <w:rPr>
                <w:color w:val="000000"/>
                <w:sz w:val="20"/>
                <w:szCs w:val="20"/>
              </w:rPr>
              <w:t>)</w:t>
            </w:r>
          </w:p>
        </w:tc>
        <w:tc>
          <w:tcPr>
            <w:tcW w:w="1066" w:type="dxa"/>
            <w:tcBorders>
              <w:top w:val="nil"/>
              <w:left w:val="nil"/>
              <w:bottom w:val="nil"/>
              <w:right w:val="nil"/>
            </w:tcBorders>
            <w:shd w:val="clear" w:color="auto" w:fill="auto"/>
            <w:noWrap/>
            <w:vAlign w:val="center"/>
            <w:hideMark/>
          </w:tcPr>
          <w:p w14:paraId="31219697" w14:textId="54A4C78D" w:rsidR="0057577C" w:rsidRDefault="00CC1503">
            <w:pPr>
              <w:jc w:val="center"/>
              <w:rPr>
                <w:color w:val="000000"/>
                <w:sz w:val="20"/>
                <w:szCs w:val="20"/>
              </w:rPr>
            </w:pPr>
            <w:r>
              <w:rPr>
                <w:color w:val="000000"/>
                <w:sz w:val="20"/>
                <w:szCs w:val="20"/>
              </w:rPr>
              <w:t>(</w:t>
            </w:r>
            <w:r w:rsidR="0057577C">
              <w:rPr>
                <w:color w:val="000000"/>
                <w:sz w:val="20"/>
                <w:szCs w:val="20"/>
              </w:rPr>
              <w:t>0.047</w:t>
            </w:r>
            <w:r>
              <w:rPr>
                <w:color w:val="000000"/>
                <w:sz w:val="20"/>
                <w:szCs w:val="20"/>
              </w:rPr>
              <w:t>)</w:t>
            </w:r>
          </w:p>
        </w:tc>
        <w:tc>
          <w:tcPr>
            <w:tcW w:w="1266" w:type="dxa"/>
            <w:tcBorders>
              <w:top w:val="nil"/>
              <w:left w:val="nil"/>
              <w:bottom w:val="nil"/>
              <w:right w:val="nil"/>
            </w:tcBorders>
            <w:shd w:val="clear" w:color="auto" w:fill="auto"/>
            <w:noWrap/>
            <w:vAlign w:val="center"/>
            <w:hideMark/>
          </w:tcPr>
          <w:p w14:paraId="709ADAA5" w14:textId="701BA14B" w:rsidR="0057577C" w:rsidRDefault="00CC1503">
            <w:pPr>
              <w:jc w:val="center"/>
              <w:rPr>
                <w:color w:val="000000"/>
                <w:sz w:val="20"/>
                <w:szCs w:val="20"/>
              </w:rPr>
            </w:pPr>
            <w:r>
              <w:rPr>
                <w:color w:val="000000"/>
                <w:sz w:val="20"/>
                <w:szCs w:val="20"/>
              </w:rPr>
              <w:t>(</w:t>
            </w:r>
            <w:r w:rsidR="0057577C">
              <w:rPr>
                <w:color w:val="000000"/>
                <w:sz w:val="20"/>
                <w:szCs w:val="20"/>
              </w:rPr>
              <w:t>0.</w:t>
            </w:r>
            <w:r w:rsidR="00380B4D">
              <w:rPr>
                <w:color w:val="000000"/>
                <w:sz w:val="20"/>
                <w:szCs w:val="20"/>
              </w:rPr>
              <w:t>299</w:t>
            </w:r>
            <w:r>
              <w:rPr>
                <w:color w:val="000000"/>
                <w:sz w:val="20"/>
                <w:szCs w:val="20"/>
              </w:rPr>
              <w:t>)</w:t>
            </w:r>
          </w:p>
        </w:tc>
        <w:tc>
          <w:tcPr>
            <w:tcW w:w="1266" w:type="dxa"/>
            <w:tcBorders>
              <w:top w:val="nil"/>
              <w:left w:val="nil"/>
              <w:bottom w:val="nil"/>
              <w:right w:val="nil"/>
            </w:tcBorders>
            <w:shd w:val="clear" w:color="auto" w:fill="auto"/>
            <w:noWrap/>
            <w:vAlign w:val="center"/>
            <w:hideMark/>
          </w:tcPr>
          <w:p w14:paraId="7FC2EA31" w14:textId="42C18CF6" w:rsidR="0057577C" w:rsidRDefault="00CC1503">
            <w:pPr>
              <w:jc w:val="center"/>
              <w:rPr>
                <w:color w:val="000000"/>
                <w:sz w:val="20"/>
                <w:szCs w:val="20"/>
              </w:rPr>
            </w:pPr>
            <w:r>
              <w:rPr>
                <w:color w:val="000000"/>
                <w:sz w:val="20"/>
                <w:szCs w:val="20"/>
              </w:rPr>
              <w:t>(</w:t>
            </w:r>
            <w:r w:rsidR="0057577C">
              <w:rPr>
                <w:color w:val="000000"/>
                <w:sz w:val="20"/>
                <w:szCs w:val="20"/>
              </w:rPr>
              <w:t>0.</w:t>
            </w:r>
            <w:r w:rsidR="00380B4D">
              <w:rPr>
                <w:color w:val="000000"/>
                <w:sz w:val="20"/>
                <w:szCs w:val="20"/>
              </w:rPr>
              <w:t>225</w:t>
            </w:r>
            <w:r>
              <w:rPr>
                <w:color w:val="000000"/>
                <w:sz w:val="20"/>
                <w:szCs w:val="20"/>
              </w:rPr>
              <w:t>)</w:t>
            </w:r>
          </w:p>
        </w:tc>
        <w:tc>
          <w:tcPr>
            <w:tcW w:w="1461" w:type="dxa"/>
            <w:tcBorders>
              <w:top w:val="nil"/>
              <w:left w:val="nil"/>
              <w:bottom w:val="nil"/>
              <w:right w:val="nil"/>
            </w:tcBorders>
            <w:shd w:val="clear" w:color="auto" w:fill="auto"/>
            <w:noWrap/>
            <w:vAlign w:val="center"/>
            <w:hideMark/>
          </w:tcPr>
          <w:p w14:paraId="739F5C8C" w14:textId="2B84CC98" w:rsidR="0057577C" w:rsidRDefault="00CC1503">
            <w:pPr>
              <w:jc w:val="center"/>
              <w:rPr>
                <w:color w:val="000000"/>
                <w:sz w:val="20"/>
                <w:szCs w:val="20"/>
              </w:rPr>
            </w:pPr>
            <w:r>
              <w:rPr>
                <w:color w:val="000000"/>
                <w:sz w:val="20"/>
                <w:szCs w:val="20"/>
              </w:rPr>
              <w:t>(</w:t>
            </w:r>
            <w:r w:rsidR="0057577C">
              <w:rPr>
                <w:color w:val="000000"/>
                <w:sz w:val="20"/>
                <w:szCs w:val="20"/>
              </w:rPr>
              <w:t>0.</w:t>
            </w:r>
            <w:r w:rsidR="00380B4D">
              <w:rPr>
                <w:color w:val="000000"/>
                <w:sz w:val="20"/>
                <w:szCs w:val="20"/>
              </w:rPr>
              <w:t>185</w:t>
            </w:r>
            <w:r>
              <w:rPr>
                <w:color w:val="000000"/>
                <w:sz w:val="20"/>
                <w:szCs w:val="20"/>
              </w:rPr>
              <w:t>)</w:t>
            </w:r>
          </w:p>
        </w:tc>
      </w:tr>
      <w:tr w:rsidR="0057577C" w14:paraId="23437905" w14:textId="77777777" w:rsidTr="00922ABE">
        <w:trPr>
          <w:trHeight w:val="272"/>
        </w:trPr>
        <w:tc>
          <w:tcPr>
            <w:tcW w:w="1694" w:type="dxa"/>
            <w:tcBorders>
              <w:top w:val="nil"/>
              <w:left w:val="nil"/>
              <w:bottom w:val="nil"/>
              <w:right w:val="nil"/>
            </w:tcBorders>
            <w:shd w:val="clear" w:color="auto" w:fill="auto"/>
            <w:vAlign w:val="center"/>
            <w:hideMark/>
          </w:tcPr>
          <w:p w14:paraId="1480E4E4" w14:textId="77777777" w:rsidR="0057577C" w:rsidRDefault="0057577C">
            <w:pPr>
              <w:rPr>
                <w:color w:val="000000"/>
                <w:sz w:val="20"/>
                <w:szCs w:val="20"/>
              </w:rPr>
            </w:pPr>
            <w:r>
              <w:rPr>
                <w:color w:val="000000"/>
                <w:sz w:val="20"/>
                <w:szCs w:val="20"/>
              </w:rPr>
              <w:t>Neuroticism</w:t>
            </w:r>
          </w:p>
        </w:tc>
        <w:tc>
          <w:tcPr>
            <w:tcW w:w="1388" w:type="dxa"/>
            <w:tcBorders>
              <w:top w:val="nil"/>
              <w:left w:val="nil"/>
              <w:bottom w:val="nil"/>
              <w:right w:val="nil"/>
            </w:tcBorders>
            <w:shd w:val="clear" w:color="auto" w:fill="auto"/>
            <w:noWrap/>
            <w:vAlign w:val="center"/>
            <w:hideMark/>
          </w:tcPr>
          <w:p w14:paraId="2FD9B647" w14:textId="77777777" w:rsidR="0057577C" w:rsidRDefault="0057577C">
            <w:pPr>
              <w:jc w:val="center"/>
              <w:rPr>
                <w:color w:val="000000"/>
                <w:sz w:val="20"/>
                <w:szCs w:val="20"/>
              </w:rPr>
            </w:pPr>
            <w:r>
              <w:rPr>
                <w:color w:val="000000"/>
                <w:sz w:val="20"/>
                <w:szCs w:val="20"/>
              </w:rPr>
              <w:t>0.012</w:t>
            </w:r>
          </w:p>
        </w:tc>
        <w:tc>
          <w:tcPr>
            <w:tcW w:w="1105" w:type="dxa"/>
            <w:tcBorders>
              <w:top w:val="nil"/>
              <w:left w:val="nil"/>
              <w:bottom w:val="nil"/>
              <w:right w:val="nil"/>
            </w:tcBorders>
            <w:shd w:val="clear" w:color="auto" w:fill="auto"/>
            <w:noWrap/>
            <w:vAlign w:val="center"/>
            <w:hideMark/>
          </w:tcPr>
          <w:p w14:paraId="4E328527" w14:textId="34450E39" w:rsidR="0057577C" w:rsidRDefault="0057577C">
            <w:pPr>
              <w:jc w:val="center"/>
              <w:rPr>
                <w:color w:val="000000"/>
                <w:sz w:val="20"/>
                <w:szCs w:val="20"/>
              </w:rPr>
            </w:pPr>
            <w:r>
              <w:rPr>
                <w:color w:val="000000"/>
                <w:sz w:val="20"/>
                <w:szCs w:val="20"/>
              </w:rPr>
              <w:t>0.00</w:t>
            </w:r>
            <w:r w:rsidR="00380B4D">
              <w:rPr>
                <w:color w:val="000000"/>
                <w:sz w:val="20"/>
                <w:szCs w:val="20"/>
              </w:rPr>
              <w:t>3</w:t>
            </w:r>
          </w:p>
        </w:tc>
        <w:tc>
          <w:tcPr>
            <w:tcW w:w="1105" w:type="dxa"/>
            <w:tcBorders>
              <w:top w:val="nil"/>
              <w:left w:val="nil"/>
              <w:bottom w:val="nil"/>
              <w:right w:val="nil"/>
            </w:tcBorders>
            <w:shd w:val="clear" w:color="auto" w:fill="auto"/>
            <w:noWrap/>
            <w:vAlign w:val="center"/>
            <w:hideMark/>
          </w:tcPr>
          <w:p w14:paraId="032B0E53" w14:textId="2679E921" w:rsidR="0057577C" w:rsidRDefault="0057577C">
            <w:pPr>
              <w:jc w:val="center"/>
              <w:rPr>
                <w:color w:val="000000"/>
                <w:sz w:val="20"/>
                <w:szCs w:val="20"/>
              </w:rPr>
            </w:pPr>
            <w:r>
              <w:rPr>
                <w:color w:val="000000"/>
                <w:sz w:val="20"/>
                <w:szCs w:val="20"/>
              </w:rPr>
              <w:t>0.01</w:t>
            </w:r>
            <w:r w:rsidR="00380B4D">
              <w:rPr>
                <w:color w:val="000000"/>
                <w:sz w:val="20"/>
                <w:szCs w:val="20"/>
              </w:rPr>
              <w:t>1</w:t>
            </w:r>
          </w:p>
        </w:tc>
        <w:tc>
          <w:tcPr>
            <w:tcW w:w="1166" w:type="dxa"/>
            <w:tcBorders>
              <w:top w:val="nil"/>
              <w:left w:val="nil"/>
              <w:bottom w:val="nil"/>
              <w:right w:val="nil"/>
            </w:tcBorders>
            <w:shd w:val="clear" w:color="auto" w:fill="auto"/>
            <w:noWrap/>
            <w:vAlign w:val="center"/>
            <w:hideMark/>
          </w:tcPr>
          <w:p w14:paraId="25D141DF" w14:textId="77777777" w:rsidR="0057577C" w:rsidRDefault="0057577C">
            <w:pPr>
              <w:jc w:val="center"/>
              <w:rPr>
                <w:color w:val="000000"/>
                <w:sz w:val="20"/>
                <w:szCs w:val="20"/>
              </w:rPr>
            </w:pPr>
            <w:r>
              <w:rPr>
                <w:color w:val="000000"/>
                <w:sz w:val="20"/>
                <w:szCs w:val="20"/>
              </w:rPr>
              <w:t>0.027</w:t>
            </w:r>
          </w:p>
        </w:tc>
        <w:tc>
          <w:tcPr>
            <w:tcW w:w="1066" w:type="dxa"/>
            <w:tcBorders>
              <w:top w:val="nil"/>
              <w:left w:val="nil"/>
              <w:bottom w:val="nil"/>
              <w:right w:val="nil"/>
            </w:tcBorders>
            <w:shd w:val="clear" w:color="auto" w:fill="auto"/>
            <w:noWrap/>
            <w:vAlign w:val="center"/>
            <w:hideMark/>
          </w:tcPr>
          <w:p w14:paraId="67D8D8EF" w14:textId="77777777" w:rsidR="0057577C" w:rsidRDefault="0057577C">
            <w:pPr>
              <w:jc w:val="center"/>
              <w:rPr>
                <w:color w:val="000000"/>
                <w:sz w:val="20"/>
                <w:szCs w:val="20"/>
              </w:rPr>
            </w:pPr>
            <w:r>
              <w:rPr>
                <w:color w:val="000000"/>
                <w:sz w:val="20"/>
                <w:szCs w:val="20"/>
              </w:rPr>
              <w:t>0.231</w:t>
            </w:r>
          </w:p>
        </w:tc>
        <w:tc>
          <w:tcPr>
            <w:tcW w:w="1266" w:type="dxa"/>
            <w:tcBorders>
              <w:top w:val="nil"/>
              <w:left w:val="nil"/>
              <w:bottom w:val="nil"/>
              <w:right w:val="nil"/>
            </w:tcBorders>
            <w:shd w:val="clear" w:color="auto" w:fill="auto"/>
            <w:noWrap/>
            <w:vAlign w:val="center"/>
            <w:hideMark/>
          </w:tcPr>
          <w:p w14:paraId="05074044" w14:textId="77777777" w:rsidR="0057577C" w:rsidRDefault="0057577C">
            <w:pPr>
              <w:jc w:val="center"/>
              <w:rPr>
                <w:color w:val="000000"/>
                <w:sz w:val="20"/>
                <w:szCs w:val="20"/>
              </w:rPr>
            </w:pPr>
            <w:r>
              <w:rPr>
                <w:color w:val="000000"/>
                <w:sz w:val="20"/>
                <w:szCs w:val="20"/>
              </w:rPr>
              <w:t>-0.0442</w:t>
            </w:r>
          </w:p>
        </w:tc>
        <w:tc>
          <w:tcPr>
            <w:tcW w:w="1266" w:type="dxa"/>
            <w:tcBorders>
              <w:top w:val="nil"/>
              <w:left w:val="nil"/>
              <w:bottom w:val="nil"/>
              <w:right w:val="nil"/>
            </w:tcBorders>
            <w:shd w:val="clear" w:color="auto" w:fill="auto"/>
            <w:noWrap/>
            <w:vAlign w:val="center"/>
            <w:hideMark/>
          </w:tcPr>
          <w:p w14:paraId="0239125A" w14:textId="77777777" w:rsidR="0057577C" w:rsidRDefault="0057577C">
            <w:pPr>
              <w:jc w:val="center"/>
              <w:rPr>
                <w:color w:val="000000"/>
                <w:sz w:val="20"/>
                <w:szCs w:val="20"/>
              </w:rPr>
            </w:pPr>
            <w:r>
              <w:rPr>
                <w:color w:val="000000"/>
                <w:sz w:val="20"/>
                <w:szCs w:val="20"/>
              </w:rPr>
              <w:t>0.314</w:t>
            </w:r>
          </w:p>
        </w:tc>
        <w:tc>
          <w:tcPr>
            <w:tcW w:w="1461" w:type="dxa"/>
            <w:tcBorders>
              <w:top w:val="nil"/>
              <w:left w:val="nil"/>
              <w:bottom w:val="nil"/>
              <w:right w:val="nil"/>
            </w:tcBorders>
            <w:shd w:val="clear" w:color="auto" w:fill="auto"/>
            <w:noWrap/>
            <w:vAlign w:val="center"/>
            <w:hideMark/>
          </w:tcPr>
          <w:p w14:paraId="6281A929" w14:textId="77777777" w:rsidR="0057577C" w:rsidRDefault="0057577C">
            <w:pPr>
              <w:jc w:val="center"/>
              <w:rPr>
                <w:color w:val="000000"/>
                <w:sz w:val="20"/>
                <w:szCs w:val="20"/>
              </w:rPr>
            </w:pPr>
            <w:r>
              <w:rPr>
                <w:color w:val="000000"/>
                <w:sz w:val="20"/>
                <w:szCs w:val="20"/>
              </w:rPr>
              <w:t>0.35</w:t>
            </w:r>
          </w:p>
        </w:tc>
      </w:tr>
      <w:tr w:rsidR="0057577C" w14:paraId="641F9AB7" w14:textId="77777777" w:rsidTr="00922ABE">
        <w:trPr>
          <w:trHeight w:val="310"/>
        </w:trPr>
        <w:tc>
          <w:tcPr>
            <w:tcW w:w="1694" w:type="dxa"/>
            <w:tcBorders>
              <w:top w:val="nil"/>
              <w:left w:val="nil"/>
              <w:bottom w:val="nil"/>
              <w:right w:val="nil"/>
            </w:tcBorders>
            <w:shd w:val="clear" w:color="auto" w:fill="auto"/>
            <w:vAlign w:val="bottom"/>
            <w:hideMark/>
          </w:tcPr>
          <w:p w14:paraId="6E86673E" w14:textId="77777777" w:rsidR="0057577C" w:rsidRDefault="0057577C">
            <w:pPr>
              <w:jc w:val="center"/>
              <w:rPr>
                <w:color w:val="000000"/>
                <w:sz w:val="20"/>
                <w:szCs w:val="20"/>
              </w:rPr>
            </w:pPr>
          </w:p>
        </w:tc>
        <w:tc>
          <w:tcPr>
            <w:tcW w:w="1388" w:type="dxa"/>
            <w:tcBorders>
              <w:top w:val="nil"/>
              <w:left w:val="nil"/>
              <w:bottom w:val="nil"/>
              <w:right w:val="nil"/>
            </w:tcBorders>
            <w:shd w:val="clear" w:color="auto" w:fill="auto"/>
            <w:noWrap/>
            <w:vAlign w:val="center"/>
            <w:hideMark/>
          </w:tcPr>
          <w:p w14:paraId="353398BB" w14:textId="2B4AF42C" w:rsidR="0057577C" w:rsidRDefault="0057577C">
            <w:pPr>
              <w:jc w:val="center"/>
              <w:rPr>
                <w:color w:val="000000"/>
                <w:sz w:val="20"/>
                <w:szCs w:val="20"/>
              </w:rPr>
            </w:pPr>
            <w:r>
              <w:rPr>
                <w:color w:val="000000"/>
                <w:sz w:val="20"/>
                <w:szCs w:val="20"/>
              </w:rPr>
              <w:t>(0.00</w:t>
            </w:r>
            <w:r w:rsidR="00380B4D">
              <w:rPr>
                <w:color w:val="000000"/>
                <w:sz w:val="20"/>
                <w:szCs w:val="20"/>
              </w:rPr>
              <w:t>4</w:t>
            </w:r>
            <w:r>
              <w:rPr>
                <w:color w:val="000000"/>
                <w:sz w:val="20"/>
                <w:szCs w:val="20"/>
              </w:rPr>
              <w:t>)</w:t>
            </w:r>
          </w:p>
        </w:tc>
        <w:tc>
          <w:tcPr>
            <w:tcW w:w="1105" w:type="dxa"/>
            <w:tcBorders>
              <w:top w:val="nil"/>
              <w:left w:val="nil"/>
              <w:bottom w:val="nil"/>
              <w:right w:val="nil"/>
            </w:tcBorders>
            <w:shd w:val="clear" w:color="auto" w:fill="auto"/>
            <w:noWrap/>
            <w:vAlign w:val="center"/>
            <w:hideMark/>
          </w:tcPr>
          <w:p w14:paraId="1777044B" w14:textId="36F32491"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05" w:type="dxa"/>
            <w:tcBorders>
              <w:top w:val="nil"/>
              <w:left w:val="nil"/>
              <w:bottom w:val="nil"/>
              <w:right w:val="nil"/>
            </w:tcBorders>
            <w:shd w:val="clear" w:color="auto" w:fill="auto"/>
            <w:noWrap/>
            <w:vAlign w:val="center"/>
            <w:hideMark/>
          </w:tcPr>
          <w:p w14:paraId="4BEC7A3A" w14:textId="2DF159AD"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66" w:type="dxa"/>
            <w:tcBorders>
              <w:top w:val="nil"/>
              <w:left w:val="nil"/>
              <w:bottom w:val="nil"/>
              <w:right w:val="nil"/>
            </w:tcBorders>
            <w:shd w:val="clear" w:color="auto" w:fill="auto"/>
            <w:noWrap/>
            <w:vAlign w:val="center"/>
            <w:hideMark/>
          </w:tcPr>
          <w:p w14:paraId="4A19D9C3" w14:textId="1F0A0EA7"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7</w:t>
            </w:r>
            <w:r>
              <w:rPr>
                <w:color w:val="000000"/>
                <w:sz w:val="20"/>
                <w:szCs w:val="20"/>
              </w:rPr>
              <w:t>)</w:t>
            </w:r>
          </w:p>
        </w:tc>
        <w:tc>
          <w:tcPr>
            <w:tcW w:w="1066" w:type="dxa"/>
            <w:tcBorders>
              <w:top w:val="nil"/>
              <w:left w:val="nil"/>
              <w:bottom w:val="nil"/>
              <w:right w:val="nil"/>
            </w:tcBorders>
            <w:shd w:val="clear" w:color="auto" w:fill="auto"/>
            <w:noWrap/>
            <w:vAlign w:val="center"/>
            <w:hideMark/>
          </w:tcPr>
          <w:p w14:paraId="5CC3EDBF" w14:textId="38687FDC" w:rsidR="0057577C" w:rsidRDefault="00CC1503">
            <w:pPr>
              <w:jc w:val="center"/>
              <w:rPr>
                <w:color w:val="000000"/>
                <w:sz w:val="20"/>
                <w:szCs w:val="20"/>
              </w:rPr>
            </w:pPr>
            <w:r>
              <w:rPr>
                <w:color w:val="000000"/>
                <w:sz w:val="20"/>
                <w:szCs w:val="20"/>
              </w:rPr>
              <w:t>(</w:t>
            </w:r>
            <w:r w:rsidR="0057577C">
              <w:rPr>
                <w:color w:val="000000"/>
                <w:sz w:val="20"/>
                <w:szCs w:val="20"/>
              </w:rPr>
              <w:t>0.045</w:t>
            </w:r>
            <w:r>
              <w:rPr>
                <w:color w:val="000000"/>
                <w:sz w:val="20"/>
                <w:szCs w:val="20"/>
              </w:rPr>
              <w:t>)</w:t>
            </w:r>
          </w:p>
        </w:tc>
        <w:tc>
          <w:tcPr>
            <w:tcW w:w="1266" w:type="dxa"/>
            <w:tcBorders>
              <w:top w:val="nil"/>
              <w:left w:val="nil"/>
              <w:bottom w:val="nil"/>
              <w:right w:val="nil"/>
            </w:tcBorders>
            <w:shd w:val="clear" w:color="auto" w:fill="auto"/>
            <w:noWrap/>
            <w:vAlign w:val="center"/>
            <w:hideMark/>
          </w:tcPr>
          <w:p w14:paraId="6384A568" w14:textId="5D804249" w:rsidR="0057577C" w:rsidRDefault="00CC1503">
            <w:pPr>
              <w:jc w:val="center"/>
              <w:rPr>
                <w:color w:val="000000"/>
                <w:sz w:val="20"/>
                <w:szCs w:val="20"/>
              </w:rPr>
            </w:pPr>
            <w:r>
              <w:rPr>
                <w:color w:val="000000"/>
                <w:sz w:val="20"/>
                <w:szCs w:val="20"/>
              </w:rPr>
              <w:t>(</w:t>
            </w:r>
            <w:r w:rsidR="0057577C">
              <w:rPr>
                <w:color w:val="000000"/>
                <w:sz w:val="20"/>
                <w:szCs w:val="20"/>
              </w:rPr>
              <w:t>0.0825</w:t>
            </w:r>
            <w:r>
              <w:rPr>
                <w:color w:val="000000"/>
                <w:sz w:val="20"/>
                <w:szCs w:val="20"/>
              </w:rPr>
              <w:t>)</w:t>
            </w:r>
          </w:p>
        </w:tc>
        <w:tc>
          <w:tcPr>
            <w:tcW w:w="1266" w:type="dxa"/>
            <w:tcBorders>
              <w:top w:val="nil"/>
              <w:left w:val="nil"/>
              <w:bottom w:val="nil"/>
              <w:right w:val="nil"/>
            </w:tcBorders>
            <w:shd w:val="clear" w:color="auto" w:fill="auto"/>
            <w:noWrap/>
            <w:vAlign w:val="center"/>
            <w:hideMark/>
          </w:tcPr>
          <w:p w14:paraId="72CA6BA2" w14:textId="0DED6AEC" w:rsidR="0057577C" w:rsidRDefault="00CC1503">
            <w:pPr>
              <w:jc w:val="center"/>
              <w:rPr>
                <w:color w:val="000000"/>
                <w:sz w:val="20"/>
                <w:szCs w:val="20"/>
              </w:rPr>
            </w:pPr>
            <w:r>
              <w:rPr>
                <w:color w:val="000000"/>
                <w:sz w:val="20"/>
                <w:szCs w:val="20"/>
              </w:rPr>
              <w:t>(</w:t>
            </w:r>
            <w:r w:rsidR="0057577C">
              <w:rPr>
                <w:color w:val="000000"/>
                <w:sz w:val="20"/>
                <w:szCs w:val="20"/>
              </w:rPr>
              <w:t>0.0709</w:t>
            </w:r>
            <w:r>
              <w:rPr>
                <w:color w:val="000000"/>
                <w:sz w:val="20"/>
                <w:szCs w:val="20"/>
              </w:rPr>
              <w:t>)</w:t>
            </w:r>
          </w:p>
        </w:tc>
        <w:tc>
          <w:tcPr>
            <w:tcW w:w="1461" w:type="dxa"/>
            <w:tcBorders>
              <w:top w:val="nil"/>
              <w:left w:val="nil"/>
              <w:bottom w:val="nil"/>
              <w:right w:val="nil"/>
            </w:tcBorders>
            <w:shd w:val="clear" w:color="auto" w:fill="auto"/>
            <w:noWrap/>
            <w:vAlign w:val="center"/>
            <w:hideMark/>
          </w:tcPr>
          <w:p w14:paraId="5A90126C" w14:textId="6A767F39" w:rsidR="0057577C" w:rsidRDefault="00CC1503">
            <w:pPr>
              <w:jc w:val="center"/>
              <w:rPr>
                <w:color w:val="000000"/>
                <w:sz w:val="20"/>
                <w:szCs w:val="20"/>
              </w:rPr>
            </w:pPr>
            <w:r>
              <w:rPr>
                <w:color w:val="000000"/>
                <w:sz w:val="20"/>
                <w:szCs w:val="20"/>
              </w:rPr>
              <w:t>(</w:t>
            </w:r>
            <w:r w:rsidR="0057577C">
              <w:rPr>
                <w:color w:val="000000"/>
                <w:sz w:val="20"/>
                <w:szCs w:val="20"/>
              </w:rPr>
              <w:t>0.0735</w:t>
            </w:r>
            <w:r>
              <w:rPr>
                <w:color w:val="000000"/>
                <w:sz w:val="20"/>
                <w:szCs w:val="20"/>
              </w:rPr>
              <w:t>)</w:t>
            </w:r>
          </w:p>
        </w:tc>
      </w:tr>
      <w:tr w:rsidR="0057577C" w14:paraId="6CEF1D41" w14:textId="77777777" w:rsidTr="00922ABE">
        <w:trPr>
          <w:trHeight w:val="545"/>
        </w:trPr>
        <w:tc>
          <w:tcPr>
            <w:tcW w:w="1694" w:type="dxa"/>
            <w:tcBorders>
              <w:top w:val="nil"/>
              <w:left w:val="nil"/>
              <w:bottom w:val="nil"/>
              <w:right w:val="nil"/>
            </w:tcBorders>
            <w:shd w:val="clear" w:color="auto" w:fill="auto"/>
            <w:vAlign w:val="center"/>
            <w:hideMark/>
          </w:tcPr>
          <w:p w14:paraId="2B7F4462" w14:textId="77777777" w:rsidR="0057577C" w:rsidRDefault="0057577C">
            <w:pPr>
              <w:rPr>
                <w:color w:val="000000"/>
                <w:sz w:val="20"/>
                <w:szCs w:val="20"/>
              </w:rPr>
            </w:pPr>
            <w:r>
              <w:rPr>
                <w:color w:val="000000"/>
                <w:sz w:val="20"/>
                <w:szCs w:val="20"/>
              </w:rPr>
              <w:t>Agreeableness</w:t>
            </w:r>
          </w:p>
        </w:tc>
        <w:tc>
          <w:tcPr>
            <w:tcW w:w="1388" w:type="dxa"/>
            <w:tcBorders>
              <w:top w:val="nil"/>
              <w:left w:val="nil"/>
              <w:bottom w:val="nil"/>
              <w:right w:val="nil"/>
            </w:tcBorders>
            <w:shd w:val="clear" w:color="auto" w:fill="auto"/>
            <w:noWrap/>
            <w:vAlign w:val="center"/>
            <w:hideMark/>
          </w:tcPr>
          <w:p w14:paraId="4C6F3EA4" w14:textId="77777777" w:rsidR="0057577C" w:rsidRDefault="0057577C">
            <w:pPr>
              <w:jc w:val="center"/>
              <w:rPr>
                <w:color w:val="000000"/>
                <w:sz w:val="20"/>
                <w:szCs w:val="20"/>
              </w:rPr>
            </w:pPr>
            <w:r>
              <w:rPr>
                <w:color w:val="000000"/>
                <w:sz w:val="20"/>
                <w:szCs w:val="20"/>
              </w:rPr>
              <w:t>-0.008</w:t>
            </w:r>
          </w:p>
        </w:tc>
        <w:tc>
          <w:tcPr>
            <w:tcW w:w="1105" w:type="dxa"/>
            <w:tcBorders>
              <w:top w:val="nil"/>
              <w:left w:val="nil"/>
              <w:bottom w:val="nil"/>
              <w:right w:val="nil"/>
            </w:tcBorders>
            <w:shd w:val="clear" w:color="auto" w:fill="auto"/>
            <w:noWrap/>
            <w:vAlign w:val="center"/>
            <w:hideMark/>
          </w:tcPr>
          <w:p w14:paraId="62C2E7A7" w14:textId="5FE0D71C" w:rsidR="0057577C" w:rsidRDefault="0057577C">
            <w:pPr>
              <w:jc w:val="center"/>
              <w:rPr>
                <w:color w:val="000000"/>
                <w:sz w:val="20"/>
                <w:szCs w:val="20"/>
              </w:rPr>
            </w:pPr>
            <w:r>
              <w:rPr>
                <w:color w:val="000000"/>
                <w:sz w:val="20"/>
                <w:szCs w:val="20"/>
              </w:rPr>
              <w:t>-0.00</w:t>
            </w:r>
            <w:r w:rsidR="00380B4D">
              <w:rPr>
                <w:color w:val="000000"/>
                <w:sz w:val="20"/>
                <w:szCs w:val="20"/>
              </w:rPr>
              <w:t>1</w:t>
            </w:r>
          </w:p>
        </w:tc>
        <w:tc>
          <w:tcPr>
            <w:tcW w:w="1105" w:type="dxa"/>
            <w:tcBorders>
              <w:top w:val="nil"/>
              <w:left w:val="nil"/>
              <w:bottom w:val="nil"/>
              <w:right w:val="nil"/>
            </w:tcBorders>
            <w:shd w:val="clear" w:color="auto" w:fill="auto"/>
            <w:noWrap/>
            <w:vAlign w:val="center"/>
            <w:hideMark/>
          </w:tcPr>
          <w:p w14:paraId="6A3DD5D8" w14:textId="4FA94116" w:rsidR="0057577C" w:rsidRDefault="0057577C">
            <w:pPr>
              <w:jc w:val="center"/>
              <w:rPr>
                <w:color w:val="000000"/>
                <w:sz w:val="20"/>
                <w:szCs w:val="20"/>
              </w:rPr>
            </w:pPr>
            <w:r>
              <w:rPr>
                <w:color w:val="000000"/>
                <w:sz w:val="20"/>
                <w:szCs w:val="20"/>
              </w:rPr>
              <w:t>-0.00</w:t>
            </w:r>
            <w:r w:rsidR="00380B4D">
              <w:rPr>
                <w:color w:val="000000"/>
                <w:sz w:val="20"/>
                <w:szCs w:val="20"/>
              </w:rPr>
              <w:t>7</w:t>
            </w:r>
          </w:p>
        </w:tc>
        <w:tc>
          <w:tcPr>
            <w:tcW w:w="1166" w:type="dxa"/>
            <w:tcBorders>
              <w:top w:val="nil"/>
              <w:left w:val="nil"/>
              <w:bottom w:val="nil"/>
              <w:right w:val="nil"/>
            </w:tcBorders>
            <w:shd w:val="clear" w:color="auto" w:fill="auto"/>
            <w:noWrap/>
            <w:vAlign w:val="center"/>
            <w:hideMark/>
          </w:tcPr>
          <w:p w14:paraId="6141BA0D" w14:textId="2B32C2C2" w:rsidR="0057577C" w:rsidRDefault="0057577C">
            <w:pPr>
              <w:jc w:val="center"/>
              <w:rPr>
                <w:color w:val="000000"/>
                <w:sz w:val="20"/>
                <w:szCs w:val="20"/>
              </w:rPr>
            </w:pPr>
            <w:r>
              <w:rPr>
                <w:color w:val="000000"/>
                <w:sz w:val="20"/>
                <w:szCs w:val="20"/>
              </w:rPr>
              <w:t>-0.02</w:t>
            </w:r>
            <w:r w:rsidR="00380B4D">
              <w:rPr>
                <w:color w:val="000000"/>
                <w:sz w:val="20"/>
                <w:szCs w:val="20"/>
              </w:rPr>
              <w:t>2</w:t>
            </w:r>
          </w:p>
        </w:tc>
        <w:tc>
          <w:tcPr>
            <w:tcW w:w="1066" w:type="dxa"/>
            <w:tcBorders>
              <w:top w:val="nil"/>
              <w:left w:val="nil"/>
              <w:bottom w:val="nil"/>
              <w:right w:val="nil"/>
            </w:tcBorders>
            <w:shd w:val="clear" w:color="auto" w:fill="auto"/>
            <w:noWrap/>
            <w:vAlign w:val="center"/>
            <w:hideMark/>
          </w:tcPr>
          <w:p w14:paraId="318B64DB" w14:textId="77777777" w:rsidR="0057577C" w:rsidRDefault="0057577C">
            <w:pPr>
              <w:jc w:val="center"/>
              <w:rPr>
                <w:color w:val="000000"/>
                <w:sz w:val="20"/>
                <w:szCs w:val="20"/>
              </w:rPr>
            </w:pPr>
            <w:r>
              <w:rPr>
                <w:color w:val="000000"/>
                <w:sz w:val="20"/>
                <w:szCs w:val="20"/>
              </w:rPr>
              <w:t>-0.175</w:t>
            </w:r>
          </w:p>
        </w:tc>
        <w:tc>
          <w:tcPr>
            <w:tcW w:w="1266" w:type="dxa"/>
            <w:tcBorders>
              <w:top w:val="nil"/>
              <w:left w:val="nil"/>
              <w:bottom w:val="nil"/>
              <w:right w:val="nil"/>
            </w:tcBorders>
            <w:shd w:val="clear" w:color="auto" w:fill="auto"/>
            <w:noWrap/>
            <w:vAlign w:val="center"/>
            <w:hideMark/>
          </w:tcPr>
          <w:p w14:paraId="4BA9011F" w14:textId="77777777" w:rsidR="0057577C" w:rsidRDefault="0057577C">
            <w:pPr>
              <w:jc w:val="center"/>
              <w:rPr>
                <w:color w:val="000000"/>
                <w:sz w:val="20"/>
                <w:szCs w:val="20"/>
              </w:rPr>
            </w:pPr>
            <w:r>
              <w:rPr>
                <w:color w:val="000000"/>
                <w:sz w:val="20"/>
                <w:szCs w:val="20"/>
              </w:rPr>
              <w:t>-0.124</w:t>
            </w:r>
          </w:p>
        </w:tc>
        <w:tc>
          <w:tcPr>
            <w:tcW w:w="1266" w:type="dxa"/>
            <w:tcBorders>
              <w:top w:val="nil"/>
              <w:left w:val="nil"/>
              <w:bottom w:val="nil"/>
              <w:right w:val="nil"/>
            </w:tcBorders>
            <w:shd w:val="clear" w:color="auto" w:fill="auto"/>
            <w:noWrap/>
            <w:vAlign w:val="center"/>
            <w:hideMark/>
          </w:tcPr>
          <w:p w14:paraId="2D9CDAC1" w14:textId="77777777" w:rsidR="0057577C" w:rsidRDefault="0057577C">
            <w:pPr>
              <w:jc w:val="center"/>
              <w:rPr>
                <w:color w:val="000000"/>
                <w:sz w:val="20"/>
                <w:szCs w:val="20"/>
              </w:rPr>
            </w:pPr>
            <w:r>
              <w:rPr>
                <w:color w:val="000000"/>
                <w:sz w:val="20"/>
                <w:szCs w:val="20"/>
              </w:rPr>
              <w:t>-0.157</w:t>
            </w:r>
          </w:p>
        </w:tc>
        <w:tc>
          <w:tcPr>
            <w:tcW w:w="1461" w:type="dxa"/>
            <w:tcBorders>
              <w:top w:val="nil"/>
              <w:left w:val="nil"/>
              <w:bottom w:val="nil"/>
              <w:right w:val="nil"/>
            </w:tcBorders>
            <w:shd w:val="clear" w:color="auto" w:fill="auto"/>
            <w:noWrap/>
            <w:vAlign w:val="center"/>
            <w:hideMark/>
          </w:tcPr>
          <w:p w14:paraId="7580E571" w14:textId="77777777" w:rsidR="0057577C" w:rsidRDefault="0057577C">
            <w:pPr>
              <w:jc w:val="center"/>
              <w:rPr>
                <w:color w:val="000000"/>
                <w:sz w:val="20"/>
                <w:szCs w:val="20"/>
              </w:rPr>
            </w:pPr>
            <w:r>
              <w:rPr>
                <w:color w:val="000000"/>
                <w:sz w:val="20"/>
                <w:szCs w:val="20"/>
              </w:rPr>
              <w:t>-0.27</w:t>
            </w:r>
          </w:p>
        </w:tc>
      </w:tr>
      <w:tr w:rsidR="0057577C" w14:paraId="1CAF6660" w14:textId="77777777" w:rsidTr="00922ABE">
        <w:trPr>
          <w:trHeight w:val="310"/>
        </w:trPr>
        <w:tc>
          <w:tcPr>
            <w:tcW w:w="1694" w:type="dxa"/>
            <w:tcBorders>
              <w:top w:val="nil"/>
              <w:left w:val="nil"/>
              <w:bottom w:val="nil"/>
              <w:right w:val="nil"/>
            </w:tcBorders>
            <w:shd w:val="clear" w:color="auto" w:fill="auto"/>
            <w:vAlign w:val="bottom"/>
            <w:hideMark/>
          </w:tcPr>
          <w:p w14:paraId="2C423489" w14:textId="77777777" w:rsidR="0057577C" w:rsidRDefault="0057577C">
            <w:pPr>
              <w:jc w:val="center"/>
              <w:rPr>
                <w:color w:val="000000"/>
                <w:sz w:val="20"/>
                <w:szCs w:val="20"/>
              </w:rPr>
            </w:pPr>
          </w:p>
        </w:tc>
        <w:tc>
          <w:tcPr>
            <w:tcW w:w="1388" w:type="dxa"/>
            <w:tcBorders>
              <w:top w:val="nil"/>
              <w:left w:val="nil"/>
              <w:bottom w:val="nil"/>
              <w:right w:val="nil"/>
            </w:tcBorders>
            <w:shd w:val="clear" w:color="auto" w:fill="auto"/>
            <w:noWrap/>
            <w:vAlign w:val="center"/>
            <w:hideMark/>
          </w:tcPr>
          <w:p w14:paraId="02E6313B" w14:textId="5566572E"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4</w:t>
            </w:r>
            <w:r>
              <w:rPr>
                <w:color w:val="000000"/>
                <w:sz w:val="20"/>
                <w:szCs w:val="20"/>
              </w:rPr>
              <w:t>)</w:t>
            </w:r>
          </w:p>
        </w:tc>
        <w:tc>
          <w:tcPr>
            <w:tcW w:w="1105" w:type="dxa"/>
            <w:tcBorders>
              <w:top w:val="nil"/>
              <w:left w:val="nil"/>
              <w:bottom w:val="nil"/>
              <w:right w:val="nil"/>
            </w:tcBorders>
            <w:shd w:val="clear" w:color="auto" w:fill="auto"/>
            <w:noWrap/>
            <w:vAlign w:val="center"/>
            <w:hideMark/>
          </w:tcPr>
          <w:p w14:paraId="53FB6685" w14:textId="522B5D38"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05" w:type="dxa"/>
            <w:tcBorders>
              <w:top w:val="nil"/>
              <w:left w:val="nil"/>
              <w:bottom w:val="nil"/>
              <w:right w:val="nil"/>
            </w:tcBorders>
            <w:shd w:val="clear" w:color="auto" w:fill="auto"/>
            <w:noWrap/>
            <w:vAlign w:val="center"/>
            <w:hideMark/>
          </w:tcPr>
          <w:p w14:paraId="6E98DE19" w14:textId="64A4218E"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7</w:t>
            </w:r>
            <w:r>
              <w:rPr>
                <w:color w:val="000000"/>
                <w:sz w:val="20"/>
                <w:szCs w:val="20"/>
              </w:rPr>
              <w:t>)</w:t>
            </w:r>
          </w:p>
        </w:tc>
        <w:tc>
          <w:tcPr>
            <w:tcW w:w="1166" w:type="dxa"/>
            <w:tcBorders>
              <w:top w:val="nil"/>
              <w:left w:val="nil"/>
              <w:bottom w:val="nil"/>
              <w:right w:val="nil"/>
            </w:tcBorders>
            <w:shd w:val="clear" w:color="auto" w:fill="auto"/>
            <w:noWrap/>
            <w:vAlign w:val="center"/>
            <w:hideMark/>
          </w:tcPr>
          <w:p w14:paraId="798D577F" w14:textId="07A83A3A"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7</w:t>
            </w:r>
            <w:r>
              <w:rPr>
                <w:color w:val="000000"/>
                <w:sz w:val="20"/>
                <w:szCs w:val="20"/>
              </w:rPr>
              <w:t>)</w:t>
            </w:r>
          </w:p>
        </w:tc>
        <w:tc>
          <w:tcPr>
            <w:tcW w:w="1066" w:type="dxa"/>
            <w:tcBorders>
              <w:top w:val="nil"/>
              <w:left w:val="nil"/>
              <w:bottom w:val="nil"/>
              <w:right w:val="nil"/>
            </w:tcBorders>
            <w:shd w:val="clear" w:color="auto" w:fill="auto"/>
            <w:noWrap/>
            <w:vAlign w:val="center"/>
            <w:hideMark/>
          </w:tcPr>
          <w:p w14:paraId="3E628B10" w14:textId="3D3AAADA" w:rsidR="0057577C" w:rsidRDefault="00CC1503">
            <w:pPr>
              <w:jc w:val="center"/>
              <w:rPr>
                <w:color w:val="000000"/>
                <w:sz w:val="20"/>
                <w:szCs w:val="20"/>
              </w:rPr>
            </w:pPr>
            <w:r>
              <w:rPr>
                <w:color w:val="000000"/>
                <w:sz w:val="20"/>
                <w:szCs w:val="20"/>
              </w:rPr>
              <w:t>(</w:t>
            </w:r>
            <w:r w:rsidR="0057577C">
              <w:rPr>
                <w:color w:val="000000"/>
                <w:sz w:val="20"/>
                <w:szCs w:val="20"/>
              </w:rPr>
              <w:t>0.046</w:t>
            </w:r>
            <w:r>
              <w:rPr>
                <w:color w:val="000000"/>
                <w:sz w:val="20"/>
                <w:szCs w:val="20"/>
              </w:rPr>
              <w:t>)</w:t>
            </w:r>
          </w:p>
        </w:tc>
        <w:tc>
          <w:tcPr>
            <w:tcW w:w="1266" w:type="dxa"/>
            <w:tcBorders>
              <w:top w:val="nil"/>
              <w:left w:val="nil"/>
              <w:bottom w:val="nil"/>
              <w:right w:val="nil"/>
            </w:tcBorders>
            <w:shd w:val="clear" w:color="auto" w:fill="auto"/>
            <w:noWrap/>
            <w:vAlign w:val="center"/>
            <w:hideMark/>
          </w:tcPr>
          <w:p w14:paraId="657DBC40" w14:textId="41F3C4C3" w:rsidR="0057577C" w:rsidRDefault="00CC1503">
            <w:pPr>
              <w:jc w:val="center"/>
              <w:rPr>
                <w:color w:val="000000"/>
                <w:sz w:val="20"/>
                <w:szCs w:val="20"/>
              </w:rPr>
            </w:pPr>
            <w:r>
              <w:rPr>
                <w:color w:val="000000"/>
                <w:sz w:val="20"/>
                <w:szCs w:val="20"/>
              </w:rPr>
              <w:t>(</w:t>
            </w:r>
            <w:r w:rsidR="0057577C">
              <w:rPr>
                <w:color w:val="000000"/>
                <w:sz w:val="20"/>
                <w:szCs w:val="20"/>
              </w:rPr>
              <w:t>0.0851</w:t>
            </w:r>
            <w:r>
              <w:rPr>
                <w:color w:val="000000"/>
                <w:sz w:val="20"/>
                <w:szCs w:val="20"/>
              </w:rPr>
              <w:t>)</w:t>
            </w:r>
          </w:p>
        </w:tc>
        <w:tc>
          <w:tcPr>
            <w:tcW w:w="1266" w:type="dxa"/>
            <w:tcBorders>
              <w:top w:val="nil"/>
              <w:left w:val="nil"/>
              <w:bottom w:val="nil"/>
              <w:right w:val="nil"/>
            </w:tcBorders>
            <w:shd w:val="clear" w:color="auto" w:fill="auto"/>
            <w:noWrap/>
            <w:vAlign w:val="center"/>
            <w:hideMark/>
          </w:tcPr>
          <w:p w14:paraId="23ABE27B" w14:textId="4A5B4246" w:rsidR="0057577C" w:rsidRDefault="00CC1503">
            <w:pPr>
              <w:jc w:val="center"/>
              <w:rPr>
                <w:color w:val="000000"/>
                <w:sz w:val="20"/>
                <w:szCs w:val="20"/>
              </w:rPr>
            </w:pPr>
            <w:r>
              <w:rPr>
                <w:color w:val="000000"/>
                <w:sz w:val="20"/>
                <w:szCs w:val="20"/>
              </w:rPr>
              <w:t>(</w:t>
            </w:r>
            <w:r w:rsidR="0057577C">
              <w:rPr>
                <w:color w:val="000000"/>
                <w:sz w:val="20"/>
                <w:szCs w:val="20"/>
              </w:rPr>
              <w:t>0.0735</w:t>
            </w:r>
            <w:r>
              <w:rPr>
                <w:color w:val="000000"/>
                <w:sz w:val="20"/>
                <w:szCs w:val="20"/>
              </w:rPr>
              <w:t>)</w:t>
            </w:r>
          </w:p>
        </w:tc>
        <w:tc>
          <w:tcPr>
            <w:tcW w:w="1461" w:type="dxa"/>
            <w:tcBorders>
              <w:top w:val="nil"/>
              <w:left w:val="nil"/>
              <w:bottom w:val="nil"/>
              <w:right w:val="nil"/>
            </w:tcBorders>
            <w:shd w:val="clear" w:color="auto" w:fill="auto"/>
            <w:noWrap/>
            <w:vAlign w:val="center"/>
            <w:hideMark/>
          </w:tcPr>
          <w:p w14:paraId="141C4C7F" w14:textId="3859EFF7" w:rsidR="0057577C" w:rsidRDefault="00CC1503">
            <w:pPr>
              <w:jc w:val="center"/>
              <w:rPr>
                <w:color w:val="000000"/>
                <w:sz w:val="20"/>
                <w:szCs w:val="20"/>
              </w:rPr>
            </w:pPr>
            <w:r>
              <w:rPr>
                <w:color w:val="000000"/>
                <w:sz w:val="20"/>
                <w:szCs w:val="20"/>
              </w:rPr>
              <w:t>(</w:t>
            </w:r>
            <w:r w:rsidR="0057577C">
              <w:rPr>
                <w:color w:val="000000"/>
                <w:sz w:val="20"/>
                <w:szCs w:val="20"/>
              </w:rPr>
              <w:t>0.0742</w:t>
            </w:r>
            <w:r>
              <w:rPr>
                <w:color w:val="000000"/>
                <w:sz w:val="20"/>
                <w:szCs w:val="20"/>
              </w:rPr>
              <w:t>)</w:t>
            </w:r>
          </w:p>
        </w:tc>
      </w:tr>
      <w:tr w:rsidR="0057577C" w14:paraId="7B73BF70" w14:textId="77777777" w:rsidTr="00922ABE">
        <w:trPr>
          <w:trHeight w:val="272"/>
        </w:trPr>
        <w:tc>
          <w:tcPr>
            <w:tcW w:w="1694" w:type="dxa"/>
            <w:tcBorders>
              <w:top w:val="nil"/>
              <w:left w:val="nil"/>
              <w:bottom w:val="nil"/>
              <w:right w:val="nil"/>
            </w:tcBorders>
            <w:shd w:val="clear" w:color="auto" w:fill="auto"/>
            <w:vAlign w:val="center"/>
            <w:hideMark/>
          </w:tcPr>
          <w:p w14:paraId="0FF73A3C" w14:textId="77777777" w:rsidR="0057577C" w:rsidRDefault="0057577C">
            <w:pPr>
              <w:rPr>
                <w:color w:val="000000"/>
                <w:sz w:val="20"/>
                <w:szCs w:val="20"/>
              </w:rPr>
            </w:pPr>
            <w:r>
              <w:rPr>
                <w:color w:val="000000"/>
                <w:sz w:val="20"/>
                <w:szCs w:val="20"/>
              </w:rPr>
              <w:t>Openness</w:t>
            </w:r>
          </w:p>
        </w:tc>
        <w:tc>
          <w:tcPr>
            <w:tcW w:w="1388" w:type="dxa"/>
            <w:tcBorders>
              <w:top w:val="nil"/>
              <w:left w:val="nil"/>
              <w:bottom w:val="nil"/>
              <w:right w:val="nil"/>
            </w:tcBorders>
            <w:shd w:val="clear" w:color="auto" w:fill="auto"/>
            <w:noWrap/>
            <w:vAlign w:val="center"/>
            <w:hideMark/>
          </w:tcPr>
          <w:p w14:paraId="1A81BC9B" w14:textId="77777777" w:rsidR="0057577C" w:rsidRDefault="0057577C">
            <w:pPr>
              <w:jc w:val="center"/>
              <w:rPr>
                <w:color w:val="000000"/>
                <w:sz w:val="20"/>
                <w:szCs w:val="20"/>
              </w:rPr>
            </w:pPr>
            <w:r>
              <w:rPr>
                <w:color w:val="000000"/>
                <w:sz w:val="20"/>
                <w:szCs w:val="20"/>
              </w:rPr>
              <w:t>-0.013</w:t>
            </w:r>
          </w:p>
        </w:tc>
        <w:tc>
          <w:tcPr>
            <w:tcW w:w="1105" w:type="dxa"/>
            <w:tcBorders>
              <w:top w:val="nil"/>
              <w:left w:val="nil"/>
              <w:bottom w:val="nil"/>
              <w:right w:val="nil"/>
            </w:tcBorders>
            <w:shd w:val="clear" w:color="auto" w:fill="auto"/>
            <w:noWrap/>
            <w:vAlign w:val="center"/>
            <w:hideMark/>
          </w:tcPr>
          <w:p w14:paraId="7E2D519C" w14:textId="77777777" w:rsidR="0057577C" w:rsidRDefault="0057577C">
            <w:pPr>
              <w:jc w:val="center"/>
              <w:rPr>
                <w:color w:val="000000"/>
                <w:sz w:val="20"/>
                <w:szCs w:val="20"/>
              </w:rPr>
            </w:pPr>
            <w:r>
              <w:rPr>
                <w:color w:val="000000"/>
                <w:sz w:val="20"/>
                <w:szCs w:val="20"/>
              </w:rPr>
              <w:t>-0.02</w:t>
            </w:r>
          </w:p>
        </w:tc>
        <w:tc>
          <w:tcPr>
            <w:tcW w:w="1105" w:type="dxa"/>
            <w:tcBorders>
              <w:top w:val="nil"/>
              <w:left w:val="nil"/>
              <w:bottom w:val="nil"/>
              <w:right w:val="nil"/>
            </w:tcBorders>
            <w:shd w:val="clear" w:color="auto" w:fill="auto"/>
            <w:noWrap/>
            <w:vAlign w:val="center"/>
            <w:hideMark/>
          </w:tcPr>
          <w:p w14:paraId="2BA0BC91" w14:textId="5BCE7D4A" w:rsidR="0057577C" w:rsidRDefault="0057577C">
            <w:pPr>
              <w:jc w:val="center"/>
              <w:rPr>
                <w:color w:val="000000"/>
                <w:sz w:val="20"/>
                <w:szCs w:val="20"/>
              </w:rPr>
            </w:pPr>
            <w:r>
              <w:rPr>
                <w:color w:val="000000"/>
                <w:sz w:val="20"/>
                <w:szCs w:val="20"/>
              </w:rPr>
              <w:t>-0.00</w:t>
            </w:r>
            <w:r w:rsidR="00380B4D">
              <w:rPr>
                <w:color w:val="000000"/>
                <w:sz w:val="20"/>
                <w:szCs w:val="20"/>
              </w:rPr>
              <w:t>6</w:t>
            </w:r>
          </w:p>
        </w:tc>
        <w:tc>
          <w:tcPr>
            <w:tcW w:w="1166" w:type="dxa"/>
            <w:tcBorders>
              <w:top w:val="nil"/>
              <w:left w:val="nil"/>
              <w:bottom w:val="nil"/>
              <w:right w:val="nil"/>
            </w:tcBorders>
            <w:shd w:val="clear" w:color="auto" w:fill="auto"/>
            <w:noWrap/>
            <w:vAlign w:val="center"/>
            <w:hideMark/>
          </w:tcPr>
          <w:p w14:paraId="506ED9EC" w14:textId="77777777" w:rsidR="0057577C" w:rsidRDefault="0057577C">
            <w:pPr>
              <w:jc w:val="center"/>
              <w:rPr>
                <w:color w:val="000000"/>
                <w:sz w:val="20"/>
                <w:szCs w:val="20"/>
              </w:rPr>
            </w:pPr>
            <w:r>
              <w:rPr>
                <w:color w:val="000000"/>
                <w:sz w:val="20"/>
                <w:szCs w:val="20"/>
              </w:rPr>
              <w:t>-0.012</w:t>
            </w:r>
          </w:p>
        </w:tc>
        <w:tc>
          <w:tcPr>
            <w:tcW w:w="1066" w:type="dxa"/>
            <w:tcBorders>
              <w:top w:val="nil"/>
              <w:left w:val="nil"/>
              <w:bottom w:val="nil"/>
              <w:right w:val="nil"/>
            </w:tcBorders>
            <w:shd w:val="clear" w:color="auto" w:fill="auto"/>
            <w:noWrap/>
            <w:vAlign w:val="center"/>
            <w:hideMark/>
          </w:tcPr>
          <w:p w14:paraId="47AB0501" w14:textId="77777777" w:rsidR="0057577C" w:rsidRDefault="0057577C">
            <w:pPr>
              <w:jc w:val="center"/>
              <w:rPr>
                <w:color w:val="000000"/>
                <w:sz w:val="20"/>
                <w:szCs w:val="20"/>
              </w:rPr>
            </w:pPr>
            <w:r>
              <w:rPr>
                <w:color w:val="000000"/>
                <w:sz w:val="20"/>
                <w:szCs w:val="20"/>
              </w:rPr>
              <w:t>-0.363</w:t>
            </w:r>
          </w:p>
        </w:tc>
        <w:tc>
          <w:tcPr>
            <w:tcW w:w="1266" w:type="dxa"/>
            <w:tcBorders>
              <w:top w:val="nil"/>
              <w:left w:val="nil"/>
              <w:bottom w:val="nil"/>
              <w:right w:val="nil"/>
            </w:tcBorders>
            <w:shd w:val="clear" w:color="auto" w:fill="auto"/>
            <w:noWrap/>
            <w:vAlign w:val="center"/>
            <w:hideMark/>
          </w:tcPr>
          <w:p w14:paraId="06EBE224" w14:textId="77777777" w:rsidR="0057577C" w:rsidRDefault="0057577C">
            <w:pPr>
              <w:jc w:val="center"/>
              <w:rPr>
                <w:color w:val="000000"/>
                <w:sz w:val="20"/>
                <w:szCs w:val="20"/>
              </w:rPr>
            </w:pPr>
            <w:r>
              <w:rPr>
                <w:color w:val="000000"/>
                <w:sz w:val="20"/>
                <w:szCs w:val="20"/>
              </w:rPr>
              <w:t>0.0347</w:t>
            </w:r>
          </w:p>
        </w:tc>
        <w:tc>
          <w:tcPr>
            <w:tcW w:w="1266" w:type="dxa"/>
            <w:tcBorders>
              <w:top w:val="nil"/>
              <w:left w:val="nil"/>
              <w:bottom w:val="nil"/>
              <w:right w:val="nil"/>
            </w:tcBorders>
            <w:shd w:val="clear" w:color="auto" w:fill="auto"/>
            <w:noWrap/>
            <w:vAlign w:val="center"/>
            <w:hideMark/>
          </w:tcPr>
          <w:p w14:paraId="224F2C56" w14:textId="77777777" w:rsidR="0057577C" w:rsidRDefault="0057577C">
            <w:pPr>
              <w:jc w:val="center"/>
              <w:rPr>
                <w:color w:val="000000"/>
                <w:sz w:val="20"/>
                <w:szCs w:val="20"/>
              </w:rPr>
            </w:pPr>
            <w:r>
              <w:rPr>
                <w:color w:val="000000"/>
                <w:sz w:val="20"/>
                <w:szCs w:val="20"/>
              </w:rPr>
              <w:t>-0.736</w:t>
            </w:r>
          </w:p>
        </w:tc>
        <w:tc>
          <w:tcPr>
            <w:tcW w:w="1461" w:type="dxa"/>
            <w:tcBorders>
              <w:top w:val="nil"/>
              <w:left w:val="nil"/>
              <w:bottom w:val="nil"/>
              <w:right w:val="nil"/>
            </w:tcBorders>
            <w:shd w:val="clear" w:color="auto" w:fill="auto"/>
            <w:noWrap/>
            <w:vAlign w:val="center"/>
            <w:hideMark/>
          </w:tcPr>
          <w:p w14:paraId="5264ADFE" w14:textId="77777777" w:rsidR="0057577C" w:rsidRDefault="0057577C">
            <w:pPr>
              <w:jc w:val="center"/>
              <w:rPr>
                <w:color w:val="000000"/>
                <w:sz w:val="20"/>
                <w:szCs w:val="20"/>
              </w:rPr>
            </w:pPr>
            <w:r>
              <w:rPr>
                <w:color w:val="000000"/>
                <w:sz w:val="20"/>
                <w:szCs w:val="20"/>
              </w:rPr>
              <w:t>-0.357</w:t>
            </w:r>
          </w:p>
        </w:tc>
      </w:tr>
      <w:tr w:rsidR="0057577C" w14:paraId="0D13B53B" w14:textId="77777777" w:rsidTr="00922ABE">
        <w:trPr>
          <w:trHeight w:val="310"/>
        </w:trPr>
        <w:tc>
          <w:tcPr>
            <w:tcW w:w="1694" w:type="dxa"/>
            <w:tcBorders>
              <w:top w:val="nil"/>
              <w:left w:val="nil"/>
              <w:bottom w:val="nil"/>
              <w:right w:val="nil"/>
            </w:tcBorders>
            <w:shd w:val="clear" w:color="auto" w:fill="auto"/>
            <w:vAlign w:val="bottom"/>
            <w:hideMark/>
          </w:tcPr>
          <w:p w14:paraId="2284278C" w14:textId="77777777" w:rsidR="0057577C" w:rsidRDefault="0057577C">
            <w:pPr>
              <w:jc w:val="center"/>
              <w:rPr>
                <w:color w:val="000000"/>
                <w:sz w:val="20"/>
                <w:szCs w:val="20"/>
              </w:rPr>
            </w:pPr>
          </w:p>
        </w:tc>
        <w:tc>
          <w:tcPr>
            <w:tcW w:w="1388" w:type="dxa"/>
            <w:tcBorders>
              <w:top w:val="nil"/>
              <w:left w:val="nil"/>
              <w:bottom w:val="nil"/>
              <w:right w:val="nil"/>
            </w:tcBorders>
            <w:shd w:val="clear" w:color="auto" w:fill="auto"/>
            <w:noWrap/>
            <w:vAlign w:val="center"/>
            <w:hideMark/>
          </w:tcPr>
          <w:p w14:paraId="42EDE313" w14:textId="1BA95EE5"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4</w:t>
            </w:r>
            <w:r>
              <w:rPr>
                <w:color w:val="000000"/>
                <w:sz w:val="20"/>
                <w:szCs w:val="20"/>
              </w:rPr>
              <w:t>)</w:t>
            </w:r>
          </w:p>
        </w:tc>
        <w:tc>
          <w:tcPr>
            <w:tcW w:w="1105" w:type="dxa"/>
            <w:tcBorders>
              <w:top w:val="nil"/>
              <w:left w:val="nil"/>
              <w:bottom w:val="nil"/>
              <w:right w:val="nil"/>
            </w:tcBorders>
            <w:shd w:val="clear" w:color="auto" w:fill="auto"/>
            <w:noWrap/>
            <w:vAlign w:val="center"/>
            <w:hideMark/>
          </w:tcPr>
          <w:p w14:paraId="3B2D391A" w14:textId="4BAA36F4"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05" w:type="dxa"/>
            <w:tcBorders>
              <w:top w:val="nil"/>
              <w:left w:val="nil"/>
              <w:bottom w:val="nil"/>
              <w:right w:val="nil"/>
            </w:tcBorders>
            <w:shd w:val="clear" w:color="auto" w:fill="auto"/>
            <w:noWrap/>
            <w:vAlign w:val="center"/>
            <w:hideMark/>
          </w:tcPr>
          <w:p w14:paraId="50F4752F" w14:textId="5C0B1E95"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6</w:t>
            </w:r>
            <w:r>
              <w:rPr>
                <w:color w:val="000000"/>
                <w:sz w:val="20"/>
                <w:szCs w:val="20"/>
              </w:rPr>
              <w:t>)</w:t>
            </w:r>
          </w:p>
        </w:tc>
        <w:tc>
          <w:tcPr>
            <w:tcW w:w="1166" w:type="dxa"/>
            <w:tcBorders>
              <w:top w:val="nil"/>
              <w:left w:val="nil"/>
              <w:bottom w:val="nil"/>
              <w:right w:val="nil"/>
            </w:tcBorders>
            <w:shd w:val="clear" w:color="auto" w:fill="auto"/>
            <w:noWrap/>
            <w:vAlign w:val="center"/>
            <w:hideMark/>
          </w:tcPr>
          <w:p w14:paraId="4D4064A4" w14:textId="31A12235"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8</w:t>
            </w:r>
            <w:r>
              <w:rPr>
                <w:color w:val="000000"/>
                <w:sz w:val="20"/>
                <w:szCs w:val="20"/>
              </w:rPr>
              <w:t>)</w:t>
            </w:r>
          </w:p>
        </w:tc>
        <w:tc>
          <w:tcPr>
            <w:tcW w:w="1066" w:type="dxa"/>
            <w:tcBorders>
              <w:top w:val="nil"/>
              <w:left w:val="nil"/>
              <w:bottom w:val="nil"/>
              <w:right w:val="nil"/>
            </w:tcBorders>
            <w:shd w:val="clear" w:color="auto" w:fill="auto"/>
            <w:noWrap/>
            <w:vAlign w:val="center"/>
            <w:hideMark/>
          </w:tcPr>
          <w:p w14:paraId="3A61B5E1" w14:textId="07CAB7DE" w:rsidR="0057577C" w:rsidRDefault="00CC1503">
            <w:pPr>
              <w:jc w:val="center"/>
              <w:rPr>
                <w:color w:val="000000"/>
                <w:sz w:val="20"/>
                <w:szCs w:val="20"/>
              </w:rPr>
            </w:pPr>
            <w:r>
              <w:rPr>
                <w:color w:val="000000"/>
                <w:sz w:val="20"/>
                <w:szCs w:val="20"/>
              </w:rPr>
              <w:t>(</w:t>
            </w:r>
            <w:r w:rsidR="0057577C">
              <w:rPr>
                <w:color w:val="000000"/>
                <w:sz w:val="20"/>
                <w:szCs w:val="20"/>
              </w:rPr>
              <w:t>0.047</w:t>
            </w:r>
            <w:r>
              <w:rPr>
                <w:color w:val="000000"/>
                <w:sz w:val="20"/>
                <w:szCs w:val="20"/>
              </w:rPr>
              <w:t>)</w:t>
            </w:r>
          </w:p>
        </w:tc>
        <w:tc>
          <w:tcPr>
            <w:tcW w:w="1266" w:type="dxa"/>
            <w:tcBorders>
              <w:top w:val="nil"/>
              <w:left w:val="nil"/>
              <w:bottom w:val="nil"/>
              <w:right w:val="nil"/>
            </w:tcBorders>
            <w:shd w:val="clear" w:color="auto" w:fill="auto"/>
            <w:noWrap/>
            <w:vAlign w:val="center"/>
            <w:hideMark/>
          </w:tcPr>
          <w:p w14:paraId="518B4B75" w14:textId="4E96E16B" w:rsidR="0057577C" w:rsidRDefault="00CC1503">
            <w:pPr>
              <w:jc w:val="center"/>
              <w:rPr>
                <w:color w:val="000000"/>
                <w:sz w:val="20"/>
                <w:szCs w:val="20"/>
              </w:rPr>
            </w:pPr>
            <w:r>
              <w:rPr>
                <w:color w:val="000000"/>
                <w:sz w:val="20"/>
                <w:szCs w:val="20"/>
              </w:rPr>
              <w:t>(</w:t>
            </w:r>
            <w:r w:rsidR="0057577C">
              <w:rPr>
                <w:color w:val="000000"/>
                <w:sz w:val="20"/>
                <w:szCs w:val="20"/>
              </w:rPr>
              <w:t>0.0814</w:t>
            </w:r>
            <w:r>
              <w:rPr>
                <w:color w:val="000000"/>
                <w:sz w:val="20"/>
                <w:szCs w:val="20"/>
              </w:rPr>
              <w:t>)</w:t>
            </w:r>
          </w:p>
        </w:tc>
        <w:tc>
          <w:tcPr>
            <w:tcW w:w="1266" w:type="dxa"/>
            <w:tcBorders>
              <w:top w:val="nil"/>
              <w:left w:val="nil"/>
              <w:bottom w:val="nil"/>
              <w:right w:val="nil"/>
            </w:tcBorders>
            <w:shd w:val="clear" w:color="auto" w:fill="auto"/>
            <w:noWrap/>
            <w:vAlign w:val="center"/>
            <w:hideMark/>
          </w:tcPr>
          <w:p w14:paraId="67DAB5B9" w14:textId="177E88BE" w:rsidR="0057577C" w:rsidRDefault="00CC1503">
            <w:pPr>
              <w:jc w:val="center"/>
              <w:rPr>
                <w:color w:val="000000"/>
                <w:sz w:val="20"/>
                <w:szCs w:val="20"/>
              </w:rPr>
            </w:pPr>
            <w:r>
              <w:rPr>
                <w:color w:val="000000"/>
                <w:sz w:val="20"/>
                <w:szCs w:val="20"/>
              </w:rPr>
              <w:t>(</w:t>
            </w:r>
            <w:r w:rsidR="0057577C">
              <w:rPr>
                <w:color w:val="000000"/>
                <w:sz w:val="20"/>
                <w:szCs w:val="20"/>
              </w:rPr>
              <w:t>0.0759</w:t>
            </w:r>
            <w:r>
              <w:rPr>
                <w:color w:val="000000"/>
                <w:sz w:val="20"/>
                <w:szCs w:val="20"/>
              </w:rPr>
              <w:t>)</w:t>
            </w:r>
          </w:p>
        </w:tc>
        <w:tc>
          <w:tcPr>
            <w:tcW w:w="1461" w:type="dxa"/>
            <w:tcBorders>
              <w:top w:val="nil"/>
              <w:left w:val="nil"/>
              <w:bottom w:val="nil"/>
              <w:right w:val="nil"/>
            </w:tcBorders>
            <w:shd w:val="clear" w:color="auto" w:fill="auto"/>
            <w:noWrap/>
            <w:vAlign w:val="center"/>
            <w:hideMark/>
          </w:tcPr>
          <w:p w14:paraId="4C7A5B77" w14:textId="7C1DC4FA" w:rsidR="0057577C" w:rsidRDefault="00CC1503">
            <w:pPr>
              <w:jc w:val="center"/>
              <w:rPr>
                <w:color w:val="000000"/>
                <w:sz w:val="20"/>
                <w:szCs w:val="20"/>
              </w:rPr>
            </w:pPr>
            <w:r>
              <w:rPr>
                <w:color w:val="000000"/>
                <w:sz w:val="20"/>
                <w:szCs w:val="20"/>
              </w:rPr>
              <w:t>(</w:t>
            </w:r>
            <w:r w:rsidR="0057577C">
              <w:rPr>
                <w:color w:val="000000"/>
                <w:sz w:val="20"/>
                <w:szCs w:val="20"/>
              </w:rPr>
              <w:t>0.0855</w:t>
            </w:r>
            <w:r>
              <w:rPr>
                <w:color w:val="000000"/>
                <w:sz w:val="20"/>
                <w:szCs w:val="20"/>
              </w:rPr>
              <w:t>)</w:t>
            </w:r>
          </w:p>
        </w:tc>
      </w:tr>
      <w:tr w:rsidR="0057577C" w14:paraId="70CE8BC5" w14:textId="77777777" w:rsidTr="00922ABE">
        <w:trPr>
          <w:trHeight w:val="272"/>
        </w:trPr>
        <w:tc>
          <w:tcPr>
            <w:tcW w:w="1694" w:type="dxa"/>
            <w:tcBorders>
              <w:top w:val="nil"/>
              <w:left w:val="nil"/>
              <w:bottom w:val="nil"/>
              <w:right w:val="nil"/>
            </w:tcBorders>
            <w:shd w:val="clear" w:color="auto" w:fill="auto"/>
            <w:vAlign w:val="center"/>
            <w:hideMark/>
          </w:tcPr>
          <w:p w14:paraId="481C5979" w14:textId="77777777" w:rsidR="0057577C" w:rsidRDefault="0057577C">
            <w:pPr>
              <w:rPr>
                <w:color w:val="000000"/>
                <w:sz w:val="20"/>
                <w:szCs w:val="20"/>
              </w:rPr>
            </w:pPr>
            <w:r>
              <w:rPr>
                <w:color w:val="000000"/>
                <w:sz w:val="20"/>
                <w:szCs w:val="20"/>
              </w:rPr>
              <w:t>Extraversion</w:t>
            </w:r>
          </w:p>
        </w:tc>
        <w:tc>
          <w:tcPr>
            <w:tcW w:w="1388" w:type="dxa"/>
            <w:tcBorders>
              <w:top w:val="nil"/>
              <w:left w:val="nil"/>
              <w:bottom w:val="nil"/>
              <w:right w:val="nil"/>
            </w:tcBorders>
            <w:shd w:val="clear" w:color="auto" w:fill="auto"/>
            <w:noWrap/>
            <w:vAlign w:val="center"/>
            <w:hideMark/>
          </w:tcPr>
          <w:p w14:paraId="02A143EA" w14:textId="77777777" w:rsidR="0057577C" w:rsidRDefault="0057577C">
            <w:pPr>
              <w:jc w:val="center"/>
              <w:rPr>
                <w:color w:val="000000"/>
                <w:sz w:val="20"/>
                <w:szCs w:val="20"/>
              </w:rPr>
            </w:pPr>
            <w:r>
              <w:rPr>
                <w:color w:val="000000"/>
                <w:sz w:val="20"/>
                <w:szCs w:val="20"/>
              </w:rPr>
              <w:t>0.028</w:t>
            </w:r>
          </w:p>
        </w:tc>
        <w:tc>
          <w:tcPr>
            <w:tcW w:w="1105" w:type="dxa"/>
            <w:tcBorders>
              <w:top w:val="nil"/>
              <w:left w:val="nil"/>
              <w:bottom w:val="nil"/>
              <w:right w:val="nil"/>
            </w:tcBorders>
            <w:shd w:val="clear" w:color="auto" w:fill="auto"/>
            <w:noWrap/>
            <w:vAlign w:val="center"/>
            <w:hideMark/>
          </w:tcPr>
          <w:p w14:paraId="7FB70A06" w14:textId="77777777" w:rsidR="0057577C" w:rsidRDefault="0057577C">
            <w:pPr>
              <w:jc w:val="center"/>
              <w:rPr>
                <w:color w:val="000000"/>
                <w:sz w:val="20"/>
                <w:szCs w:val="20"/>
              </w:rPr>
            </w:pPr>
            <w:r>
              <w:rPr>
                <w:color w:val="000000"/>
                <w:sz w:val="20"/>
                <w:szCs w:val="20"/>
              </w:rPr>
              <w:t>0.017</w:t>
            </w:r>
          </w:p>
        </w:tc>
        <w:tc>
          <w:tcPr>
            <w:tcW w:w="1105" w:type="dxa"/>
            <w:tcBorders>
              <w:top w:val="nil"/>
              <w:left w:val="nil"/>
              <w:bottom w:val="nil"/>
              <w:right w:val="nil"/>
            </w:tcBorders>
            <w:shd w:val="clear" w:color="auto" w:fill="auto"/>
            <w:noWrap/>
            <w:vAlign w:val="center"/>
            <w:hideMark/>
          </w:tcPr>
          <w:p w14:paraId="2C0873DB" w14:textId="0DAA0A32" w:rsidR="0057577C" w:rsidRDefault="0057577C">
            <w:pPr>
              <w:jc w:val="center"/>
              <w:rPr>
                <w:color w:val="000000"/>
                <w:sz w:val="20"/>
                <w:szCs w:val="20"/>
              </w:rPr>
            </w:pPr>
            <w:r>
              <w:rPr>
                <w:color w:val="000000"/>
                <w:sz w:val="20"/>
                <w:szCs w:val="20"/>
              </w:rPr>
              <w:t>0.0</w:t>
            </w:r>
            <w:r w:rsidR="00380B4D">
              <w:rPr>
                <w:color w:val="000000"/>
                <w:sz w:val="20"/>
                <w:szCs w:val="20"/>
              </w:rPr>
              <w:t>06</w:t>
            </w:r>
          </w:p>
        </w:tc>
        <w:tc>
          <w:tcPr>
            <w:tcW w:w="1166" w:type="dxa"/>
            <w:tcBorders>
              <w:top w:val="nil"/>
              <w:left w:val="nil"/>
              <w:bottom w:val="nil"/>
              <w:right w:val="nil"/>
            </w:tcBorders>
            <w:shd w:val="clear" w:color="auto" w:fill="auto"/>
            <w:noWrap/>
            <w:vAlign w:val="center"/>
            <w:hideMark/>
          </w:tcPr>
          <w:p w14:paraId="5B5163B6" w14:textId="4F55E9D1" w:rsidR="0057577C" w:rsidRDefault="0057577C">
            <w:pPr>
              <w:jc w:val="center"/>
              <w:rPr>
                <w:color w:val="000000"/>
                <w:sz w:val="20"/>
                <w:szCs w:val="20"/>
              </w:rPr>
            </w:pPr>
            <w:r>
              <w:rPr>
                <w:color w:val="000000"/>
                <w:sz w:val="20"/>
                <w:szCs w:val="20"/>
              </w:rPr>
              <w:t>0.03</w:t>
            </w:r>
            <w:r w:rsidR="00380B4D">
              <w:rPr>
                <w:color w:val="000000"/>
                <w:sz w:val="20"/>
                <w:szCs w:val="20"/>
              </w:rPr>
              <w:t>9</w:t>
            </w:r>
          </w:p>
        </w:tc>
        <w:tc>
          <w:tcPr>
            <w:tcW w:w="1066" w:type="dxa"/>
            <w:tcBorders>
              <w:top w:val="nil"/>
              <w:left w:val="nil"/>
              <w:bottom w:val="nil"/>
              <w:right w:val="nil"/>
            </w:tcBorders>
            <w:shd w:val="clear" w:color="auto" w:fill="auto"/>
            <w:noWrap/>
            <w:vAlign w:val="center"/>
            <w:hideMark/>
          </w:tcPr>
          <w:p w14:paraId="5C6B1E13" w14:textId="77777777" w:rsidR="0057577C" w:rsidRDefault="0057577C">
            <w:pPr>
              <w:jc w:val="center"/>
              <w:rPr>
                <w:color w:val="000000"/>
                <w:sz w:val="20"/>
                <w:szCs w:val="20"/>
              </w:rPr>
            </w:pPr>
            <w:r>
              <w:rPr>
                <w:color w:val="000000"/>
                <w:sz w:val="20"/>
                <w:szCs w:val="20"/>
              </w:rPr>
              <w:t>0.2</w:t>
            </w:r>
          </w:p>
        </w:tc>
        <w:tc>
          <w:tcPr>
            <w:tcW w:w="1266" w:type="dxa"/>
            <w:tcBorders>
              <w:top w:val="nil"/>
              <w:left w:val="nil"/>
              <w:bottom w:val="nil"/>
              <w:right w:val="nil"/>
            </w:tcBorders>
            <w:shd w:val="clear" w:color="auto" w:fill="auto"/>
            <w:noWrap/>
            <w:vAlign w:val="center"/>
            <w:hideMark/>
          </w:tcPr>
          <w:p w14:paraId="146D9A65" w14:textId="77777777" w:rsidR="0057577C" w:rsidRDefault="0057577C">
            <w:pPr>
              <w:jc w:val="center"/>
              <w:rPr>
                <w:color w:val="000000"/>
                <w:sz w:val="20"/>
                <w:szCs w:val="20"/>
              </w:rPr>
            </w:pPr>
            <w:r>
              <w:rPr>
                <w:color w:val="000000"/>
                <w:sz w:val="20"/>
                <w:szCs w:val="20"/>
              </w:rPr>
              <w:t>0.404</w:t>
            </w:r>
          </w:p>
        </w:tc>
        <w:tc>
          <w:tcPr>
            <w:tcW w:w="1266" w:type="dxa"/>
            <w:tcBorders>
              <w:top w:val="nil"/>
              <w:left w:val="nil"/>
              <w:bottom w:val="nil"/>
              <w:right w:val="nil"/>
            </w:tcBorders>
            <w:shd w:val="clear" w:color="auto" w:fill="auto"/>
            <w:noWrap/>
            <w:vAlign w:val="center"/>
            <w:hideMark/>
          </w:tcPr>
          <w:p w14:paraId="4BC8BFDA" w14:textId="77777777" w:rsidR="0057577C" w:rsidRDefault="0057577C">
            <w:pPr>
              <w:jc w:val="center"/>
              <w:rPr>
                <w:color w:val="000000"/>
                <w:sz w:val="20"/>
                <w:szCs w:val="20"/>
              </w:rPr>
            </w:pPr>
            <w:r>
              <w:rPr>
                <w:color w:val="000000"/>
                <w:sz w:val="20"/>
                <w:szCs w:val="20"/>
              </w:rPr>
              <w:t>0.158</w:t>
            </w:r>
          </w:p>
        </w:tc>
        <w:tc>
          <w:tcPr>
            <w:tcW w:w="1461" w:type="dxa"/>
            <w:tcBorders>
              <w:top w:val="nil"/>
              <w:left w:val="nil"/>
              <w:bottom w:val="nil"/>
              <w:right w:val="nil"/>
            </w:tcBorders>
            <w:shd w:val="clear" w:color="auto" w:fill="auto"/>
            <w:noWrap/>
            <w:vAlign w:val="center"/>
            <w:hideMark/>
          </w:tcPr>
          <w:p w14:paraId="6F74D9A5" w14:textId="77777777" w:rsidR="0057577C" w:rsidRDefault="0057577C">
            <w:pPr>
              <w:jc w:val="center"/>
              <w:rPr>
                <w:color w:val="000000"/>
                <w:sz w:val="20"/>
                <w:szCs w:val="20"/>
              </w:rPr>
            </w:pPr>
            <w:r>
              <w:rPr>
                <w:color w:val="000000"/>
                <w:sz w:val="20"/>
                <w:szCs w:val="20"/>
              </w:rPr>
              <w:t>0.0354</w:t>
            </w:r>
          </w:p>
        </w:tc>
      </w:tr>
      <w:tr w:rsidR="0057577C" w14:paraId="2041F97D" w14:textId="77777777" w:rsidTr="00922ABE">
        <w:trPr>
          <w:trHeight w:val="310"/>
        </w:trPr>
        <w:tc>
          <w:tcPr>
            <w:tcW w:w="1694" w:type="dxa"/>
            <w:tcBorders>
              <w:top w:val="nil"/>
              <w:left w:val="nil"/>
              <w:bottom w:val="nil"/>
              <w:right w:val="nil"/>
            </w:tcBorders>
            <w:shd w:val="clear" w:color="auto" w:fill="auto"/>
            <w:vAlign w:val="bottom"/>
            <w:hideMark/>
          </w:tcPr>
          <w:p w14:paraId="3ED4F615" w14:textId="77777777" w:rsidR="0057577C" w:rsidRDefault="0057577C">
            <w:pPr>
              <w:jc w:val="center"/>
              <w:rPr>
                <w:color w:val="000000"/>
                <w:sz w:val="20"/>
                <w:szCs w:val="20"/>
              </w:rPr>
            </w:pPr>
          </w:p>
        </w:tc>
        <w:tc>
          <w:tcPr>
            <w:tcW w:w="1388" w:type="dxa"/>
            <w:tcBorders>
              <w:top w:val="nil"/>
              <w:left w:val="nil"/>
              <w:bottom w:val="nil"/>
              <w:right w:val="nil"/>
            </w:tcBorders>
            <w:shd w:val="clear" w:color="auto" w:fill="auto"/>
            <w:noWrap/>
            <w:vAlign w:val="center"/>
            <w:hideMark/>
          </w:tcPr>
          <w:p w14:paraId="0AF164AA" w14:textId="2DF7E5F9"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4</w:t>
            </w:r>
            <w:r>
              <w:rPr>
                <w:color w:val="000000"/>
                <w:sz w:val="20"/>
                <w:szCs w:val="20"/>
              </w:rPr>
              <w:t>)</w:t>
            </w:r>
          </w:p>
        </w:tc>
        <w:tc>
          <w:tcPr>
            <w:tcW w:w="1105" w:type="dxa"/>
            <w:tcBorders>
              <w:top w:val="nil"/>
              <w:left w:val="nil"/>
              <w:bottom w:val="nil"/>
              <w:right w:val="nil"/>
            </w:tcBorders>
            <w:shd w:val="clear" w:color="auto" w:fill="auto"/>
            <w:noWrap/>
            <w:vAlign w:val="center"/>
            <w:hideMark/>
          </w:tcPr>
          <w:p w14:paraId="69AF89D9" w14:textId="1A3E3C47"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5</w:t>
            </w:r>
            <w:r>
              <w:rPr>
                <w:color w:val="000000"/>
                <w:sz w:val="20"/>
                <w:szCs w:val="20"/>
              </w:rPr>
              <w:t>)</w:t>
            </w:r>
          </w:p>
        </w:tc>
        <w:tc>
          <w:tcPr>
            <w:tcW w:w="1105" w:type="dxa"/>
            <w:tcBorders>
              <w:top w:val="nil"/>
              <w:left w:val="nil"/>
              <w:bottom w:val="nil"/>
              <w:right w:val="nil"/>
            </w:tcBorders>
            <w:shd w:val="clear" w:color="auto" w:fill="auto"/>
            <w:noWrap/>
            <w:vAlign w:val="center"/>
            <w:hideMark/>
          </w:tcPr>
          <w:p w14:paraId="0E483D99" w14:textId="10A5918A" w:rsidR="0057577C" w:rsidRDefault="00CC1503">
            <w:pPr>
              <w:jc w:val="center"/>
              <w:rPr>
                <w:color w:val="000000"/>
                <w:sz w:val="20"/>
                <w:szCs w:val="20"/>
              </w:rPr>
            </w:pPr>
            <w:r>
              <w:rPr>
                <w:color w:val="000000"/>
                <w:sz w:val="20"/>
                <w:szCs w:val="20"/>
              </w:rPr>
              <w:t>(</w:t>
            </w:r>
            <w:r w:rsidR="0057577C">
              <w:rPr>
                <w:color w:val="000000"/>
                <w:sz w:val="20"/>
                <w:szCs w:val="20"/>
              </w:rPr>
              <w:t>0.002</w:t>
            </w:r>
            <w:r>
              <w:rPr>
                <w:color w:val="000000"/>
                <w:sz w:val="20"/>
                <w:szCs w:val="20"/>
              </w:rPr>
              <w:t>)</w:t>
            </w:r>
          </w:p>
        </w:tc>
        <w:tc>
          <w:tcPr>
            <w:tcW w:w="1166" w:type="dxa"/>
            <w:tcBorders>
              <w:top w:val="nil"/>
              <w:left w:val="nil"/>
              <w:bottom w:val="nil"/>
              <w:right w:val="nil"/>
            </w:tcBorders>
            <w:shd w:val="clear" w:color="auto" w:fill="auto"/>
            <w:noWrap/>
            <w:vAlign w:val="center"/>
            <w:hideMark/>
          </w:tcPr>
          <w:p w14:paraId="046FE26A" w14:textId="609B39D2" w:rsidR="0057577C" w:rsidRDefault="00CC1503">
            <w:pPr>
              <w:jc w:val="center"/>
              <w:rPr>
                <w:color w:val="000000"/>
                <w:sz w:val="20"/>
                <w:szCs w:val="20"/>
              </w:rPr>
            </w:pPr>
            <w:r>
              <w:rPr>
                <w:color w:val="000000"/>
                <w:sz w:val="20"/>
                <w:szCs w:val="20"/>
              </w:rPr>
              <w:t>(</w:t>
            </w:r>
            <w:r w:rsidR="0057577C">
              <w:rPr>
                <w:color w:val="000000"/>
                <w:sz w:val="20"/>
                <w:szCs w:val="20"/>
              </w:rPr>
              <w:t>0.00</w:t>
            </w:r>
            <w:r w:rsidR="00380B4D">
              <w:rPr>
                <w:color w:val="000000"/>
                <w:sz w:val="20"/>
                <w:szCs w:val="20"/>
              </w:rPr>
              <w:t>8</w:t>
            </w:r>
            <w:r>
              <w:rPr>
                <w:color w:val="000000"/>
                <w:sz w:val="20"/>
                <w:szCs w:val="20"/>
              </w:rPr>
              <w:t>)</w:t>
            </w:r>
          </w:p>
        </w:tc>
        <w:tc>
          <w:tcPr>
            <w:tcW w:w="1066" w:type="dxa"/>
            <w:tcBorders>
              <w:top w:val="nil"/>
              <w:left w:val="nil"/>
              <w:bottom w:val="nil"/>
              <w:right w:val="nil"/>
            </w:tcBorders>
            <w:shd w:val="clear" w:color="auto" w:fill="auto"/>
            <w:noWrap/>
            <w:vAlign w:val="center"/>
            <w:hideMark/>
          </w:tcPr>
          <w:p w14:paraId="534DA917" w14:textId="28FF3B57" w:rsidR="0057577C" w:rsidRDefault="00CC1503">
            <w:pPr>
              <w:jc w:val="center"/>
              <w:rPr>
                <w:color w:val="000000"/>
                <w:sz w:val="20"/>
                <w:szCs w:val="20"/>
              </w:rPr>
            </w:pPr>
            <w:r>
              <w:rPr>
                <w:color w:val="000000"/>
                <w:sz w:val="20"/>
                <w:szCs w:val="20"/>
              </w:rPr>
              <w:t>(</w:t>
            </w:r>
            <w:r w:rsidR="0057577C">
              <w:rPr>
                <w:color w:val="000000"/>
                <w:sz w:val="20"/>
                <w:szCs w:val="20"/>
              </w:rPr>
              <w:t>0.049</w:t>
            </w:r>
            <w:r>
              <w:rPr>
                <w:color w:val="000000"/>
                <w:sz w:val="20"/>
                <w:szCs w:val="20"/>
              </w:rPr>
              <w:t>)</w:t>
            </w:r>
          </w:p>
        </w:tc>
        <w:tc>
          <w:tcPr>
            <w:tcW w:w="1266" w:type="dxa"/>
            <w:tcBorders>
              <w:top w:val="nil"/>
              <w:left w:val="nil"/>
              <w:bottom w:val="nil"/>
              <w:right w:val="nil"/>
            </w:tcBorders>
            <w:shd w:val="clear" w:color="auto" w:fill="auto"/>
            <w:noWrap/>
            <w:vAlign w:val="center"/>
            <w:hideMark/>
          </w:tcPr>
          <w:p w14:paraId="655CB41D" w14:textId="1A74A26D" w:rsidR="0057577C" w:rsidRDefault="00CC1503">
            <w:pPr>
              <w:jc w:val="center"/>
              <w:rPr>
                <w:color w:val="000000"/>
                <w:sz w:val="20"/>
                <w:szCs w:val="20"/>
              </w:rPr>
            </w:pPr>
            <w:r>
              <w:rPr>
                <w:color w:val="000000"/>
                <w:sz w:val="20"/>
                <w:szCs w:val="20"/>
              </w:rPr>
              <w:t>(</w:t>
            </w:r>
            <w:r w:rsidR="0057577C">
              <w:rPr>
                <w:color w:val="000000"/>
                <w:sz w:val="20"/>
                <w:szCs w:val="20"/>
              </w:rPr>
              <w:t>0.0888</w:t>
            </w:r>
            <w:r>
              <w:rPr>
                <w:color w:val="000000"/>
                <w:sz w:val="20"/>
                <w:szCs w:val="20"/>
              </w:rPr>
              <w:t>)</w:t>
            </w:r>
          </w:p>
        </w:tc>
        <w:tc>
          <w:tcPr>
            <w:tcW w:w="1266" w:type="dxa"/>
            <w:tcBorders>
              <w:top w:val="nil"/>
              <w:left w:val="nil"/>
              <w:bottom w:val="nil"/>
              <w:right w:val="nil"/>
            </w:tcBorders>
            <w:shd w:val="clear" w:color="auto" w:fill="auto"/>
            <w:noWrap/>
            <w:vAlign w:val="center"/>
            <w:hideMark/>
          </w:tcPr>
          <w:p w14:paraId="3076B7CB" w14:textId="452D0670" w:rsidR="0057577C" w:rsidRDefault="00CC1503">
            <w:pPr>
              <w:jc w:val="center"/>
              <w:rPr>
                <w:color w:val="000000"/>
                <w:sz w:val="20"/>
                <w:szCs w:val="20"/>
              </w:rPr>
            </w:pPr>
            <w:r>
              <w:rPr>
                <w:color w:val="000000"/>
                <w:sz w:val="20"/>
                <w:szCs w:val="20"/>
              </w:rPr>
              <w:t>(</w:t>
            </w:r>
            <w:r w:rsidR="0057577C">
              <w:rPr>
                <w:color w:val="000000"/>
                <w:sz w:val="20"/>
                <w:szCs w:val="20"/>
              </w:rPr>
              <w:t>0.0765</w:t>
            </w:r>
            <w:r>
              <w:rPr>
                <w:color w:val="000000"/>
                <w:sz w:val="20"/>
                <w:szCs w:val="20"/>
              </w:rPr>
              <w:t>)</w:t>
            </w:r>
          </w:p>
        </w:tc>
        <w:tc>
          <w:tcPr>
            <w:tcW w:w="1461" w:type="dxa"/>
            <w:tcBorders>
              <w:top w:val="nil"/>
              <w:left w:val="nil"/>
              <w:bottom w:val="nil"/>
              <w:right w:val="nil"/>
            </w:tcBorders>
            <w:shd w:val="clear" w:color="auto" w:fill="auto"/>
            <w:noWrap/>
            <w:vAlign w:val="center"/>
            <w:hideMark/>
          </w:tcPr>
          <w:p w14:paraId="5575B8DE" w14:textId="2DCE25AE" w:rsidR="0057577C" w:rsidRDefault="00CC1503">
            <w:pPr>
              <w:jc w:val="center"/>
              <w:rPr>
                <w:color w:val="000000"/>
                <w:sz w:val="20"/>
                <w:szCs w:val="20"/>
              </w:rPr>
            </w:pPr>
            <w:r>
              <w:rPr>
                <w:color w:val="000000"/>
                <w:sz w:val="20"/>
                <w:szCs w:val="20"/>
              </w:rPr>
              <w:t>(</w:t>
            </w:r>
            <w:r w:rsidR="0057577C">
              <w:rPr>
                <w:color w:val="000000"/>
                <w:sz w:val="20"/>
                <w:szCs w:val="20"/>
              </w:rPr>
              <w:t>0.0837</w:t>
            </w:r>
            <w:r>
              <w:rPr>
                <w:color w:val="000000"/>
                <w:sz w:val="20"/>
                <w:szCs w:val="20"/>
              </w:rPr>
              <w:t>)</w:t>
            </w:r>
          </w:p>
        </w:tc>
      </w:tr>
      <w:tr w:rsidR="0057577C" w14:paraId="09E7F35C" w14:textId="77777777" w:rsidTr="00922ABE">
        <w:trPr>
          <w:trHeight w:val="272"/>
        </w:trPr>
        <w:tc>
          <w:tcPr>
            <w:tcW w:w="1694" w:type="dxa"/>
            <w:tcBorders>
              <w:top w:val="nil"/>
              <w:left w:val="nil"/>
              <w:bottom w:val="nil"/>
              <w:right w:val="nil"/>
            </w:tcBorders>
            <w:shd w:val="clear" w:color="auto" w:fill="auto"/>
            <w:vAlign w:val="center"/>
            <w:hideMark/>
          </w:tcPr>
          <w:p w14:paraId="1E0CE5E9" w14:textId="77777777" w:rsidR="0057577C" w:rsidRDefault="0057577C">
            <w:pPr>
              <w:rPr>
                <w:color w:val="000000"/>
                <w:sz w:val="20"/>
                <w:szCs w:val="20"/>
              </w:rPr>
            </w:pPr>
            <w:r>
              <w:rPr>
                <w:color w:val="000000"/>
                <w:sz w:val="20"/>
                <w:szCs w:val="20"/>
              </w:rPr>
              <w:t>Observations</w:t>
            </w:r>
          </w:p>
        </w:tc>
        <w:tc>
          <w:tcPr>
            <w:tcW w:w="1388" w:type="dxa"/>
            <w:tcBorders>
              <w:top w:val="nil"/>
              <w:left w:val="nil"/>
              <w:bottom w:val="nil"/>
              <w:right w:val="nil"/>
            </w:tcBorders>
            <w:shd w:val="clear" w:color="auto" w:fill="auto"/>
            <w:noWrap/>
            <w:vAlign w:val="center"/>
            <w:hideMark/>
          </w:tcPr>
          <w:p w14:paraId="6FDCE9A4" w14:textId="0AF2B025" w:rsidR="0057577C" w:rsidRDefault="0057577C">
            <w:pPr>
              <w:jc w:val="center"/>
              <w:rPr>
                <w:color w:val="000000"/>
                <w:sz w:val="20"/>
                <w:szCs w:val="20"/>
              </w:rPr>
            </w:pPr>
            <w:r>
              <w:rPr>
                <w:color w:val="000000"/>
                <w:sz w:val="20"/>
                <w:szCs w:val="20"/>
              </w:rPr>
              <w:t>15</w:t>
            </w:r>
            <w:r w:rsidR="00380B4D">
              <w:rPr>
                <w:color w:val="000000"/>
                <w:sz w:val="20"/>
                <w:szCs w:val="20"/>
              </w:rPr>
              <w:t>4</w:t>
            </w:r>
            <w:r>
              <w:rPr>
                <w:color w:val="000000"/>
                <w:sz w:val="20"/>
                <w:szCs w:val="20"/>
              </w:rPr>
              <w:t>,</w:t>
            </w:r>
            <w:r w:rsidR="00380B4D">
              <w:rPr>
                <w:color w:val="000000"/>
                <w:sz w:val="20"/>
                <w:szCs w:val="20"/>
              </w:rPr>
              <w:t>142</w:t>
            </w:r>
          </w:p>
        </w:tc>
        <w:tc>
          <w:tcPr>
            <w:tcW w:w="1105" w:type="dxa"/>
            <w:tcBorders>
              <w:top w:val="nil"/>
              <w:left w:val="nil"/>
              <w:bottom w:val="nil"/>
              <w:right w:val="nil"/>
            </w:tcBorders>
            <w:shd w:val="clear" w:color="auto" w:fill="auto"/>
            <w:noWrap/>
            <w:vAlign w:val="center"/>
            <w:hideMark/>
          </w:tcPr>
          <w:p w14:paraId="08FC3C28" w14:textId="1B5C20FC" w:rsidR="0057577C" w:rsidRDefault="0057577C">
            <w:pPr>
              <w:jc w:val="center"/>
              <w:rPr>
                <w:color w:val="000000"/>
                <w:sz w:val="20"/>
                <w:szCs w:val="20"/>
              </w:rPr>
            </w:pPr>
            <w:r>
              <w:rPr>
                <w:color w:val="000000"/>
                <w:sz w:val="20"/>
                <w:szCs w:val="20"/>
              </w:rPr>
              <w:t>57,</w:t>
            </w:r>
            <w:r w:rsidR="00380B4D">
              <w:rPr>
                <w:color w:val="000000"/>
                <w:sz w:val="20"/>
                <w:szCs w:val="20"/>
              </w:rPr>
              <w:t>285</w:t>
            </w:r>
          </w:p>
        </w:tc>
        <w:tc>
          <w:tcPr>
            <w:tcW w:w="1105" w:type="dxa"/>
            <w:tcBorders>
              <w:top w:val="nil"/>
              <w:left w:val="nil"/>
              <w:bottom w:val="nil"/>
              <w:right w:val="nil"/>
            </w:tcBorders>
            <w:shd w:val="clear" w:color="auto" w:fill="auto"/>
            <w:noWrap/>
            <w:vAlign w:val="center"/>
            <w:hideMark/>
          </w:tcPr>
          <w:p w14:paraId="4F9C7C82" w14:textId="386A1719" w:rsidR="0057577C" w:rsidRDefault="0057577C">
            <w:pPr>
              <w:jc w:val="center"/>
              <w:rPr>
                <w:color w:val="000000"/>
                <w:sz w:val="20"/>
                <w:szCs w:val="20"/>
              </w:rPr>
            </w:pPr>
            <w:r>
              <w:rPr>
                <w:color w:val="000000"/>
                <w:sz w:val="20"/>
                <w:szCs w:val="20"/>
              </w:rPr>
              <w:t>64,</w:t>
            </w:r>
            <w:r w:rsidR="00380B4D">
              <w:rPr>
                <w:color w:val="000000"/>
                <w:sz w:val="20"/>
                <w:szCs w:val="20"/>
              </w:rPr>
              <w:t>029</w:t>
            </w:r>
          </w:p>
        </w:tc>
        <w:tc>
          <w:tcPr>
            <w:tcW w:w="1166" w:type="dxa"/>
            <w:tcBorders>
              <w:top w:val="nil"/>
              <w:left w:val="nil"/>
              <w:bottom w:val="nil"/>
              <w:right w:val="nil"/>
            </w:tcBorders>
            <w:shd w:val="clear" w:color="auto" w:fill="auto"/>
            <w:noWrap/>
            <w:vAlign w:val="center"/>
            <w:hideMark/>
          </w:tcPr>
          <w:p w14:paraId="416166FC" w14:textId="2DE0787A" w:rsidR="0057577C" w:rsidRDefault="0057577C">
            <w:pPr>
              <w:jc w:val="center"/>
              <w:rPr>
                <w:color w:val="000000"/>
                <w:sz w:val="20"/>
                <w:szCs w:val="20"/>
              </w:rPr>
            </w:pPr>
            <w:r>
              <w:rPr>
                <w:color w:val="000000"/>
                <w:sz w:val="20"/>
                <w:szCs w:val="20"/>
              </w:rPr>
              <w:t>3</w:t>
            </w:r>
            <w:r w:rsidR="00380B4D">
              <w:rPr>
                <w:color w:val="000000"/>
                <w:sz w:val="20"/>
                <w:szCs w:val="20"/>
              </w:rPr>
              <w:t>2</w:t>
            </w:r>
            <w:r>
              <w:rPr>
                <w:color w:val="000000"/>
                <w:sz w:val="20"/>
                <w:szCs w:val="20"/>
              </w:rPr>
              <w:t>,</w:t>
            </w:r>
            <w:r w:rsidR="00380B4D">
              <w:rPr>
                <w:color w:val="000000"/>
                <w:sz w:val="20"/>
                <w:szCs w:val="20"/>
              </w:rPr>
              <w:t>828</w:t>
            </w:r>
          </w:p>
        </w:tc>
        <w:tc>
          <w:tcPr>
            <w:tcW w:w="1066" w:type="dxa"/>
            <w:tcBorders>
              <w:top w:val="nil"/>
              <w:left w:val="nil"/>
              <w:bottom w:val="nil"/>
              <w:right w:val="nil"/>
            </w:tcBorders>
            <w:shd w:val="clear" w:color="auto" w:fill="auto"/>
            <w:noWrap/>
            <w:vAlign w:val="center"/>
            <w:hideMark/>
          </w:tcPr>
          <w:p w14:paraId="50B8B0A1" w14:textId="177AAEEC" w:rsidR="0057577C" w:rsidRDefault="0057577C">
            <w:pPr>
              <w:jc w:val="center"/>
              <w:rPr>
                <w:color w:val="000000"/>
                <w:sz w:val="20"/>
                <w:szCs w:val="20"/>
              </w:rPr>
            </w:pPr>
            <w:r>
              <w:rPr>
                <w:color w:val="000000"/>
                <w:sz w:val="20"/>
                <w:szCs w:val="20"/>
              </w:rPr>
              <w:t>38</w:t>
            </w:r>
            <w:r w:rsidR="00380B4D">
              <w:rPr>
                <w:color w:val="000000"/>
                <w:sz w:val="20"/>
                <w:szCs w:val="20"/>
              </w:rPr>
              <w:t>,739</w:t>
            </w:r>
          </w:p>
        </w:tc>
        <w:tc>
          <w:tcPr>
            <w:tcW w:w="1266" w:type="dxa"/>
            <w:tcBorders>
              <w:top w:val="nil"/>
              <w:left w:val="nil"/>
              <w:bottom w:val="nil"/>
              <w:right w:val="nil"/>
            </w:tcBorders>
            <w:shd w:val="clear" w:color="auto" w:fill="auto"/>
            <w:noWrap/>
            <w:vAlign w:val="center"/>
            <w:hideMark/>
          </w:tcPr>
          <w:p w14:paraId="585CFD95" w14:textId="58955BF7" w:rsidR="0057577C" w:rsidRDefault="00380B4D">
            <w:pPr>
              <w:jc w:val="center"/>
              <w:rPr>
                <w:color w:val="000000"/>
                <w:sz w:val="20"/>
                <w:szCs w:val="20"/>
              </w:rPr>
            </w:pPr>
            <w:r>
              <w:rPr>
                <w:color w:val="000000"/>
                <w:sz w:val="20"/>
                <w:szCs w:val="20"/>
              </w:rPr>
              <w:t>10,960</w:t>
            </w:r>
          </w:p>
        </w:tc>
        <w:tc>
          <w:tcPr>
            <w:tcW w:w="1266" w:type="dxa"/>
            <w:tcBorders>
              <w:top w:val="nil"/>
              <w:left w:val="nil"/>
              <w:bottom w:val="nil"/>
              <w:right w:val="nil"/>
            </w:tcBorders>
            <w:shd w:val="clear" w:color="auto" w:fill="auto"/>
            <w:noWrap/>
            <w:vAlign w:val="center"/>
            <w:hideMark/>
          </w:tcPr>
          <w:p w14:paraId="027928F4" w14:textId="74F5F076" w:rsidR="0057577C" w:rsidRDefault="00380B4D">
            <w:pPr>
              <w:jc w:val="center"/>
              <w:rPr>
                <w:color w:val="000000"/>
                <w:sz w:val="20"/>
                <w:szCs w:val="20"/>
              </w:rPr>
            </w:pPr>
            <w:r>
              <w:rPr>
                <w:color w:val="000000"/>
                <w:sz w:val="20"/>
                <w:szCs w:val="20"/>
              </w:rPr>
              <w:t>17,582</w:t>
            </w:r>
          </w:p>
        </w:tc>
        <w:tc>
          <w:tcPr>
            <w:tcW w:w="1461" w:type="dxa"/>
            <w:tcBorders>
              <w:top w:val="nil"/>
              <w:left w:val="nil"/>
              <w:bottom w:val="nil"/>
              <w:right w:val="nil"/>
            </w:tcBorders>
            <w:shd w:val="clear" w:color="auto" w:fill="auto"/>
            <w:noWrap/>
            <w:vAlign w:val="center"/>
            <w:hideMark/>
          </w:tcPr>
          <w:p w14:paraId="7D24DAB9" w14:textId="1A16E7FD" w:rsidR="0057577C" w:rsidRDefault="00380B4D">
            <w:pPr>
              <w:jc w:val="center"/>
              <w:rPr>
                <w:color w:val="000000"/>
                <w:sz w:val="20"/>
                <w:szCs w:val="20"/>
              </w:rPr>
            </w:pPr>
            <w:r>
              <w:rPr>
                <w:color w:val="000000"/>
                <w:sz w:val="20"/>
                <w:szCs w:val="20"/>
              </w:rPr>
              <w:t>10,197</w:t>
            </w:r>
          </w:p>
        </w:tc>
      </w:tr>
      <w:tr w:rsidR="00380B4D" w14:paraId="49438A33" w14:textId="77777777" w:rsidTr="00922ABE">
        <w:trPr>
          <w:trHeight w:val="291"/>
        </w:trPr>
        <w:tc>
          <w:tcPr>
            <w:tcW w:w="1694" w:type="dxa"/>
            <w:tcBorders>
              <w:top w:val="nil"/>
              <w:left w:val="nil"/>
              <w:right w:val="nil"/>
            </w:tcBorders>
            <w:shd w:val="clear" w:color="auto" w:fill="auto"/>
            <w:vAlign w:val="center"/>
            <w:hideMark/>
          </w:tcPr>
          <w:p w14:paraId="0AE48DF4" w14:textId="7BCE97F8" w:rsidR="00380B4D" w:rsidRDefault="00380B4D" w:rsidP="00380B4D">
            <w:pPr>
              <w:rPr>
                <w:color w:val="000000"/>
                <w:sz w:val="20"/>
                <w:szCs w:val="20"/>
              </w:rPr>
            </w:pPr>
            <w:r>
              <w:rPr>
                <w:color w:val="000000"/>
                <w:sz w:val="20"/>
                <w:szCs w:val="20"/>
              </w:rPr>
              <w:t>Controls</w:t>
            </w:r>
          </w:p>
        </w:tc>
        <w:tc>
          <w:tcPr>
            <w:tcW w:w="1388" w:type="dxa"/>
            <w:tcBorders>
              <w:top w:val="nil"/>
              <w:left w:val="nil"/>
              <w:right w:val="nil"/>
            </w:tcBorders>
            <w:shd w:val="clear" w:color="auto" w:fill="auto"/>
            <w:noWrap/>
            <w:vAlign w:val="center"/>
            <w:hideMark/>
          </w:tcPr>
          <w:p w14:paraId="7D26709A" w14:textId="3FA8F4BD" w:rsidR="00380B4D" w:rsidRDefault="00380B4D" w:rsidP="00380B4D">
            <w:pPr>
              <w:jc w:val="center"/>
              <w:rPr>
                <w:color w:val="000000"/>
                <w:sz w:val="20"/>
                <w:szCs w:val="20"/>
              </w:rPr>
            </w:pPr>
            <w:r>
              <w:rPr>
                <w:color w:val="000000"/>
                <w:sz w:val="20"/>
                <w:szCs w:val="20"/>
              </w:rPr>
              <w:t>YES</w:t>
            </w:r>
          </w:p>
        </w:tc>
        <w:tc>
          <w:tcPr>
            <w:tcW w:w="1105" w:type="dxa"/>
            <w:tcBorders>
              <w:top w:val="nil"/>
              <w:left w:val="nil"/>
              <w:right w:val="nil"/>
            </w:tcBorders>
            <w:shd w:val="clear" w:color="auto" w:fill="auto"/>
            <w:noWrap/>
            <w:vAlign w:val="center"/>
            <w:hideMark/>
          </w:tcPr>
          <w:p w14:paraId="46BAAF2B" w14:textId="4FC1C303" w:rsidR="00380B4D" w:rsidRDefault="00380B4D" w:rsidP="00380B4D">
            <w:pPr>
              <w:jc w:val="center"/>
              <w:rPr>
                <w:color w:val="000000"/>
                <w:sz w:val="20"/>
                <w:szCs w:val="20"/>
              </w:rPr>
            </w:pPr>
            <w:r>
              <w:rPr>
                <w:color w:val="000000"/>
                <w:sz w:val="20"/>
                <w:szCs w:val="20"/>
              </w:rPr>
              <w:t>YES</w:t>
            </w:r>
          </w:p>
        </w:tc>
        <w:tc>
          <w:tcPr>
            <w:tcW w:w="1105" w:type="dxa"/>
            <w:tcBorders>
              <w:top w:val="nil"/>
              <w:left w:val="nil"/>
              <w:right w:val="nil"/>
            </w:tcBorders>
            <w:shd w:val="clear" w:color="auto" w:fill="auto"/>
            <w:noWrap/>
            <w:vAlign w:val="center"/>
            <w:hideMark/>
          </w:tcPr>
          <w:p w14:paraId="02DEDBC4" w14:textId="57632773" w:rsidR="00380B4D" w:rsidRDefault="00380B4D" w:rsidP="00380B4D">
            <w:pPr>
              <w:jc w:val="center"/>
              <w:rPr>
                <w:color w:val="000000"/>
                <w:sz w:val="20"/>
                <w:szCs w:val="20"/>
              </w:rPr>
            </w:pPr>
            <w:r>
              <w:rPr>
                <w:color w:val="000000"/>
                <w:sz w:val="20"/>
                <w:szCs w:val="20"/>
              </w:rPr>
              <w:t>YES</w:t>
            </w:r>
          </w:p>
        </w:tc>
        <w:tc>
          <w:tcPr>
            <w:tcW w:w="1166" w:type="dxa"/>
            <w:tcBorders>
              <w:top w:val="nil"/>
              <w:left w:val="nil"/>
              <w:right w:val="nil"/>
            </w:tcBorders>
            <w:shd w:val="clear" w:color="auto" w:fill="auto"/>
            <w:noWrap/>
            <w:vAlign w:val="center"/>
            <w:hideMark/>
          </w:tcPr>
          <w:p w14:paraId="3AA1AB32" w14:textId="11ED4D0F" w:rsidR="00380B4D" w:rsidRDefault="00380B4D" w:rsidP="00380B4D">
            <w:pPr>
              <w:jc w:val="center"/>
              <w:rPr>
                <w:color w:val="000000"/>
                <w:sz w:val="20"/>
                <w:szCs w:val="20"/>
              </w:rPr>
            </w:pPr>
            <w:r>
              <w:rPr>
                <w:color w:val="000000"/>
                <w:sz w:val="20"/>
                <w:szCs w:val="20"/>
              </w:rPr>
              <w:t>YES</w:t>
            </w:r>
          </w:p>
        </w:tc>
        <w:tc>
          <w:tcPr>
            <w:tcW w:w="1066" w:type="dxa"/>
            <w:tcBorders>
              <w:top w:val="nil"/>
              <w:left w:val="nil"/>
              <w:right w:val="nil"/>
            </w:tcBorders>
            <w:shd w:val="clear" w:color="auto" w:fill="auto"/>
            <w:noWrap/>
            <w:vAlign w:val="center"/>
            <w:hideMark/>
          </w:tcPr>
          <w:p w14:paraId="67317175" w14:textId="57B1E99A" w:rsidR="00380B4D" w:rsidRDefault="00380B4D" w:rsidP="00380B4D">
            <w:pPr>
              <w:jc w:val="center"/>
              <w:rPr>
                <w:color w:val="000000"/>
                <w:sz w:val="20"/>
                <w:szCs w:val="20"/>
              </w:rPr>
            </w:pPr>
            <w:r>
              <w:rPr>
                <w:color w:val="000000"/>
                <w:sz w:val="20"/>
                <w:szCs w:val="20"/>
              </w:rPr>
              <w:t>YES</w:t>
            </w:r>
          </w:p>
        </w:tc>
        <w:tc>
          <w:tcPr>
            <w:tcW w:w="1266" w:type="dxa"/>
            <w:tcBorders>
              <w:top w:val="nil"/>
              <w:left w:val="nil"/>
              <w:right w:val="nil"/>
            </w:tcBorders>
            <w:shd w:val="clear" w:color="auto" w:fill="auto"/>
            <w:noWrap/>
            <w:vAlign w:val="center"/>
            <w:hideMark/>
          </w:tcPr>
          <w:p w14:paraId="6EDA939B" w14:textId="5F5B98C7" w:rsidR="00380B4D" w:rsidRDefault="00380B4D" w:rsidP="00380B4D">
            <w:pPr>
              <w:jc w:val="center"/>
              <w:rPr>
                <w:color w:val="000000"/>
                <w:sz w:val="20"/>
                <w:szCs w:val="20"/>
              </w:rPr>
            </w:pPr>
            <w:r>
              <w:rPr>
                <w:color w:val="000000"/>
                <w:sz w:val="20"/>
                <w:szCs w:val="20"/>
              </w:rPr>
              <w:t>YES</w:t>
            </w:r>
          </w:p>
        </w:tc>
        <w:tc>
          <w:tcPr>
            <w:tcW w:w="1266" w:type="dxa"/>
            <w:tcBorders>
              <w:top w:val="nil"/>
              <w:left w:val="nil"/>
              <w:right w:val="nil"/>
            </w:tcBorders>
            <w:shd w:val="clear" w:color="auto" w:fill="auto"/>
            <w:noWrap/>
            <w:vAlign w:val="center"/>
            <w:hideMark/>
          </w:tcPr>
          <w:p w14:paraId="525D960C" w14:textId="5800F058" w:rsidR="00380B4D" w:rsidRDefault="00380B4D" w:rsidP="00380B4D">
            <w:pPr>
              <w:jc w:val="center"/>
              <w:rPr>
                <w:color w:val="000000"/>
                <w:sz w:val="20"/>
                <w:szCs w:val="20"/>
              </w:rPr>
            </w:pPr>
            <w:r>
              <w:rPr>
                <w:color w:val="000000"/>
                <w:sz w:val="20"/>
                <w:szCs w:val="20"/>
              </w:rPr>
              <w:t>YES</w:t>
            </w:r>
          </w:p>
        </w:tc>
        <w:tc>
          <w:tcPr>
            <w:tcW w:w="1461" w:type="dxa"/>
            <w:tcBorders>
              <w:top w:val="nil"/>
              <w:left w:val="nil"/>
              <w:right w:val="nil"/>
            </w:tcBorders>
            <w:shd w:val="clear" w:color="auto" w:fill="auto"/>
            <w:noWrap/>
            <w:vAlign w:val="center"/>
            <w:hideMark/>
          </w:tcPr>
          <w:p w14:paraId="6B522432" w14:textId="371148F2" w:rsidR="00380B4D" w:rsidRDefault="00380B4D" w:rsidP="00380B4D">
            <w:pPr>
              <w:jc w:val="center"/>
              <w:rPr>
                <w:color w:val="000000"/>
                <w:sz w:val="20"/>
                <w:szCs w:val="20"/>
              </w:rPr>
            </w:pPr>
            <w:r>
              <w:rPr>
                <w:color w:val="000000"/>
                <w:sz w:val="20"/>
                <w:szCs w:val="20"/>
              </w:rPr>
              <w:t>YES</w:t>
            </w:r>
          </w:p>
        </w:tc>
      </w:tr>
      <w:tr w:rsidR="00380B4D" w14:paraId="3C237CB9" w14:textId="77777777" w:rsidTr="00922ABE">
        <w:trPr>
          <w:trHeight w:val="291"/>
        </w:trPr>
        <w:tc>
          <w:tcPr>
            <w:tcW w:w="1694" w:type="dxa"/>
            <w:tcBorders>
              <w:left w:val="nil"/>
              <w:right w:val="nil"/>
            </w:tcBorders>
            <w:shd w:val="clear" w:color="auto" w:fill="auto"/>
            <w:vAlign w:val="center"/>
            <w:hideMark/>
          </w:tcPr>
          <w:p w14:paraId="350251D8" w14:textId="76EF5220" w:rsidR="00380B4D" w:rsidRDefault="00380B4D" w:rsidP="00380B4D">
            <w:pPr>
              <w:rPr>
                <w:color w:val="000000"/>
                <w:sz w:val="20"/>
                <w:szCs w:val="20"/>
              </w:rPr>
            </w:pPr>
            <w:r>
              <w:rPr>
                <w:color w:val="000000"/>
                <w:sz w:val="20"/>
                <w:szCs w:val="20"/>
              </w:rPr>
              <w:t>Region FE</w:t>
            </w:r>
          </w:p>
        </w:tc>
        <w:tc>
          <w:tcPr>
            <w:tcW w:w="1388" w:type="dxa"/>
            <w:tcBorders>
              <w:left w:val="nil"/>
              <w:right w:val="nil"/>
            </w:tcBorders>
            <w:shd w:val="clear" w:color="auto" w:fill="auto"/>
            <w:noWrap/>
            <w:vAlign w:val="center"/>
            <w:hideMark/>
          </w:tcPr>
          <w:p w14:paraId="350A9DF7" w14:textId="527EEBA0" w:rsidR="00380B4D" w:rsidRDefault="00380B4D" w:rsidP="00380B4D">
            <w:pPr>
              <w:jc w:val="center"/>
              <w:rPr>
                <w:color w:val="000000"/>
                <w:sz w:val="20"/>
                <w:szCs w:val="20"/>
              </w:rPr>
            </w:pPr>
            <w:r>
              <w:rPr>
                <w:color w:val="000000"/>
                <w:sz w:val="20"/>
                <w:szCs w:val="20"/>
              </w:rPr>
              <w:t>YES</w:t>
            </w:r>
          </w:p>
        </w:tc>
        <w:tc>
          <w:tcPr>
            <w:tcW w:w="1105" w:type="dxa"/>
            <w:tcBorders>
              <w:left w:val="nil"/>
              <w:right w:val="nil"/>
            </w:tcBorders>
            <w:shd w:val="clear" w:color="auto" w:fill="auto"/>
            <w:noWrap/>
            <w:vAlign w:val="center"/>
            <w:hideMark/>
          </w:tcPr>
          <w:p w14:paraId="735AE60B" w14:textId="3BD0AD80" w:rsidR="00380B4D" w:rsidRDefault="00380B4D" w:rsidP="00380B4D">
            <w:pPr>
              <w:jc w:val="center"/>
              <w:rPr>
                <w:color w:val="000000"/>
                <w:sz w:val="20"/>
                <w:szCs w:val="20"/>
              </w:rPr>
            </w:pPr>
            <w:r>
              <w:rPr>
                <w:color w:val="000000"/>
                <w:sz w:val="20"/>
                <w:szCs w:val="20"/>
              </w:rPr>
              <w:t>YES</w:t>
            </w:r>
          </w:p>
        </w:tc>
        <w:tc>
          <w:tcPr>
            <w:tcW w:w="1105" w:type="dxa"/>
            <w:tcBorders>
              <w:left w:val="nil"/>
              <w:right w:val="nil"/>
            </w:tcBorders>
            <w:shd w:val="clear" w:color="auto" w:fill="auto"/>
            <w:noWrap/>
            <w:vAlign w:val="center"/>
            <w:hideMark/>
          </w:tcPr>
          <w:p w14:paraId="0138219F" w14:textId="4EC00C52" w:rsidR="00380B4D" w:rsidRDefault="00380B4D" w:rsidP="00380B4D">
            <w:pPr>
              <w:jc w:val="center"/>
              <w:rPr>
                <w:color w:val="000000"/>
                <w:sz w:val="20"/>
                <w:szCs w:val="20"/>
              </w:rPr>
            </w:pPr>
            <w:r>
              <w:rPr>
                <w:color w:val="000000"/>
                <w:sz w:val="20"/>
                <w:szCs w:val="20"/>
              </w:rPr>
              <w:t>YES</w:t>
            </w:r>
          </w:p>
        </w:tc>
        <w:tc>
          <w:tcPr>
            <w:tcW w:w="1166" w:type="dxa"/>
            <w:tcBorders>
              <w:left w:val="nil"/>
              <w:right w:val="nil"/>
            </w:tcBorders>
            <w:shd w:val="clear" w:color="auto" w:fill="auto"/>
            <w:noWrap/>
            <w:vAlign w:val="center"/>
            <w:hideMark/>
          </w:tcPr>
          <w:p w14:paraId="616E7A58" w14:textId="43CA0ADF" w:rsidR="00380B4D" w:rsidRDefault="00380B4D" w:rsidP="00380B4D">
            <w:pPr>
              <w:jc w:val="center"/>
              <w:rPr>
                <w:color w:val="000000"/>
                <w:sz w:val="20"/>
                <w:szCs w:val="20"/>
              </w:rPr>
            </w:pPr>
            <w:r>
              <w:rPr>
                <w:color w:val="000000"/>
                <w:sz w:val="20"/>
                <w:szCs w:val="20"/>
              </w:rPr>
              <w:t>YES</w:t>
            </w:r>
          </w:p>
        </w:tc>
        <w:tc>
          <w:tcPr>
            <w:tcW w:w="1066" w:type="dxa"/>
            <w:tcBorders>
              <w:left w:val="nil"/>
              <w:right w:val="nil"/>
            </w:tcBorders>
            <w:shd w:val="clear" w:color="auto" w:fill="auto"/>
            <w:noWrap/>
            <w:vAlign w:val="center"/>
            <w:hideMark/>
          </w:tcPr>
          <w:p w14:paraId="66587AE7" w14:textId="314BF40D" w:rsidR="00380B4D" w:rsidRDefault="00380B4D" w:rsidP="00380B4D">
            <w:pPr>
              <w:jc w:val="center"/>
              <w:rPr>
                <w:color w:val="000000"/>
                <w:sz w:val="20"/>
                <w:szCs w:val="20"/>
              </w:rPr>
            </w:pPr>
            <w:r>
              <w:rPr>
                <w:color w:val="000000"/>
                <w:sz w:val="20"/>
                <w:szCs w:val="20"/>
              </w:rPr>
              <w:t>YES</w:t>
            </w:r>
          </w:p>
        </w:tc>
        <w:tc>
          <w:tcPr>
            <w:tcW w:w="1266" w:type="dxa"/>
            <w:tcBorders>
              <w:left w:val="nil"/>
              <w:right w:val="nil"/>
            </w:tcBorders>
            <w:shd w:val="clear" w:color="auto" w:fill="auto"/>
            <w:noWrap/>
            <w:vAlign w:val="center"/>
            <w:hideMark/>
          </w:tcPr>
          <w:p w14:paraId="6B6FDBAA" w14:textId="735ACF75" w:rsidR="00380B4D" w:rsidRDefault="00380B4D" w:rsidP="00380B4D">
            <w:pPr>
              <w:jc w:val="center"/>
              <w:rPr>
                <w:color w:val="000000"/>
                <w:sz w:val="20"/>
                <w:szCs w:val="20"/>
              </w:rPr>
            </w:pPr>
            <w:r>
              <w:rPr>
                <w:color w:val="000000"/>
                <w:sz w:val="20"/>
                <w:szCs w:val="20"/>
              </w:rPr>
              <w:t>YES</w:t>
            </w:r>
          </w:p>
        </w:tc>
        <w:tc>
          <w:tcPr>
            <w:tcW w:w="1266" w:type="dxa"/>
            <w:tcBorders>
              <w:left w:val="nil"/>
              <w:right w:val="nil"/>
            </w:tcBorders>
            <w:shd w:val="clear" w:color="auto" w:fill="auto"/>
            <w:noWrap/>
            <w:vAlign w:val="center"/>
            <w:hideMark/>
          </w:tcPr>
          <w:p w14:paraId="3D4AEA3D" w14:textId="0C6C3679" w:rsidR="00380B4D" w:rsidRDefault="00380B4D" w:rsidP="00380B4D">
            <w:pPr>
              <w:jc w:val="center"/>
              <w:rPr>
                <w:color w:val="000000"/>
                <w:sz w:val="20"/>
                <w:szCs w:val="20"/>
              </w:rPr>
            </w:pPr>
            <w:r>
              <w:rPr>
                <w:color w:val="000000"/>
                <w:sz w:val="20"/>
                <w:szCs w:val="20"/>
              </w:rPr>
              <w:t>YES</w:t>
            </w:r>
          </w:p>
        </w:tc>
        <w:tc>
          <w:tcPr>
            <w:tcW w:w="1461" w:type="dxa"/>
            <w:tcBorders>
              <w:left w:val="nil"/>
              <w:right w:val="nil"/>
            </w:tcBorders>
            <w:shd w:val="clear" w:color="auto" w:fill="auto"/>
            <w:noWrap/>
            <w:vAlign w:val="center"/>
            <w:hideMark/>
          </w:tcPr>
          <w:p w14:paraId="7E090C22" w14:textId="76254D9E" w:rsidR="00380B4D" w:rsidRDefault="00380B4D" w:rsidP="00380B4D">
            <w:pPr>
              <w:jc w:val="center"/>
              <w:rPr>
                <w:color w:val="000000"/>
                <w:sz w:val="20"/>
                <w:szCs w:val="20"/>
              </w:rPr>
            </w:pPr>
            <w:r>
              <w:rPr>
                <w:color w:val="000000"/>
                <w:sz w:val="20"/>
                <w:szCs w:val="20"/>
              </w:rPr>
              <w:t>YES</w:t>
            </w:r>
          </w:p>
        </w:tc>
      </w:tr>
      <w:tr w:rsidR="00380B4D" w14:paraId="792B73E5" w14:textId="77777777" w:rsidTr="00922ABE">
        <w:trPr>
          <w:trHeight w:val="291"/>
        </w:trPr>
        <w:tc>
          <w:tcPr>
            <w:tcW w:w="1694" w:type="dxa"/>
            <w:tcBorders>
              <w:left w:val="nil"/>
              <w:bottom w:val="single" w:sz="8" w:space="0" w:color="auto"/>
              <w:right w:val="nil"/>
            </w:tcBorders>
            <w:shd w:val="clear" w:color="auto" w:fill="auto"/>
            <w:vAlign w:val="center"/>
            <w:hideMark/>
          </w:tcPr>
          <w:p w14:paraId="38748F29" w14:textId="262817A6" w:rsidR="00380B4D" w:rsidRDefault="00380B4D" w:rsidP="00380B4D">
            <w:pPr>
              <w:rPr>
                <w:color w:val="000000"/>
                <w:sz w:val="20"/>
                <w:szCs w:val="20"/>
              </w:rPr>
            </w:pPr>
            <w:r>
              <w:rPr>
                <w:color w:val="000000"/>
                <w:sz w:val="20"/>
                <w:szCs w:val="20"/>
              </w:rPr>
              <w:t>Time FE</w:t>
            </w:r>
          </w:p>
        </w:tc>
        <w:tc>
          <w:tcPr>
            <w:tcW w:w="1388" w:type="dxa"/>
            <w:tcBorders>
              <w:left w:val="nil"/>
              <w:bottom w:val="single" w:sz="8" w:space="0" w:color="auto"/>
              <w:right w:val="nil"/>
            </w:tcBorders>
            <w:shd w:val="clear" w:color="auto" w:fill="auto"/>
            <w:noWrap/>
            <w:vAlign w:val="center"/>
            <w:hideMark/>
          </w:tcPr>
          <w:p w14:paraId="6AA4FC72" w14:textId="43491E21" w:rsidR="00380B4D" w:rsidRDefault="00380B4D" w:rsidP="00380B4D">
            <w:pPr>
              <w:jc w:val="center"/>
              <w:rPr>
                <w:color w:val="000000"/>
                <w:sz w:val="20"/>
                <w:szCs w:val="20"/>
              </w:rPr>
            </w:pPr>
            <w:r>
              <w:rPr>
                <w:color w:val="000000"/>
                <w:sz w:val="20"/>
                <w:szCs w:val="20"/>
              </w:rPr>
              <w:t>YES</w:t>
            </w:r>
          </w:p>
        </w:tc>
        <w:tc>
          <w:tcPr>
            <w:tcW w:w="1105" w:type="dxa"/>
            <w:tcBorders>
              <w:left w:val="nil"/>
              <w:bottom w:val="single" w:sz="8" w:space="0" w:color="auto"/>
              <w:right w:val="nil"/>
            </w:tcBorders>
            <w:shd w:val="clear" w:color="auto" w:fill="auto"/>
            <w:noWrap/>
            <w:vAlign w:val="center"/>
            <w:hideMark/>
          </w:tcPr>
          <w:p w14:paraId="56759879" w14:textId="474558D3" w:rsidR="00380B4D" w:rsidRDefault="00380B4D" w:rsidP="00380B4D">
            <w:pPr>
              <w:jc w:val="center"/>
              <w:rPr>
                <w:color w:val="000000"/>
                <w:sz w:val="20"/>
                <w:szCs w:val="20"/>
              </w:rPr>
            </w:pPr>
            <w:r>
              <w:rPr>
                <w:color w:val="000000"/>
                <w:sz w:val="20"/>
                <w:szCs w:val="20"/>
              </w:rPr>
              <w:t>YES</w:t>
            </w:r>
          </w:p>
        </w:tc>
        <w:tc>
          <w:tcPr>
            <w:tcW w:w="1105" w:type="dxa"/>
            <w:tcBorders>
              <w:left w:val="nil"/>
              <w:bottom w:val="single" w:sz="8" w:space="0" w:color="auto"/>
              <w:right w:val="nil"/>
            </w:tcBorders>
            <w:shd w:val="clear" w:color="auto" w:fill="auto"/>
            <w:noWrap/>
            <w:vAlign w:val="center"/>
            <w:hideMark/>
          </w:tcPr>
          <w:p w14:paraId="78674BD8" w14:textId="634DA5C5" w:rsidR="00380B4D" w:rsidRDefault="00380B4D" w:rsidP="00380B4D">
            <w:pPr>
              <w:jc w:val="center"/>
              <w:rPr>
                <w:color w:val="000000"/>
                <w:sz w:val="20"/>
                <w:szCs w:val="20"/>
              </w:rPr>
            </w:pPr>
            <w:r>
              <w:rPr>
                <w:color w:val="000000"/>
                <w:sz w:val="20"/>
                <w:szCs w:val="20"/>
              </w:rPr>
              <w:t>YES</w:t>
            </w:r>
          </w:p>
        </w:tc>
        <w:tc>
          <w:tcPr>
            <w:tcW w:w="1166" w:type="dxa"/>
            <w:tcBorders>
              <w:left w:val="nil"/>
              <w:bottom w:val="single" w:sz="8" w:space="0" w:color="auto"/>
              <w:right w:val="nil"/>
            </w:tcBorders>
            <w:shd w:val="clear" w:color="auto" w:fill="auto"/>
            <w:noWrap/>
            <w:vAlign w:val="center"/>
            <w:hideMark/>
          </w:tcPr>
          <w:p w14:paraId="2DD5A145" w14:textId="2EAF3A6A" w:rsidR="00380B4D" w:rsidRDefault="00380B4D" w:rsidP="00380B4D">
            <w:pPr>
              <w:jc w:val="center"/>
              <w:rPr>
                <w:color w:val="000000"/>
                <w:sz w:val="20"/>
                <w:szCs w:val="20"/>
              </w:rPr>
            </w:pPr>
            <w:r>
              <w:rPr>
                <w:color w:val="000000"/>
                <w:sz w:val="20"/>
                <w:szCs w:val="20"/>
              </w:rPr>
              <w:t>YES</w:t>
            </w:r>
          </w:p>
        </w:tc>
        <w:tc>
          <w:tcPr>
            <w:tcW w:w="1066" w:type="dxa"/>
            <w:tcBorders>
              <w:left w:val="nil"/>
              <w:bottom w:val="single" w:sz="8" w:space="0" w:color="auto"/>
              <w:right w:val="nil"/>
            </w:tcBorders>
            <w:shd w:val="clear" w:color="auto" w:fill="auto"/>
            <w:noWrap/>
            <w:vAlign w:val="center"/>
            <w:hideMark/>
          </w:tcPr>
          <w:p w14:paraId="77989B05" w14:textId="7FBCED55" w:rsidR="00380B4D" w:rsidRDefault="00380B4D" w:rsidP="00380B4D">
            <w:pPr>
              <w:jc w:val="center"/>
              <w:rPr>
                <w:color w:val="000000"/>
                <w:sz w:val="20"/>
                <w:szCs w:val="20"/>
              </w:rPr>
            </w:pPr>
            <w:r>
              <w:rPr>
                <w:color w:val="000000"/>
                <w:sz w:val="20"/>
                <w:szCs w:val="20"/>
              </w:rPr>
              <w:t>YES</w:t>
            </w:r>
          </w:p>
        </w:tc>
        <w:tc>
          <w:tcPr>
            <w:tcW w:w="1266" w:type="dxa"/>
            <w:tcBorders>
              <w:left w:val="nil"/>
              <w:bottom w:val="single" w:sz="8" w:space="0" w:color="auto"/>
              <w:right w:val="nil"/>
            </w:tcBorders>
            <w:shd w:val="clear" w:color="auto" w:fill="auto"/>
            <w:noWrap/>
            <w:vAlign w:val="center"/>
            <w:hideMark/>
          </w:tcPr>
          <w:p w14:paraId="34800F8B" w14:textId="60872133" w:rsidR="00380B4D" w:rsidRDefault="00380B4D" w:rsidP="00380B4D">
            <w:pPr>
              <w:jc w:val="center"/>
              <w:rPr>
                <w:color w:val="000000"/>
                <w:sz w:val="20"/>
                <w:szCs w:val="20"/>
              </w:rPr>
            </w:pPr>
            <w:r>
              <w:rPr>
                <w:color w:val="000000"/>
                <w:sz w:val="20"/>
                <w:szCs w:val="20"/>
              </w:rPr>
              <w:t>YES</w:t>
            </w:r>
          </w:p>
        </w:tc>
        <w:tc>
          <w:tcPr>
            <w:tcW w:w="1266" w:type="dxa"/>
            <w:tcBorders>
              <w:left w:val="nil"/>
              <w:bottom w:val="single" w:sz="8" w:space="0" w:color="auto"/>
              <w:right w:val="nil"/>
            </w:tcBorders>
            <w:shd w:val="clear" w:color="auto" w:fill="auto"/>
            <w:noWrap/>
            <w:vAlign w:val="center"/>
            <w:hideMark/>
          </w:tcPr>
          <w:p w14:paraId="2FE123BC" w14:textId="2B151B89" w:rsidR="00380B4D" w:rsidRDefault="00380B4D" w:rsidP="00380B4D">
            <w:pPr>
              <w:jc w:val="center"/>
              <w:rPr>
                <w:color w:val="000000"/>
                <w:sz w:val="20"/>
                <w:szCs w:val="20"/>
              </w:rPr>
            </w:pPr>
            <w:r>
              <w:rPr>
                <w:color w:val="000000"/>
                <w:sz w:val="20"/>
                <w:szCs w:val="20"/>
              </w:rPr>
              <w:t>YES</w:t>
            </w:r>
          </w:p>
        </w:tc>
        <w:tc>
          <w:tcPr>
            <w:tcW w:w="1461" w:type="dxa"/>
            <w:tcBorders>
              <w:left w:val="nil"/>
              <w:bottom w:val="single" w:sz="8" w:space="0" w:color="auto"/>
              <w:right w:val="nil"/>
            </w:tcBorders>
            <w:shd w:val="clear" w:color="auto" w:fill="auto"/>
            <w:noWrap/>
            <w:vAlign w:val="center"/>
            <w:hideMark/>
          </w:tcPr>
          <w:p w14:paraId="6B24ADC6" w14:textId="74462F38" w:rsidR="00380B4D" w:rsidRDefault="00380B4D" w:rsidP="00380B4D">
            <w:pPr>
              <w:jc w:val="center"/>
              <w:rPr>
                <w:color w:val="000000"/>
                <w:sz w:val="20"/>
                <w:szCs w:val="20"/>
              </w:rPr>
            </w:pPr>
            <w:r>
              <w:rPr>
                <w:color w:val="000000"/>
                <w:sz w:val="20"/>
                <w:szCs w:val="20"/>
              </w:rPr>
              <w:t>YES</w:t>
            </w:r>
          </w:p>
        </w:tc>
      </w:tr>
    </w:tbl>
    <w:p w14:paraId="3041FE3C" w14:textId="77777777" w:rsidR="0057577C" w:rsidRPr="0057577C" w:rsidRDefault="0057577C" w:rsidP="0057577C">
      <w:pPr>
        <w:rPr>
          <w:lang w:eastAsia="en-GB"/>
        </w:rPr>
      </w:pPr>
    </w:p>
    <w:p w14:paraId="4E85F0F9" w14:textId="77777777" w:rsidR="00554798" w:rsidRDefault="00554798" w:rsidP="00554798">
      <w:pPr>
        <w:rPr>
          <w:sz w:val="20"/>
          <w:szCs w:val="20"/>
        </w:rPr>
      </w:pPr>
    </w:p>
    <w:p w14:paraId="037A5DE6" w14:textId="77777777" w:rsidR="00554798" w:rsidRPr="00EE405C" w:rsidRDefault="00554798" w:rsidP="00554798">
      <w:pPr>
        <w:jc w:val="both"/>
        <w:rPr>
          <w:sz w:val="20"/>
          <w:szCs w:val="20"/>
        </w:rPr>
      </w:pPr>
      <w:r w:rsidRPr="00EE405C">
        <w:rPr>
          <w:sz w:val="20"/>
          <w:szCs w:val="20"/>
        </w:rPr>
        <w:t xml:space="preserve">Notes: </w:t>
      </w:r>
      <w:r>
        <w:rPr>
          <w:sz w:val="20"/>
          <w:szCs w:val="20"/>
        </w:rPr>
        <w:t>Pooled OLS coefficient estimates are reported, with robust standard errors in parentheses. The full BHPS data set from 1991 to 2008 is used. All Big Five personality variables are standardized with a mean of 0 and a standard deviation of 1. Control variables include age, age squared, sex, marital status, educational degree, household income, number of children in the household, employment status and immigrant status. The Hooked generation is defined as being born before 1950, the Middle Generation is born between 1950 and 1971 and the Informed Generation is defined as being born after 1971.</w:t>
      </w:r>
    </w:p>
    <w:p w14:paraId="293C3E73" w14:textId="77777777" w:rsidR="00F97E3F" w:rsidRDefault="00F97E3F" w:rsidP="00EE405C">
      <w:pPr>
        <w:spacing w:line="360" w:lineRule="auto"/>
        <w:jc w:val="both"/>
        <w:rPr>
          <w:bCs/>
        </w:rPr>
      </w:pPr>
    </w:p>
    <w:p w14:paraId="2078338A" w14:textId="77777777" w:rsidR="003C20E0" w:rsidRDefault="003C20E0" w:rsidP="003C20E0">
      <w:pPr>
        <w:spacing w:line="360" w:lineRule="auto"/>
        <w:jc w:val="both"/>
        <w:rPr>
          <w:bCs/>
        </w:rPr>
      </w:pPr>
    </w:p>
    <w:p w14:paraId="554FBA8C" w14:textId="7889E014" w:rsidR="008605E4" w:rsidRDefault="005B6C71" w:rsidP="00C15130">
      <w:pPr>
        <w:spacing w:line="360" w:lineRule="auto"/>
        <w:ind w:firstLine="720"/>
        <w:jc w:val="both"/>
      </w:pPr>
      <w:r>
        <w:t>Turning to</w:t>
      </w:r>
      <w:r w:rsidR="00904D86">
        <w:t xml:space="preserve"> </w:t>
      </w:r>
      <w:r w:rsidR="007E7CFD">
        <w:fldChar w:fldCharType="begin"/>
      </w:r>
      <w:r w:rsidR="007E7CFD">
        <w:instrText xml:space="preserve"> REF _Ref24387539 </w:instrText>
      </w:r>
      <w:r w:rsidR="007E7CFD">
        <w:fldChar w:fldCharType="separate"/>
      </w:r>
      <w:r w:rsidR="00904D86" w:rsidRPr="00904D86">
        <w:t xml:space="preserve">Table </w:t>
      </w:r>
      <w:r w:rsidR="00904D86" w:rsidRPr="00904D86">
        <w:rPr>
          <w:noProof/>
        </w:rPr>
        <w:t>3</w:t>
      </w:r>
      <w:r w:rsidR="007E7CFD">
        <w:rPr>
          <w:noProof/>
        </w:rPr>
        <w:fldChar w:fldCharType="end"/>
      </w:r>
      <w:r>
        <w:t>, we note the coefficient on the ban is never significant</w:t>
      </w:r>
      <w:r w:rsidR="003C43E8">
        <w:t xml:space="preserve"> and is centered around zero. This implies that the main effect of the ban was zero (we note this conclusion is robust to the exclusion of the personality traits interactions</w:t>
      </w:r>
      <w:r w:rsidR="00864D13">
        <w:t xml:space="preserve"> and all controls</w:t>
      </w:r>
      <w:r w:rsidR="003C43E8">
        <w:t xml:space="preserve">, and these results are documented in Appendix </w:t>
      </w:r>
      <w:r w:rsidR="00864D13">
        <w:t>B</w:t>
      </w:r>
      <w:r w:rsidR="003C43E8">
        <w:t xml:space="preserve">, Table </w:t>
      </w:r>
      <w:r w:rsidR="00864D13">
        <w:t>B.2 and B.3 respectively</w:t>
      </w:r>
      <w:r w:rsidR="006239EF">
        <w:rPr>
          <w:rStyle w:val="FootnoteReference"/>
        </w:rPr>
        <w:footnoteReference w:id="10"/>
      </w:r>
      <w:r w:rsidR="006104CC">
        <w:t xml:space="preserve">. It is </w:t>
      </w:r>
      <w:r w:rsidR="006104CC">
        <w:lastRenderedPageBreak/>
        <w:t>also the case when regressions are run that omit personality variables all together see Appendix B, Table B.1</w:t>
      </w:r>
      <w:r w:rsidR="003C43E8">
        <w:t xml:space="preserve">).  </w:t>
      </w:r>
      <w:r>
        <w:t xml:space="preserve"> However, its interaction with conscientiousness is significant in column (1). </w:t>
      </w:r>
      <w:r w:rsidR="004C717B">
        <w:t xml:space="preserve">Specifically, </w:t>
      </w:r>
      <w:r w:rsidR="003C43E8">
        <w:t xml:space="preserve">the estimates </w:t>
      </w:r>
      <w:r w:rsidR="00336847">
        <w:t xml:space="preserve">in Table 3 </w:t>
      </w:r>
      <w:r w:rsidR="003C43E8">
        <w:t xml:space="preserve">imply that smokers who have a level of conscientiousness that </w:t>
      </w:r>
      <w:proofErr w:type="gramStart"/>
      <w:r w:rsidR="003C43E8">
        <w:t xml:space="preserve">is </w:t>
      </w:r>
      <w:r w:rsidR="00F97E3F">
        <w:t xml:space="preserve"> </w:t>
      </w:r>
      <w:r w:rsidR="008456F4">
        <w:t>one</w:t>
      </w:r>
      <w:proofErr w:type="gramEnd"/>
      <w:r w:rsidR="008456F4">
        <w:t xml:space="preserve"> standard deviation </w:t>
      </w:r>
      <w:r w:rsidR="003C43E8">
        <w:t>above the mean has</w:t>
      </w:r>
      <w:r w:rsidR="004C717B">
        <w:t xml:space="preserve"> a </w:t>
      </w:r>
      <w:r w:rsidR="008456F4">
        <w:t>1.4</w:t>
      </w:r>
      <w:r w:rsidR="004C717B">
        <w:t xml:space="preserve"> percentage point reduction in the propensity to smoke </w:t>
      </w:r>
      <w:r w:rsidR="008456F4">
        <w:t>after the smoking ban</w:t>
      </w:r>
      <w:r w:rsidR="003C43E8">
        <w:t xml:space="preserve">. For those that are </w:t>
      </w:r>
      <w:r w:rsidR="008605E4">
        <w:t xml:space="preserve">two standard deviations about the mean the implied effect is then a 2.8 percentage point reduction. </w:t>
      </w:r>
      <w:r w:rsidR="004C717B">
        <w:t xml:space="preserve"> In o</w:t>
      </w:r>
      <w:r w:rsidR="00137BB1">
        <w:t>ther</w:t>
      </w:r>
      <w:r w:rsidR="004C717B">
        <w:t xml:space="preserve"> words</w:t>
      </w:r>
      <w:r w:rsidR="008605E4">
        <w:t>, overall</w:t>
      </w:r>
      <w:r w:rsidR="004C717B">
        <w:t xml:space="preserve"> conscientious persons quit more often after the ban. </w:t>
      </w:r>
      <w:r w:rsidR="008605E4">
        <w:t xml:space="preserve">However, the estimates also imply that those of lower levels of conscientiousness are less likely to quit smoking after the ban, for example, those with a level of conscientiousness that is one standard deviation below the mean, the implied effect is a 1.4 percentage point increase in the propensity to smoke. This bellies the importance of investigating non-linearities which we do subsequently.  </w:t>
      </w:r>
    </w:p>
    <w:p w14:paraId="1BDFDB2A" w14:textId="77777777" w:rsidR="008605E4" w:rsidRDefault="008605E4" w:rsidP="003C20E0">
      <w:pPr>
        <w:spacing w:line="360" w:lineRule="auto"/>
        <w:jc w:val="both"/>
      </w:pPr>
    </w:p>
    <w:p w14:paraId="7D429CFE" w14:textId="7DA9533B" w:rsidR="00864D13" w:rsidRDefault="008605E4" w:rsidP="003C20E0">
      <w:pPr>
        <w:spacing w:line="360" w:lineRule="auto"/>
        <w:jc w:val="both"/>
      </w:pPr>
      <w:r>
        <w:t xml:space="preserve">From Table 3, </w:t>
      </w:r>
      <w:r w:rsidR="00C6610A">
        <w:t>c</w:t>
      </w:r>
      <w:r w:rsidR="008456F4">
        <w:t>olumns (</w:t>
      </w:r>
      <w:r w:rsidR="00C6610A">
        <w:t>1</w:t>
      </w:r>
      <w:r w:rsidR="008456F4">
        <w:t>) to (</w:t>
      </w:r>
      <w:r w:rsidR="00A1268E">
        <w:t>4</w:t>
      </w:r>
      <w:r w:rsidR="008456F4">
        <w:t xml:space="preserve">) document the </w:t>
      </w:r>
      <w:r w:rsidR="00A1268E">
        <w:t xml:space="preserve">average effect </w:t>
      </w:r>
      <w:r w:rsidR="008456F4">
        <w:t>results</w:t>
      </w:r>
      <w:r w:rsidR="00A1268E">
        <w:t>, and also</w:t>
      </w:r>
      <w:r w:rsidR="008456F4">
        <w:t xml:space="preserve"> </w:t>
      </w:r>
      <w:r w:rsidR="00A1268E">
        <w:t xml:space="preserve">these </w:t>
      </w:r>
      <w:r w:rsidR="008456F4">
        <w:t>separately for the three generations</w:t>
      </w:r>
      <w:r w:rsidR="00A1268E">
        <w:t xml:space="preserve"> from regressions that model a </w:t>
      </w:r>
      <w:proofErr w:type="gramStart"/>
      <w:r w:rsidR="00A1268E">
        <w:t>smokers</w:t>
      </w:r>
      <w:proofErr w:type="gramEnd"/>
      <w:r w:rsidR="00A1268E">
        <w:t xml:space="preserve"> propensity to continue smoking after the ban. </w:t>
      </w:r>
      <w:r w:rsidR="004C717B">
        <w:t>The estimates illustrate</w:t>
      </w:r>
      <w:r w:rsidR="008456F4">
        <w:t xml:space="preserve"> clear</w:t>
      </w:r>
      <w:r w:rsidR="004C717B">
        <w:t>ly</w:t>
      </w:r>
      <w:r w:rsidR="008456F4">
        <w:t xml:space="preserve"> that conscientiousness </w:t>
      </w:r>
      <w:r w:rsidR="00DC1AEA">
        <w:t>interacts with the ban only for the hooked generation</w:t>
      </w:r>
      <w:r w:rsidR="00A1268E">
        <w:t xml:space="preserve"> in terms of propensity to smoke</w:t>
      </w:r>
      <w:r w:rsidR="004C717B">
        <w:t xml:space="preserve">. In other words, it is the hooked generation that is driving the significant effect depicted in column (1). For this group of smokers an </w:t>
      </w:r>
      <w:proofErr w:type="gramStart"/>
      <w:r w:rsidR="004C717B">
        <w:t>increases</w:t>
      </w:r>
      <w:proofErr w:type="gramEnd"/>
      <w:r w:rsidR="004C717B">
        <w:t xml:space="preserve"> of </w:t>
      </w:r>
      <w:r w:rsidR="00DC1AEA">
        <w:t xml:space="preserve">one standard deviation </w:t>
      </w:r>
      <w:r w:rsidR="004C717B">
        <w:t xml:space="preserve">in conscientiousness implies a </w:t>
      </w:r>
      <w:r w:rsidR="00DC1AEA">
        <w:t>2.6</w:t>
      </w:r>
      <w:r w:rsidR="004C717B">
        <w:t xml:space="preserve"> percentage point </w:t>
      </w:r>
      <w:r w:rsidR="00EE405C">
        <w:rPr>
          <w:i/>
        </w:rPr>
        <w:t xml:space="preserve"> </w:t>
      </w:r>
      <w:r w:rsidR="00DC1AEA">
        <w:t xml:space="preserve"> </w:t>
      </w:r>
      <w:r w:rsidR="004C717B">
        <w:t>reduction in the likelihood of smoking after the ban</w:t>
      </w:r>
      <w:r w:rsidR="00DC1AEA">
        <w:t xml:space="preserve">. </w:t>
      </w:r>
      <w:r w:rsidR="004C717B">
        <w:t xml:space="preserve">Overall, the </w:t>
      </w:r>
      <w:r w:rsidR="00AE5BF2">
        <w:t xml:space="preserve">estimates suggest that the </w:t>
      </w:r>
      <w:r w:rsidR="004C717B">
        <w:t xml:space="preserve">ban causes older conscientiousness smokers to quit more often than other smokers. </w:t>
      </w:r>
      <w:r w:rsidR="00DC1AEA">
        <w:t xml:space="preserve">In contrast the coefficients for the middle and informed generations are centered around zero and not significant. With few exceptions, the coefficients on the other four personality traits are also centered around zero and not significant. This tells us that conscientiousness is the only </w:t>
      </w:r>
      <w:r w:rsidR="00AE5BF2">
        <w:t xml:space="preserve">big five </w:t>
      </w:r>
      <w:r w:rsidR="00DC1AEA">
        <w:t xml:space="preserve">personality </w:t>
      </w:r>
      <w:r w:rsidR="00FB69F5">
        <w:t>trait</w:t>
      </w:r>
      <w:r w:rsidR="00DC1AEA">
        <w:t xml:space="preserve"> that matters with respect to interacting with the smoking ban</w:t>
      </w:r>
      <w:r w:rsidR="00A1268E">
        <w:t xml:space="preserve"> for a smoker’s propensity to smoke. </w:t>
      </w:r>
    </w:p>
    <w:p w14:paraId="1CB0386F" w14:textId="3BCE2C75" w:rsidR="00006E20" w:rsidRDefault="00006E20" w:rsidP="003C20E0">
      <w:pPr>
        <w:spacing w:line="360" w:lineRule="auto"/>
        <w:jc w:val="both"/>
      </w:pPr>
    </w:p>
    <w:p w14:paraId="637EC0B9" w14:textId="67506137" w:rsidR="00A06425" w:rsidRDefault="00A06425">
      <w:pPr>
        <w:rPr>
          <w:rFonts w:cstheme="majorBidi"/>
          <w:iCs/>
          <w:color w:val="000000" w:themeColor="text1"/>
          <w:sz w:val="18"/>
          <w:szCs w:val="18"/>
          <w:lang w:eastAsia="en-GB"/>
        </w:rPr>
      </w:pPr>
      <w:r>
        <w:br w:type="page"/>
      </w:r>
    </w:p>
    <w:p w14:paraId="4188AB49" w14:textId="77777777" w:rsidR="00C6610A" w:rsidRDefault="00C6610A">
      <w:pPr>
        <w:pStyle w:val="Caption"/>
        <w:keepNext/>
        <w:sectPr w:rsidR="00C6610A" w:rsidSect="00DC183C">
          <w:headerReference w:type="default" r:id="rId12"/>
          <w:footerReference w:type="even" r:id="rId13"/>
          <w:footerReference w:type="default" r:id="rId14"/>
          <w:pgSz w:w="11906" w:h="16838" w:code="9"/>
          <w:pgMar w:top="1701" w:right="1701" w:bottom="1701" w:left="1701" w:header="567" w:footer="624" w:gutter="0"/>
          <w:cols w:space="708"/>
          <w:docGrid w:linePitch="360"/>
        </w:sectPr>
      </w:pPr>
    </w:p>
    <w:p w14:paraId="37E3B7DB" w14:textId="3BD1E2DC" w:rsidR="00904D86" w:rsidRDefault="00904D86" w:rsidP="00C6610A">
      <w:pPr>
        <w:pStyle w:val="Caption"/>
        <w:keepNext/>
        <w:rPr>
          <w:sz w:val="24"/>
          <w:szCs w:val="24"/>
        </w:rPr>
      </w:pPr>
      <w:bookmarkStart w:id="4" w:name="_Ref24387539"/>
      <w:r w:rsidRPr="007A7E03">
        <w:rPr>
          <w:sz w:val="24"/>
          <w:szCs w:val="24"/>
        </w:rPr>
        <w:lastRenderedPageBreak/>
        <w:t xml:space="preserve">Table </w:t>
      </w:r>
      <w:r w:rsidRPr="007A7E03">
        <w:rPr>
          <w:sz w:val="24"/>
          <w:szCs w:val="24"/>
        </w:rPr>
        <w:fldChar w:fldCharType="begin"/>
      </w:r>
      <w:r w:rsidRPr="007A7E03">
        <w:rPr>
          <w:sz w:val="24"/>
          <w:szCs w:val="24"/>
        </w:rPr>
        <w:instrText xml:space="preserve"> SEQ Table \* ARABIC</w:instrText>
      </w:r>
      <w:r w:rsidRPr="00C15130">
        <w:rPr>
          <w:sz w:val="24"/>
          <w:szCs w:val="24"/>
        </w:rPr>
        <w:instrText xml:space="preserve"> </w:instrText>
      </w:r>
      <w:r w:rsidRPr="007A7E03">
        <w:rPr>
          <w:sz w:val="24"/>
          <w:szCs w:val="24"/>
        </w:rPr>
        <w:fldChar w:fldCharType="separate"/>
      </w:r>
      <w:r>
        <w:rPr>
          <w:noProof/>
          <w:sz w:val="24"/>
          <w:szCs w:val="24"/>
        </w:rPr>
        <w:t>3</w:t>
      </w:r>
      <w:r w:rsidRPr="007A7E03">
        <w:rPr>
          <w:sz w:val="24"/>
          <w:szCs w:val="24"/>
        </w:rPr>
        <w:fldChar w:fldCharType="end"/>
      </w:r>
      <w:bookmarkEnd w:id="4"/>
      <w:r w:rsidRPr="007A7E03">
        <w:rPr>
          <w:sz w:val="24"/>
          <w:szCs w:val="24"/>
        </w:rPr>
        <w:t>: Fixed Effects: Effect of the ban on smoking for different personalities</w:t>
      </w:r>
    </w:p>
    <w:tbl>
      <w:tblPr>
        <w:tblW w:w="10378" w:type="dxa"/>
        <w:tblLook w:val="04A0" w:firstRow="1" w:lastRow="0" w:firstColumn="1" w:lastColumn="0" w:noHBand="0" w:noVBand="1"/>
      </w:tblPr>
      <w:tblGrid>
        <w:gridCol w:w="2116"/>
        <w:gridCol w:w="816"/>
        <w:gridCol w:w="1105"/>
        <w:gridCol w:w="1105"/>
        <w:gridCol w:w="1105"/>
        <w:gridCol w:w="816"/>
        <w:gridCol w:w="1105"/>
        <w:gridCol w:w="1105"/>
        <w:gridCol w:w="1105"/>
      </w:tblGrid>
      <w:tr w:rsidR="00251DE9" w14:paraId="038FF81F" w14:textId="77777777" w:rsidTr="00C15130">
        <w:trPr>
          <w:trHeight w:val="318"/>
        </w:trPr>
        <w:tc>
          <w:tcPr>
            <w:tcW w:w="2116" w:type="dxa"/>
            <w:tcBorders>
              <w:top w:val="single" w:sz="8" w:space="0" w:color="auto"/>
              <w:left w:val="nil"/>
              <w:bottom w:val="single" w:sz="8" w:space="0" w:color="auto"/>
              <w:right w:val="nil"/>
            </w:tcBorders>
            <w:shd w:val="clear" w:color="auto" w:fill="auto"/>
            <w:noWrap/>
            <w:vAlign w:val="center"/>
            <w:hideMark/>
          </w:tcPr>
          <w:p w14:paraId="75E10368" w14:textId="77777777" w:rsidR="00251DE9" w:rsidRDefault="00251DE9">
            <w:pPr>
              <w:rPr>
                <w:color w:val="000000"/>
                <w:sz w:val="20"/>
                <w:szCs w:val="20"/>
                <w:lang w:eastAsia="en-GB"/>
              </w:rPr>
            </w:pPr>
            <w:r>
              <w:rPr>
                <w:color w:val="000000"/>
                <w:sz w:val="20"/>
                <w:szCs w:val="20"/>
              </w:rPr>
              <w:t> </w:t>
            </w:r>
          </w:p>
        </w:tc>
        <w:tc>
          <w:tcPr>
            <w:tcW w:w="816" w:type="dxa"/>
            <w:tcBorders>
              <w:top w:val="single" w:sz="8" w:space="0" w:color="auto"/>
              <w:left w:val="nil"/>
              <w:bottom w:val="single" w:sz="8" w:space="0" w:color="auto"/>
              <w:right w:val="nil"/>
            </w:tcBorders>
            <w:shd w:val="clear" w:color="auto" w:fill="auto"/>
            <w:noWrap/>
            <w:vAlign w:val="center"/>
            <w:hideMark/>
          </w:tcPr>
          <w:p w14:paraId="544CAB8F" w14:textId="77777777" w:rsidR="00251DE9" w:rsidRDefault="00251DE9">
            <w:pPr>
              <w:jc w:val="center"/>
              <w:rPr>
                <w:color w:val="000000"/>
                <w:sz w:val="20"/>
                <w:szCs w:val="20"/>
              </w:rPr>
            </w:pPr>
            <w:r>
              <w:rPr>
                <w:color w:val="000000"/>
                <w:sz w:val="20"/>
                <w:szCs w:val="20"/>
              </w:rPr>
              <w:t>(1)</w:t>
            </w:r>
          </w:p>
        </w:tc>
        <w:tc>
          <w:tcPr>
            <w:tcW w:w="1105" w:type="dxa"/>
            <w:tcBorders>
              <w:top w:val="single" w:sz="8" w:space="0" w:color="auto"/>
              <w:left w:val="nil"/>
              <w:bottom w:val="single" w:sz="8" w:space="0" w:color="auto"/>
              <w:right w:val="nil"/>
            </w:tcBorders>
            <w:shd w:val="clear" w:color="auto" w:fill="auto"/>
            <w:noWrap/>
            <w:vAlign w:val="center"/>
            <w:hideMark/>
          </w:tcPr>
          <w:p w14:paraId="1C5E73AE" w14:textId="77777777" w:rsidR="00251DE9" w:rsidRDefault="00251DE9">
            <w:pPr>
              <w:jc w:val="center"/>
              <w:rPr>
                <w:color w:val="000000"/>
                <w:sz w:val="20"/>
                <w:szCs w:val="20"/>
              </w:rPr>
            </w:pPr>
            <w:r>
              <w:rPr>
                <w:color w:val="000000"/>
                <w:sz w:val="20"/>
                <w:szCs w:val="20"/>
              </w:rPr>
              <w:t>(2)</w:t>
            </w:r>
          </w:p>
        </w:tc>
        <w:tc>
          <w:tcPr>
            <w:tcW w:w="1105" w:type="dxa"/>
            <w:tcBorders>
              <w:top w:val="single" w:sz="8" w:space="0" w:color="auto"/>
              <w:left w:val="nil"/>
              <w:bottom w:val="single" w:sz="8" w:space="0" w:color="auto"/>
              <w:right w:val="nil"/>
            </w:tcBorders>
            <w:shd w:val="clear" w:color="auto" w:fill="auto"/>
            <w:noWrap/>
            <w:vAlign w:val="center"/>
            <w:hideMark/>
          </w:tcPr>
          <w:p w14:paraId="6E888ECF" w14:textId="77777777" w:rsidR="00251DE9" w:rsidRDefault="00251DE9">
            <w:pPr>
              <w:jc w:val="center"/>
              <w:rPr>
                <w:color w:val="000000"/>
                <w:sz w:val="20"/>
                <w:szCs w:val="20"/>
              </w:rPr>
            </w:pPr>
            <w:r>
              <w:rPr>
                <w:color w:val="000000"/>
                <w:sz w:val="20"/>
                <w:szCs w:val="20"/>
              </w:rPr>
              <w:t>(3)</w:t>
            </w:r>
          </w:p>
        </w:tc>
        <w:tc>
          <w:tcPr>
            <w:tcW w:w="1105" w:type="dxa"/>
            <w:tcBorders>
              <w:top w:val="single" w:sz="8" w:space="0" w:color="auto"/>
              <w:left w:val="nil"/>
              <w:bottom w:val="single" w:sz="8" w:space="0" w:color="auto"/>
              <w:right w:val="nil"/>
            </w:tcBorders>
            <w:shd w:val="clear" w:color="auto" w:fill="auto"/>
            <w:noWrap/>
            <w:vAlign w:val="center"/>
            <w:hideMark/>
          </w:tcPr>
          <w:p w14:paraId="07DB88AC" w14:textId="77777777" w:rsidR="00251DE9" w:rsidRDefault="00251DE9">
            <w:pPr>
              <w:jc w:val="center"/>
              <w:rPr>
                <w:color w:val="000000"/>
                <w:sz w:val="20"/>
                <w:szCs w:val="20"/>
              </w:rPr>
            </w:pPr>
            <w:r>
              <w:rPr>
                <w:color w:val="000000"/>
                <w:sz w:val="20"/>
                <w:szCs w:val="20"/>
              </w:rPr>
              <w:t>(4)</w:t>
            </w:r>
          </w:p>
        </w:tc>
        <w:tc>
          <w:tcPr>
            <w:tcW w:w="816" w:type="dxa"/>
            <w:tcBorders>
              <w:top w:val="single" w:sz="8" w:space="0" w:color="auto"/>
              <w:left w:val="nil"/>
              <w:bottom w:val="single" w:sz="8" w:space="0" w:color="auto"/>
              <w:right w:val="nil"/>
            </w:tcBorders>
            <w:shd w:val="clear" w:color="auto" w:fill="auto"/>
            <w:noWrap/>
            <w:vAlign w:val="center"/>
            <w:hideMark/>
          </w:tcPr>
          <w:p w14:paraId="0C16F080" w14:textId="77777777" w:rsidR="00251DE9" w:rsidRDefault="00251DE9">
            <w:pPr>
              <w:jc w:val="center"/>
              <w:rPr>
                <w:color w:val="000000"/>
                <w:sz w:val="20"/>
                <w:szCs w:val="20"/>
              </w:rPr>
            </w:pPr>
            <w:r>
              <w:rPr>
                <w:color w:val="000000"/>
                <w:sz w:val="20"/>
                <w:szCs w:val="20"/>
              </w:rPr>
              <w:t>(5)</w:t>
            </w:r>
          </w:p>
        </w:tc>
        <w:tc>
          <w:tcPr>
            <w:tcW w:w="1105" w:type="dxa"/>
            <w:tcBorders>
              <w:top w:val="single" w:sz="8" w:space="0" w:color="auto"/>
              <w:left w:val="nil"/>
              <w:bottom w:val="single" w:sz="8" w:space="0" w:color="auto"/>
              <w:right w:val="nil"/>
            </w:tcBorders>
            <w:shd w:val="clear" w:color="auto" w:fill="auto"/>
            <w:noWrap/>
            <w:vAlign w:val="center"/>
            <w:hideMark/>
          </w:tcPr>
          <w:p w14:paraId="671512F3" w14:textId="77777777" w:rsidR="00251DE9" w:rsidRDefault="00251DE9">
            <w:pPr>
              <w:jc w:val="center"/>
              <w:rPr>
                <w:color w:val="000000"/>
                <w:sz w:val="20"/>
                <w:szCs w:val="20"/>
              </w:rPr>
            </w:pPr>
            <w:r>
              <w:rPr>
                <w:color w:val="000000"/>
                <w:sz w:val="20"/>
                <w:szCs w:val="20"/>
              </w:rPr>
              <w:t>(6)</w:t>
            </w:r>
          </w:p>
        </w:tc>
        <w:tc>
          <w:tcPr>
            <w:tcW w:w="1105" w:type="dxa"/>
            <w:tcBorders>
              <w:top w:val="single" w:sz="8" w:space="0" w:color="auto"/>
              <w:left w:val="nil"/>
              <w:bottom w:val="single" w:sz="8" w:space="0" w:color="auto"/>
              <w:right w:val="nil"/>
            </w:tcBorders>
            <w:shd w:val="clear" w:color="auto" w:fill="auto"/>
            <w:noWrap/>
            <w:vAlign w:val="center"/>
            <w:hideMark/>
          </w:tcPr>
          <w:p w14:paraId="2E84D3D0" w14:textId="77777777" w:rsidR="00251DE9" w:rsidRDefault="00251DE9">
            <w:pPr>
              <w:jc w:val="center"/>
              <w:rPr>
                <w:color w:val="000000"/>
                <w:sz w:val="20"/>
                <w:szCs w:val="20"/>
              </w:rPr>
            </w:pPr>
            <w:r>
              <w:rPr>
                <w:color w:val="000000"/>
                <w:sz w:val="20"/>
                <w:szCs w:val="20"/>
              </w:rPr>
              <w:t>(7)</w:t>
            </w:r>
          </w:p>
        </w:tc>
        <w:tc>
          <w:tcPr>
            <w:tcW w:w="1105" w:type="dxa"/>
            <w:tcBorders>
              <w:top w:val="single" w:sz="8" w:space="0" w:color="auto"/>
              <w:left w:val="nil"/>
              <w:bottom w:val="single" w:sz="8" w:space="0" w:color="auto"/>
              <w:right w:val="nil"/>
            </w:tcBorders>
            <w:shd w:val="clear" w:color="auto" w:fill="auto"/>
            <w:noWrap/>
            <w:vAlign w:val="center"/>
            <w:hideMark/>
          </w:tcPr>
          <w:p w14:paraId="38BE9CBE" w14:textId="77777777" w:rsidR="00251DE9" w:rsidRDefault="00251DE9">
            <w:pPr>
              <w:jc w:val="center"/>
              <w:rPr>
                <w:color w:val="000000"/>
                <w:sz w:val="20"/>
                <w:szCs w:val="20"/>
              </w:rPr>
            </w:pPr>
            <w:r>
              <w:rPr>
                <w:color w:val="000000"/>
                <w:sz w:val="20"/>
                <w:szCs w:val="20"/>
              </w:rPr>
              <w:t>(8)</w:t>
            </w:r>
          </w:p>
        </w:tc>
      </w:tr>
      <w:tr w:rsidR="00251DE9" w14:paraId="260294EA" w14:textId="77777777" w:rsidTr="00C15130">
        <w:trPr>
          <w:trHeight w:val="80"/>
        </w:trPr>
        <w:tc>
          <w:tcPr>
            <w:tcW w:w="2116" w:type="dxa"/>
            <w:tcBorders>
              <w:top w:val="nil"/>
              <w:left w:val="nil"/>
              <w:bottom w:val="single" w:sz="8" w:space="0" w:color="auto"/>
              <w:right w:val="nil"/>
            </w:tcBorders>
            <w:shd w:val="clear" w:color="auto" w:fill="auto"/>
            <w:vAlign w:val="center"/>
            <w:hideMark/>
          </w:tcPr>
          <w:p w14:paraId="452E8199" w14:textId="77777777" w:rsidR="00251DE9" w:rsidRDefault="00251DE9">
            <w:pPr>
              <w:jc w:val="center"/>
              <w:rPr>
                <w:b/>
                <w:bCs/>
                <w:color w:val="000000"/>
                <w:sz w:val="20"/>
                <w:szCs w:val="20"/>
              </w:rPr>
            </w:pPr>
            <w:r>
              <w:rPr>
                <w:b/>
                <w:bCs/>
                <w:color w:val="000000"/>
                <w:sz w:val="20"/>
                <w:szCs w:val="20"/>
              </w:rPr>
              <w:t> Dependent Variable</w:t>
            </w:r>
          </w:p>
        </w:tc>
        <w:tc>
          <w:tcPr>
            <w:tcW w:w="4131" w:type="dxa"/>
            <w:gridSpan w:val="4"/>
            <w:tcBorders>
              <w:top w:val="single" w:sz="8" w:space="0" w:color="auto"/>
              <w:left w:val="nil"/>
              <w:bottom w:val="single" w:sz="8" w:space="0" w:color="auto"/>
              <w:right w:val="nil"/>
            </w:tcBorders>
            <w:shd w:val="clear" w:color="auto" w:fill="auto"/>
            <w:vAlign w:val="center"/>
            <w:hideMark/>
          </w:tcPr>
          <w:p w14:paraId="242E973C" w14:textId="77777777" w:rsidR="00251DE9" w:rsidRDefault="00251DE9">
            <w:pPr>
              <w:jc w:val="center"/>
              <w:rPr>
                <w:b/>
                <w:bCs/>
                <w:color w:val="000000"/>
                <w:sz w:val="20"/>
                <w:szCs w:val="20"/>
              </w:rPr>
            </w:pPr>
            <w:r>
              <w:rPr>
                <w:b/>
                <w:bCs/>
                <w:color w:val="000000"/>
                <w:sz w:val="20"/>
                <w:szCs w:val="20"/>
              </w:rPr>
              <w:t>Smoker</w:t>
            </w:r>
          </w:p>
        </w:tc>
        <w:tc>
          <w:tcPr>
            <w:tcW w:w="4131" w:type="dxa"/>
            <w:gridSpan w:val="4"/>
            <w:tcBorders>
              <w:top w:val="single" w:sz="8" w:space="0" w:color="auto"/>
              <w:left w:val="nil"/>
              <w:bottom w:val="single" w:sz="8" w:space="0" w:color="auto"/>
              <w:right w:val="nil"/>
            </w:tcBorders>
            <w:shd w:val="clear" w:color="auto" w:fill="auto"/>
            <w:vAlign w:val="center"/>
            <w:hideMark/>
          </w:tcPr>
          <w:p w14:paraId="2A6CABAB" w14:textId="77777777" w:rsidR="00251DE9" w:rsidRDefault="00251DE9">
            <w:pPr>
              <w:jc w:val="center"/>
              <w:rPr>
                <w:b/>
                <w:bCs/>
                <w:color w:val="000000"/>
                <w:sz w:val="20"/>
                <w:szCs w:val="20"/>
              </w:rPr>
            </w:pPr>
            <w:r>
              <w:rPr>
                <w:b/>
                <w:bCs/>
                <w:color w:val="000000"/>
                <w:sz w:val="20"/>
                <w:szCs w:val="20"/>
              </w:rPr>
              <w:t>No. of Cigarettes</w:t>
            </w:r>
          </w:p>
        </w:tc>
      </w:tr>
      <w:tr w:rsidR="00251DE9" w14:paraId="5220C367" w14:textId="77777777" w:rsidTr="00C15130">
        <w:trPr>
          <w:trHeight w:val="340"/>
        </w:trPr>
        <w:tc>
          <w:tcPr>
            <w:tcW w:w="2116" w:type="dxa"/>
            <w:tcBorders>
              <w:top w:val="single" w:sz="8" w:space="0" w:color="auto"/>
              <w:left w:val="nil"/>
              <w:bottom w:val="single" w:sz="8" w:space="0" w:color="auto"/>
              <w:right w:val="nil"/>
            </w:tcBorders>
            <w:shd w:val="clear" w:color="auto" w:fill="auto"/>
            <w:noWrap/>
            <w:vAlign w:val="bottom"/>
            <w:hideMark/>
          </w:tcPr>
          <w:p w14:paraId="4C17AE06" w14:textId="77777777" w:rsidR="00251DE9" w:rsidRDefault="00251DE9">
            <w:pPr>
              <w:jc w:val="center"/>
              <w:rPr>
                <w:b/>
                <w:bCs/>
                <w:color w:val="000000"/>
                <w:sz w:val="20"/>
                <w:szCs w:val="20"/>
              </w:rPr>
            </w:pPr>
          </w:p>
        </w:tc>
        <w:tc>
          <w:tcPr>
            <w:tcW w:w="816" w:type="dxa"/>
            <w:tcBorders>
              <w:top w:val="single" w:sz="8" w:space="0" w:color="auto"/>
              <w:left w:val="nil"/>
              <w:bottom w:val="single" w:sz="8" w:space="0" w:color="auto"/>
              <w:right w:val="nil"/>
            </w:tcBorders>
            <w:shd w:val="clear" w:color="auto" w:fill="auto"/>
            <w:vAlign w:val="center"/>
            <w:hideMark/>
          </w:tcPr>
          <w:p w14:paraId="437BEDED" w14:textId="77777777" w:rsidR="00251DE9" w:rsidRDefault="00251DE9">
            <w:pPr>
              <w:jc w:val="center"/>
              <w:rPr>
                <w:color w:val="000000"/>
                <w:sz w:val="20"/>
                <w:szCs w:val="20"/>
              </w:rPr>
            </w:pPr>
            <w:r>
              <w:rPr>
                <w:color w:val="000000"/>
                <w:sz w:val="20"/>
                <w:szCs w:val="20"/>
              </w:rPr>
              <w:t>Full Sample</w:t>
            </w:r>
          </w:p>
        </w:tc>
        <w:tc>
          <w:tcPr>
            <w:tcW w:w="1105" w:type="dxa"/>
            <w:tcBorders>
              <w:top w:val="single" w:sz="8" w:space="0" w:color="auto"/>
              <w:left w:val="nil"/>
              <w:bottom w:val="single" w:sz="8" w:space="0" w:color="auto"/>
              <w:right w:val="nil"/>
            </w:tcBorders>
            <w:shd w:val="clear" w:color="auto" w:fill="auto"/>
            <w:noWrap/>
            <w:vAlign w:val="center"/>
            <w:hideMark/>
          </w:tcPr>
          <w:p w14:paraId="04637D76" w14:textId="77777777" w:rsidR="00251DE9" w:rsidRDefault="00251DE9">
            <w:pPr>
              <w:jc w:val="center"/>
              <w:rPr>
                <w:color w:val="000000"/>
                <w:sz w:val="20"/>
                <w:szCs w:val="20"/>
              </w:rPr>
            </w:pPr>
            <w:r>
              <w:rPr>
                <w:color w:val="000000"/>
                <w:sz w:val="20"/>
                <w:szCs w:val="20"/>
              </w:rPr>
              <w:t>Hooked Generation</w:t>
            </w:r>
          </w:p>
        </w:tc>
        <w:tc>
          <w:tcPr>
            <w:tcW w:w="1105" w:type="dxa"/>
            <w:tcBorders>
              <w:top w:val="single" w:sz="8" w:space="0" w:color="auto"/>
              <w:left w:val="nil"/>
              <w:bottom w:val="single" w:sz="8" w:space="0" w:color="auto"/>
              <w:right w:val="nil"/>
            </w:tcBorders>
            <w:shd w:val="clear" w:color="auto" w:fill="auto"/>
            <w:noWrap/>
            <w:vAlign w:val="center"/>
            <w:hideMark/>
          </w:tcPr>
          <w:p w14:paraId="77D0BB9B" w14:textId="77777777" w:rsidR="00251DE9" w:rsidRDefault="00251DE9">
            <w:pPr>
              <w:jc w:val="center"/>
              <w:rPr>
                <w:color w:val="000000"/>
                <w:sz w:val="20"/>
                <w:szCs w:val="20"/>
              </w:rPr>
            </w:pPr>
            <w:r>
              <w:rPr>
                <w:color w:val="000000"/>
                <w:sz w:val="20"/>
                <w:szCs w:val="20"/>
              </w:rPr>
              <w:t>Middle Generation</w:t>
            </w:r>
          </w:p>
        </w:tc>
        <w:tc>
          <w:tcPr>
            <w:tcW w:w="1105" w:type="dxa"/>
            <w:tcBorders>
              <w:top w:val="single" w:sz="8" w:space="0" w:color="auto"/>
              <w:left w:val="nil"/>
              <w:bottom w:val="single" w:sz="8" w:space="0" w:color="auto"/>
              <w:right w:val="nil"/>
            </w:tcBorders>
            <w:shd w:val="clear" w:color="auto" w:fill="auto"/>
            <w:noWrap/>
            <w:vAlign w:val="center"/>
            <w:hideMark/>
          </w:tcPr>
          <w:p w14:paraId="1DBA1BCD" w14:textId="77777777" w:rsidR="00251DE9" w:rsidRDefault="00251DE9">
            <w:pPr>
              <w:jc w:val="center"/>
              <w:rPr>
                <w:color w:val="000000"/>
                <w:sz w:val="20"/>
                <w:szCs w:val="20"/>
              </w:rPr>
            </w:pPr>
            <w:r>
              <w:rPr>
                <w:color w:val="000000"/>
                <w:sz w:val="20"/>
                <w:szCs w:val="20"/>
              </w:rPr>
              <w:t>Informed Generation</w:t>
            </w:r>
          </w:p>
        </w:tc>
        <w:tc>
          <w:tcPr>
            <w:tcW w:w="816" w:type="dxa"/>
            <w:tcBorders>
              <w:top w:val="single" w:sz="8" w:space="0" w:color="auto"/>
              <w:left w:val="nil"/>
              <w:bottom w:val="single" w:sz="8" w:space="0" w:color="auto"/>
              <w:right w:val="nil"/>
            </w:tcBorders>
            <w:shd w:val="clear" w:color="auto" w:fill="auto"/>
            <w:vAlign w:val="center"/>
            <w:hideMark/>
          </w:tcPr>
          <w:p w14:paraId="07C94FEF" w14:textId="77777777" w:rsidR="00251DE9" w:rsidRDefault="00251DE9">
            <w:pPr>
              <w:jc w:val="center"/>
              <w:rPr>
                <w:color w:val="000000"/>
                <w:sz w:val="20"/>
                <w:szCs w:val="20"/>
              </w:rPr>
            </w:pPr>
            <w:r>
              <w:rPr>
                <w:color w:val="000000"/>
                <w:sz w:val="20"/>
                <w:szCs w:val="20"/>
              </w:rPr>
              <w:t>Full Sample</w:t>
            </w:r>
          </w:p>
        </w:tc>
        <w:tc>
          <w:tcPr>
            <w:tcW w:w="1105" w:type="dxa"/>
            <w:tcBorders>
              <w:top w:val="single" w:sz="8" w:space="0" w:color="auto"/>
              <w:left w:val="nil"/>
              <w:bottom w:val="single" w:sz="8" w:space="0" w:color="auto"/>
              <w:right w:val="nil"/>
            </w:tcBorders>
            <w:shd w:val="clear" w:color="auto" w:fill="auto"/>
            <w:noWrap/>
            <w:vAlign w:val="center"/>
            <w:hideMark/>
          </w:tcPr>
          <w:p w14:paraId="510C29BD" w14:textId="77777777" w:rsidR="00251DE9" w:rsidRDefault="00251DE9">
            <w:pPr>
              <w:jc w:val="center"/>
              <w:rPr>
                <w:color w:val="000000"/>
                <w:sz w:val="20"/>
                <w:szCs w:val="20"/>
              </w:rPr>
            </w:pPr>
            <w:r>
              <w:rPr>
                <w:color w:val="000000"/>
                <w:sz w:val="20"/>
                <w:szCs w:val="20"/>
              </w:rPr>
              <w:t>Hooked Generation</w:t>
            </w:r>
          </w:p>
        </w:tc>
        <w:tc>
          <w:tcPr>
            <w:tcW w:w="1105" w:type="dxa"/>
            <w:tcBorders>
              <w:top w:val="single" w:sz="8" w:space="0" w:color="auto"/>
              <w:left w:val="nil"/>
              <w:bottom w:val="single" w:sz="8" w:space="0" w:color="auto"/>
              <w:right w:val="nil"/>
            </w:tcBorders>
            <w:shd w:val="clear" w:color="auto" w:fill="auto"/>
            <w:noWrap/>
            <w:vAlign w:val="center"/>
            <w:hideMark/>
          </w:tcPr>
          <w:p w14:paraId="5AAA0E0D" w14:textId="77777777" w:rsidR="00251DE9" w:rsidRDefault="00251DE9">
            <w:pPr>
              <w:jc w:val="center"/>
              <w:rPr>
                <w:color w:val="000000"/>
                <w:sz w:val="20"/>
                <w:szCs w:val="20"/>
              </w:rPr>
            </w:pPr>
            <w:r>
              <w:rPr>
                <w:color w:val="000000"/>
                <w:sz w:val="20"/>
                <w:szCs w:val="20"/>
              </w:rPr>
              <w:t>Middle Generation</w:t>
            </w:r>
          </w:p>
        </w:tc>
        <w:tc>
          <w:tcPr>
            <w:tcW w:w="1105" w:type="dxa"/>
            <w:tcBorders>
              <w:top w:val="single" w:sz="8" w:space="0" w:color="auto"/>
              <w:left w:val="nil"/>
              <w:bottom w:val="single" w:sz="8" w:space="0" w:color="auto"/>
              <w:right w:val="nil"/>
            </w:tcBorders>
            <w:shd w:val="clear" w:color="auto" w:fill="auto"/>
            <w:noWrap/>
            <w:vAlign w:val="center"/>
            <w:hideMark/>
          </w:tcPr>
          <w:p w14:paraId="48E9F31F" w14:textId="77777777" w:rsidR="00251DE9" w:rsidRDefault="00251DE9">
            <w:pPr>
              <w:jc w:val="center"/>
              <w:rPr>
                <w:color w:val="000000"/>
                <w:sz w:val="20"/>
                <w:szCs w:val="20"/>
              </w:rPr>
            </w:pPr>
            <w:r>
              <w:rPr>
                <w:color w:val="000000"/>
                <w:sz w:val="20"/>
                <w:szCs w:val="20"/>
              </w:rPr>
              <w:t>Informed Generation</w:t>
            </w:r>
          </w:p>
        </w:tc>
      </w:tr>
      <w:tr w:rsidR="00251DE9" w14:paraId="70E2082F" w14:textId="77777777" w:rsidTr="00C15130">
        <w:trPr>
          <w:trHeight w:val="297"/>
        </w:trPr>
        <w:tc>
          <w:tcPr>
            <w:tcW w:w="2116" w:type="dxa"/>
            <w:tcBorders>
              <w:top w:val="nil"/>
              <w:left w:val="nil"/>
              <w:bottom w:val="nil"/>
              <w:right w:val="nil"/>
            </w:tcBorders>
            <w:shd w:val="clear" w:color="auto" w:fill="auto"/>
            <w:noWrap/>
            <w:vAlign w:val="center"/>
            <w:hideMark/>
          </w:tcPr>
          <w:p w14:paraId="4B7553B0" w14:textId="77777777" w:rsidR="00251DE9" w:rsidRDefault="00251DE9">
            <w:pPr>
              <w:rPr>
                <w:color w:val="000000"/>
                <w:sz w:val="20"/>
                <w:szCs w:val="20"/>
              </w:rPr>
            </w:pPr>
            <w:r>
              <w:rPr>
                <w:color w:val="000000"/>
                <w:sz w:val="20"/>
                <w:szCs w:val="20"/>
              </w:rPr>
              <w:t>Ban</w:t>
            </w:r>
          </w:p>
        </w:tc>
        <w:tc>
          <w:tcPr>
            <w:tcW w:w="816" w:type="dxa"/>
            <w:tcBorders>
              <w:top w:val="nil"/>
              <w:left w:val="nil"/>
              <w:bottom w:val="nil"/>
              <w:right w:val="nil"/>
            </w:tcBorders>
            <w:shd w:val="clear" w:color="auto" w:fill="auto"/>
            <w:noWrap/>
            <w:vAlign w:val="center"/>
            <w:hideMark/>
          </w:tcPr>
          <w:p w14:paraId="6F185A2E" w14:textId="77777777" w:rsidR="00251DE9" w:rsidRDefault="00251DE9">
            <w:pPr>
              <w:jc w:val="center"/>
              <w:rPr>
                <w:color w:val="000000"/>
                <w:sz w:val="20"/>
                <w:szCs w:val="20"/>
              </w:rPr>
            </w:pPr>
            <w:r>
              <w:rPr>
                <w:color w:val="000000"/>
                <w:sz w:val="20"/>
                <w:szCs w:val="20"/>
              </w:rPr>
              <w:t>0.015</w:t>
            </w:r>
          </w:p>
        </w:tc>
        <w:tc>
          <w:tcPr>
            <w:tcW w:w="1105" w:type="dxa"/>
            <w:tcBorders>
              <w:top w:val="nil"/>
              <w:left w:val="nil"/>
              <w:bottom w:val="nil"/>
              <w:right w:val="nil"/>
            </w:tcBorders>
            <w:shd w:val="clear" w:color="auto" w:fill="auto"/>
            <w:noWrap/>
            <w:vAlign w:val="center"/>
            <w:hideMark/>
          </w:tcPr>
          <w:p w14:paraId="14488F59" w14:textId="77777777" w:rsidR="00251DE9" w:rsidRDefault="00251DE9">
            <w:pPr>
              <w:jc w:val="center"/>
              <w:rPr>
                <w:color w:val="000000"/>
                <w:sz w:val="20"/>
                <w:szCs w:val="20"/>
              </w:rPr>
            </w:pPr>
            <w:r>
              <w:rPr>
                <w:color w:val="000000"/>
                <w:sz w:val="20"/>
                <w:szCs w:val="20"/>
              </w:rPr>
              <w:t>0.025</w:t>
            </w:r>
          </w:p>
        </w:tc>
        <w:tc>
          <w:tcPr>
            <w:tcW w:w="1105" w:type="dxa"/>
            <w:tcBorders>
              <w:top w:val="nil"/>
              <w:left w:val="nil"/>
              <w:bottom w:val="nil"/>
              <w:right w:val="nil"/>
            </w:tcBorders>
            <w:shd w:val="clear" w:color="auto" w:fill="auto"/>
            <w:noWrap/>
            <w:vAlign w:val="center"/>
            <w:hideMark/>
          </w:tcPr>
          <w:p w14:paraId="3EB00DE4" w14:textId="77777777" w:rsidR="00251DE9" w:rsidRDefault="00251DE9">
            <w:pPr>
              <w:jc w:val="center"/>
              <w:rPr>
                <w:color w:val="000000"/>
                <w:sz w:val="20"/>
                <w:szCs w:val="20"/>
              </w:rPr>
            </w:pPr>
            <w:r>
              <w:rPr>
                <w:color w:val="000000"/>
                <w:sz w:val="20"/>
                <w:szCs w:val="20"/>
              </w:rPr>
              <w:t>0.011</w:t>
            </w:r>
          </w:p>
        </w:tc>
        <w:tc>
          <w:tcPr>
            <w:tcW w:w="1105" w:type="dxa"/>
            <w:tcBorders>
              <w:top w:val="nil"/>
              <w:left w:val="nil"/>
              <w:bottom w:val="nil"/>
              <w:right w:val="nil"/>
            </w:tcBorders>
            <w:shd w:val="clear" w:color="auto" w:fill="auto"/>
            <w:noWrap/>
            <w:vAlign w:val="center"/>
            <w:hideMark/>
          </w:tcPr>
          <w:p w14:paraId="0311C564" w14:textId="77777777" w:rsidR="00251DE9" w:rsidRDefault="00251DE9">
            <w:pPr>
              <w:jc w:val="center"/>
              <w:rPr>
                <w:color w:val="000000"/>
                <w:sz w:val="20"/>
                <w:szCs w:val="20"/>
              </w:rPr>
            </w:pPr>
            <w:r>
              <w:rPr>
                <w:color w:val="000000"/>
                <w:sz w:val="20"/>
                <w:szCs w:val="20"/>
              </w:rPr>
              <w:t>0.026</w:t>
            </w:r>
          </w:p>
        </w:tc>
        <w:tc>
          <w:tcPr>
            <w:tcW w:w="816" w:type="dxa"/>
            <w:tcBorders>
              <w:top w:val="nil"/>
              <w:left w:val="nil"/>
              <w:bottom w:val="nil"/>
              <w:right w:val="nil"/>
            </w:tcBorders>
            <w:shd w:val="clear" w:color="auto" w:fill="auto"/>
            <w:noWrap/>
            <w:vAlign w:val="center"/>
            <w:hideMark/>
          </w:tcPr>
          <w:p w14:paraId="5BCE2D79" w14:textId="77777777" w:rsidR="00251DE9" w:rsidRDefault="00251DE9">
            <w:pPr>
              <w:jc w:val="center"/>
              <w:rPr>
                <w:color w:val="000000"/>
                <w:sz w:val="20"/>
                <w:szCs w:val="20"/>
              </w:rPr>
            </w:pPr>
            <w:r>
              <w:rPr>
                <w:color w:val="000000"/>
                <w:sz w:val="20"/>
                <w:szCs w:val="20"/>
              </w:rPr>
              <w:t>-0.341</w:t>
            </w:r>
          </w:p>
        </w:tc>
        <w:tc>
          <w:tcPr>
            <w:tcW w:w="1105" w:type="dxa"/>
            <w:tcBorders>
              <w:top w:val="nil"/>
              <w:left w:val="nil"/>
              <w:bottom w:val="nil"/>
              <w:right w:val="nil"/>
            </w:tcBorders>
            <w:shd w:val="clear" w:color="auto" w:fill="auto"/>
            <w:noWrap/>
            <w:vAlign w:val="center"/>
            <w:hideMark/>
          </w:tcPr>
          <w:p w14:paraId="0FB351E1" w14:textId="77777777" w:rsidR="00251DE9" w:rsidRDefault="00251DE9">
            <w:pPr>
              <w:jc w:val="center"/>
              <w:rPr>
                <w:color w:val="000000"/>
                <w:sz w:val="20"/>
                <w:szCs w:val="20"/>
              </w:rPr>
            </w:pPr>
            <w:r>
              <w:rPr>
                <w:color w:val="000000"/>
                <w:sz w:val="20"/>
                <w:szCs w:val="20"/>
              </w:rPr>
              <w:t>-0.599</w:t>
            </w:r>
          </w:p>
        </w:tc>
        <w:tc>
          <w:tcPr>
            <w:tcW w:w="1105" w:type="dxa"/>
            <w:tcBorders>
              <w:top w:val="nil"/>
              <w:left w:val="nil"/>
              <w:bottom w:val="nil"/>
              <w:right w:val="nil"/>
            </w:tcBorders>
            <w:shd w:val="clear" w:color="auto" w:fill="auto"/>
            <w:noWrap/>
            <w:vAlign w:val="center"/>
            <w:hideMark/>
          </w:tcPr>
          <w:p w14:paraId="6D58E3D3" w14:textId="77777777" w:rsidR="00251DE9" w:rsidRDefault="00251DE9">
            <w:pPr>
              <w:jc w:val="center"/>
              <w:rPr>
                <w:color w:val="000000"/>
                <w:sz w:val="20"/>
                <w:szCs w:val="20"/>
              </w:rPr>
            </w:pPr>
            <w:r>
              <w:rPr>
                <w:color w:val="000000"/>
                <w:sz w:val="20"/>
                <w:szCs w:val="20"/>
              </w:rPr>
              <w:t>-0.107</w:t>
            </w:r>
          </w:p>
        </w:tc>
        <w:tc>
          <w:tcPr>
            <w:tcW w:w="1105" w:type="dxa"/>
            <w:tcBorders>
              <w:top w:val="nil"/>
              <w:left w:val="nil"/>
              <w:bottom w:val="nil"/>
              <w:right w:val="nil"/>
            </w:tcBorders>
            <w:shd w:val="clear" w:color="auto" w:fill="auto"/>
            <w:noWrap/>
            <w:vAlign w:val="center"/>
            <w:hideMark/>
          </w:tcPr>
          <w:p w14:paraId="0629139C" w14:textId="77777777" w:rsidR="00251DE9" w:rsidRDefault="00251DE9">
            <w:pPr>
              <w:jc w:val="center"/>
              <w:rPr>
                <w:color w:val="000000"/>
                <w:sz w:val="20"/>
                <w:szCs w:val="20"/>
              </w:rPr>
            </w:pPr>
            <w:r>
              <w:rPr>
                <w:color w:val="000000"/>
                <w:sz w:val="20"/>
                <w:szCs w:val="20"/>
              </w:rPr>
              <w:t>-0.399</w:t>
            </w:r>
          </w:p>
        </w:tc>
      </w:tr>
      <w:tr w:rsidR="00251DE9" w14:paraId="182EDE7E" w14:textId="77777777" w:rsidTr="00C15130">
        <w:trPr>
          <w:trHeight w:val="144"/>
        </w:trPr>
        <w:tc>
          <w:tcPr>
            <w:tcW w:w="2116" w:type="dxa"/>
            <w:tcBorders>
              <w:top w:val="nil"/>
              <w:left w:val="nil"/>
              <w:bottom w:val="nil"/>
              <w:right w:val="nil"/>
            </w:tcBorders>
            <w:shd w:val="clear" w:color="auto" w:fill="auto"/>
            <w:noWrap/>
            <w:vAlign w:val="bottom"/>
            <w:hideMark/>
          </w:tcPr>
          <w:p w14:paraId="2A60DBFA"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60E3C4AF" w14:textId="77777777" w:rsidR="00251DE9" w:rsidRDefault="00251DE9">
            <w:pPr>
              <w:jc w:val="center"/>
              <w:rPr>
                <w:color w:val="000000"/>
                <w:sz w:val="20"/>
                <w:szCs w:val="20"/>
              </w:rPr>
            </w:pPr>
            <w:r>
              <w:rPr>
                <w:color w:val="000000"/>
                <w:sz w:val="20"/>
                <w:szCs w:val="20"/>
              </w:rPr>
              <w:t>(0.012)</w:t>
            </w:r>
          </w:p>
        </w:tc>
        <w:tc>
          <w:tcPr>
            <w:tcW w:w="1105" w:type="dxa"/>
            <w:tcBorders>
              <w:top w:val="nil"/>
              <w:left w:val="nil"/>
              <w:bottom w:val="nil"/>
              <w:right w:val="nil"/>
            </w:tcBorders>
            <w:shd w:val="clear" w:color="auto" w:fill="auto"/>
            <w:noWrap/>
            <w:vAlign w:val="center"/>
            <w:hideMark/>
          </w:tcPr>
          <w:p w14:paraId="1CFD56A0" w14:textId="77777777" w:rsidR="00251DE9" w:rsidRDefault="00251DE9">
            <w:pPr>
              <w:jc w:val="center"/>
              <w:rPr>
                <w:color w:val="000000"/>
                <w:sz w:val="20"/>
                <w:szCs w:val="20"/>
              </w:rPr>
            </w:pPr>
            <w:r>
              <w:rPr>
                <w:color w:val="000000"/>
                <w:sz w:val="20"/>
                <w:szCs w:val="20"/>
              </w:rPr>
              <w:t>(0.022)</w:t>
            </w:r>
          </w:p>
        </w:tc>
        <w:tc>
          <w:tcPr>
            <w:tcW w:w="1105" w:type="dxa"/>
            <w:tcBorders>
              <w:top w:val="nil"/>
              <w:left w:val="nil"/>
              <w:bottom w:val="nil"/>
              <w:right w:val="nil"/>
            </w:tcBorders>
            <w:shd w:val="clear" w:color="auto" w:fill="auto"/>
            <w:noWrap/>
            <w:vAlign w:val="center"/>
            <w:hideMark/>
          </w:tcPr>
          <w:p w14:paraId="3DF104ED" w14:textId="77777777" w:rsidR="00251DE9" w:rsidRDefault="00251DE9">
            <w:pPr>
              <w:jc w:val="center"/>
              <w:rPr>
                <w:color w:val="000000"/>
                <w:sz w:val="20"/>
                <w:szCs w:val="20"/>
              </w:rPr>
            </w:pPr>
            <w:r>
              <w:rPr>
                <w:color w:val="000000"/>
                <w:sz w:val="20"/>
                <w:szCs w:val="20"/>
              </w:rPr>
              <w:t>(0.017)</w:t>
            </w:r>
          </w:p>
        </w:tc>
        <w:tc>
          <w:tcPr>
            <w:tcW w:w="1105" w:type="dxa"/>
            <w:tcBorders>
              <w:top w:val="nil"/>
              <w:left w:val="nil"/>
              <w:bottom w:val="nil"/>
              <w:right w:val="nil"/>
            </w:tcBorders>
            <w:shd w:val="clear" w:color="auto" w:fill="auto"/>
            <w:noWrap/>
            <w:vAlign w:val="center"/>
            <w:hideMark/>
          </w:tcPr>
          <w:p w14:paraId="6256D8E7" w14:textId="77777777" w:rsidR="00251DE9" w:rsidRDefault="00251DE9">
            <w:pPr>
              <w:jc w:val="center"/>
              <w:rPr>
                <w:color w:val="000000"/>
                <w:sz w:val="20"/>
                <w:szCs w:val="20"/>
              </w:rPr>
            </w:pPr>
            <w:r>
              <w:rPr>
                <w:color w:val="000000"/>
                <w:sz w:val="20"/>
                <w:szCs w:val="20"/>
              </w:rPr>
              <w:t>(0.029)</w:t>
            </w:r>
          </w:p>
        </w:tc>
        <w:tc>
          <w:tcPr>
            <w:tcW w:w="816" w:type="dxa"/>
            <w:tcBorders>
              <w:top w:val="nil"/>
              <w:left w:val="nil"/>
              <w:bottom w:val="nil"/>
              <w:right w:val="nil"/>
            </w:tcBorders>
            <w:shd w:val="clear" w:color="auto" w:fill="auto"/>
            <w:noWrap/>
            <w:vAlign w:val="center"/>
            <w:hideMark/>
          </w:tcPr>
          <w:p w14:paraId="38CC09D5" w14:textId="77777777" w:rsidR="00251DE9" w:rsidRDefault="00251DE9">
            <w:pPr>
              <w:jc w:val="center"/>
              <w:rPr>
                <w:color w:val="000000"/>
                <w:sz w:val="20"/>
                <w:szCs w:val="20"/>
              </w:rPr>
            </w:pPr>
            <w:r>
              <w:rPr>
                <w:color w:val="000000"/>
                <w:sz w:val="20"/>
                <w:szCs w:val="20"/>
              </w:rPr>
              <w:t>(0.236)</w:t>
            </w:r>
          </w:p>
        </w:tc>
        <w:tc>
          <w:tcPr>
            <w:tcW w:w="1105" w:type="dxa"/>
            <w:tcBorders>
              <w:top w:val="nil"/>
              <w:left w:val="nil"/>
              <w:bottom w:val="nil"/>
              <w:right w:val="nil"/>
            </w:tcBorders>
            <w:shd w:val="clear" w:color="auto" w:fill="auto"/>
            <w:noWrap/>
            <w:vAlign w:val="center"/>
            <w:hideMark/>
          </w:tcPr>
          <w:p w14:paraId="06A20A26" w14:textId="77777777" w:rsidR="00251DE9" w:rsidRDefault="00251DE9">
            <w:pPr>
              <w:jc w:val="center"/>
              <w:rPr>
                <w:color w:val="000000"/>
                <w:sz w:val="20"/>
                <w:szCs w:val="20"/>
              </w:rPr>
            </w:pPr>
            <w:r>
              <w:rPr>
                <w:color w:val="000000"/>
                <w:sz w:val="20"/>
                <w:szCs w:val="20"/>
              </w:rPr>
              <w:t>(0.463)</w:t>
            </w:r>
          </w:p>
        </w:tc>
        <w:tc>
          <w:tcPr>
            <w:tcW w:w="1105" w:type="dxa"/>
            <w:tcBorders>
              <w:top w:val="nil"/>
              <w:left w:val="nil"/>
              <w:bottom w:val="nil"/>
              <w:right w:val="nil"/>
            </w:tcBorders>
            <w:shd w:val="clear" w:color="auto" w:fill="auto"/>
            <w:noWrap/>
            <w:vAlign w:val="center"/>
            <w:hideMark/>
          </w:tcPr>
          <w:p w14:paraId="116BF826" w14:textId="77777777" w:rsidR="00251DE9" w:rsidRDefault="00251DE9">
            <w:pPr>
              <w:jc w:val="center"/>
              <w:rPr>
                <w:color w:val="000000"/>
                <w:sz w:val="20"/>
                <w:szCs w:val="20"/>
              </w:rPr>
            </w:pPr>
            <w:r>
              <w:rPr>
                <w:color w:val="000000"/>
                <w:sz w:val="20"/>
                <w:szCs w:val="20"/>
              </w:rPr>
              <w:t>(0.348)</w:t>
            </w:r>
          </w:p>
        </w:tc>
        <w:tc>
          <w:tcPr>
            <w:tcW w:w="1105" w:type="dxa"/>
            <w:tcBorders>
              <w:top w:val="nil"/>
              <w:left w:val="nil"/>
              <w:bottom w:val="nil"/>
              <w:right w:val="nil"/>
            </w:tcBorders>
            <w:shd w:val="clear" w:color="auto" w:fill="auto"/>
            <w:noWrap/>
            <w:vAlign w:val="center"/>
            <w:hideMark/>
          </w:tcPr>
          <w:p w14:paraId="761B80F3" w14:textId="77777777" w:rsidR="00251DE9" w:rsidRDefault="00251DE9">
            <w:pPr>
              <w:jc w:val="center"/>
              <w:rPr>
                <w:color w:val="000000"/>
                <w:sz w:val="20"/>
                <w:szCs w:val="20"/>
              </w:rPr>
            </w:pPr>
            <w:r>
              <w:rPr>
                <w:color w:val="000000"/>
                <w:sz w:val="20"/>
                <w:szCs w:val="20"/>
              </w:rPr>
              <w:t>(0.440)</w:t>
            </w:r>
          </w:p>
        </w:tc>
      </w:tr>
      <w:tr w:rsidR="00251DE9" w14:paraId="1A4063C8" w14:textId="77777777" w:rsidTr="00C15130">
        <w:trPr>
          <w:trHeight w:val="297"/>
        </w:trPr>
        <w:tc>
          <w:tcPr>
            <w:tcW w:w="2116" w:type="dxa"/>
            <w:tcBorders>
              <w:top w:val="nil"/>
              <w:left w:val="nil"/>
              <w:bottom w:val="nil"/>
              <w:right w:val="nil"/>
            </w:tcBorders>
            <w:shd w:val="clear" w:color="auto" w:fill="auto"/>
            <w:noWrap/>
            <w:vAlign w:val="center"/>
            <w:hideMark/>
          </w:tcPr>
          <w:p w14:paraId="591A571F" w14:textId="77777777" w:rsidR="00251DE9" w:rsidRDefault="00251DE9">
            <w:pPr>
              <w:rPr>
                <w:color w:val="000000"/>
                <w:sz w:val="20"/>
                <w:szCs w:val="20"/>
              </w:rPr>
            </w:pPr>
            <w:r>
              <w:rPr>
                <w:color w:val="000000"/>
                <w:sz w:val="20"/>
                <w:szCs w:val="20"/>
              </w:rPr>
              <w:t>Ban*Conscientiousness</w:t>
            </w:r>
          </w:p>
        </w:tc>
        <w:tc>
          <w:tcPr>
            <w:tcW w:w="816" w:type="dxa"/>
            <w:tcBorders>
              <w:top w:val="nil"/>
              <w:left w:val="nil"/>
              <w:bottom w:val="nil"/>
              <w:right w:val="nil"/>
            </w:tcBorders>
            <w:shd w:val="clear" w:color="auto" w:fill="auto"/>
            <w:noWrap/>
            <w:vAlign w:val="center"/>
            <w:hideMark/>
          </w:tcPr>
          <w:p w14:paraId="628D27D0" w14:textId="77777777" w:rsidR="00251DE9" w:rsidRDefault="00251DE9">
            <w:pPr>
              <w:jc w:val="center"/>
              <w:rPr>
                <w:color w:val="000000"/>
                <w:sz w:val="20"/>
                <w:szCs w:val="20"/>
              </w:rPr>
            </w:pPr>
            <w:r>
              <w:rPr>
                <w:color w:val="000000"/>
                <w:sz w:val="20"/>
                <w:szCs w:val="20"/>
              </w:rPr>
              <w:t>-0.014</w:t>
            </w:r>
          </w:p>
        </w:tc>
        <w:tc>
          <w:tcPr>
            <w:tcW w:w="1105" w:type="dxa"/>
            <w:tcBorders>
              <w:top w:val="nil"/>
              <w:left w:val="nil"/>
              <w:bottom w:val="nil"/>
              <w:right w:val="nil"/>
            </w:tcBorders>
            <w:shd w:val="clear" w:color="auto" w:fill="auto"/>
            <w:noWrap/>
            <w:vAlign w:val="center"/>
            <w:hideMark/>
          </w:tcPr>
          <w:p w14:paraId="5C3D3173" w14:textId="77777777" w:rsidR="00251DE9" w:rsidRDefault="00251DE9">
            <w:pPr>
              <w:jc w:val="center"/>
              <w:rPr>
                <w:color w:val="000000"/>
                <w:sz w:val="20"/>
                <w:szCs w:val="20"/>
              </w:rPr>
            </w:pPr>
            <w:r>
              <w:rPr>
                <w:color w:val="000000"/>
                <w:sz w:val="20"/>
                <w:szCs w:val="20"/>
              </w:rPr>
              <w:t>-0.026</w:t>
            </w:r>
          </w:p>
        </w:tc>
        <w:tc>
          <w:tcPr>
            <w:tcW w:w="1105" w:type="dxa"/>
            <w:tcBorders>
              <w:top w:val="nil"/>
              <w:left w:val="nil"/>
              <w:bottom w:val="nil"/>
              <w:right w:val="nil"/>
            </w:tcBorders>
            <w:shd w:val="clear" w:color="auto" w:fill="auto"/>
            <w:noWrap/>
            <w:vAlign w:val="center"/>
            <w:hideMark/>
          </w:tcPr>
          <w:p w14:paraId="329EEF48" w14:textId="77777777" w:rsidR="00251DE9" w:rsidRDefault="00251DE9">
            <w:pPr>
              <w:jc w:val="center"/>
              <w:rPr>
                <w:color w:val="000000"/>
                <w:sz w:val="20"/>
                <w:szCs w:val="20"/>
              </w:rPr>
            </w:pPr>
            <w:r>
              <w:rPr>
                <w:color w:val="000000"/>
                <w:sz w:val="20"/>
                <w:szCs w:val="20"/>
              </w:rPr>
              <w:t>0.009</w:t>
            </w:r>
          </w:p>
        </w:tc>
        <w:tc>
          <w:tcPr>
            <w:tcW w:w="1105" w:type="dxa"/>
            <w:tcBorders>
              <w:top w:val="nil"/>
              <w:left w:val="nil"/>
              <w:bottom w:val="nil"/>
              <w:right w:val="nil"/>
            </w:tcBorders>
            <w:shd w:val="clear" w:color="auto" w:fill="auto"/>
            <w:noWrap/>
            <w:vAlign w:val="center"/>
            <w:hideMark/>
          </w:tcPr>
          <w:p w14:paraId="164E6338" w14:textId="77777777" w:rsidR="00251DE9" w:rsidRDefault="00251DE9">
            <w:pPr>
              <w:jc w:val="center"/>
              <w:rPr>
                <w:color w:val="000000"/>
                <w:sz w:val="20"/>
                <w:szCs w:val="20"/>
              </w:rPr>
            </w:pPr>
            <w:r>
              <w:rPr>
                <w:color w:val="000000"/>
                <w:sz w:val="20"/>
                <w:szCs w:val="20"/>
              </w:rPr>
              <w:t>-0.007</w:t>
            </w:r>
          </w:p>
        </w:tc>
        <w:tc>
          <w:tcPr>
            <w:tcW w:w="816" w:type="dxa"/>
            <w:tcBorders>
              <w:top w:val="nil"/>
              <w:left w:val="nil"/>
              <w:bottom w:val="nil"/>
              <w:right w:val="nil"/>
            </w:tcBorders>
            <w:shd w:val="clear" w:color="auto" w:fill="auto"/>
            <w:noWrap/>
            <w:vAlign w:val="center"/>
            <w:hideMark/>
          </w:tcPr>
          <w:p w14:paraId="58410873" w14:textId="77777777" w:rsidR="00251DE9" w:rsidRDefault="00251DE9">
            <w:pPr>
              <w:jc w:val="center"/>
              <w:rPr>
                <w:color w:val="000000"/>
                <w:sz w:val="20"/>
                <w:szCs w:val="20"/>
              </w:rPr>
            </w:pPr>
            <w:r>
              <w:rPr>
                <w:color w:val="000000"/>
                <w:sz w:val="20"/>
                <w:szCs w:val="20"/>
              </w:rPr>
              <w:t>-0.123</w:t>
            </w:r>
          </w:p>
        </w:tc>
        <w:tc>
          <w:tcPr>
            <w:tcW w:w="1105" w:type="dxa"/>
            <w:tcBorders>
              <w:top w:val="nil"/>
              <w:left w:val="nil"/>
              <w:bottom w:val="nil"/>
              <w:right w:val="nil"/>
            </w:tcBorders>
            <w:shd w:val="clear" w:color="auto" w:fill="auto"/>
            <w:noWrap/>
            <w:vAlign w:val="center"/>
            <w:hideMark/>
          </w:tcPr>
          <w:p w14:paraId="51EE0AF4" w14:textId="77777777" w:rsidR="00251DE9" w:rsidRDefault="00251DE9">
            <w:pPr>
              <w:jc w:val="center"/>
              <w:rPr>
                <w:color w:val="000000"/>
                <w:sz w:val="20"/>
                <w:szCs w:val="20"/>
              </w:rPr>
            </w:pPr>
            <w:r>
              <w:rPr>
                <w:color w:val="000000"/>
                <w:sz w:val="20"/>
                <w:szCs w:val="20"/>
              </w:rPr>
              <w:t>0.0257</w:t>
            </w:r>
          </w:p>
        </w:tc>
        <w:tc>
          <w:tcPr>
            <w:tcW w:w="1105" w:type="dxa"/>
            <w:tcBorders>
              <w:top w:val="nil"/>
              <w:left w:val="nil"/>
              <w:bottom w:val="nil"/>
              <w:right w:val="nil"/>
            </w:tcBorders>
            <w:shd w:val="clear" w:color="auto" w:fill="auto"/>
            <w:noWrap/>
            <w:vAlign w:val="center"/>
            <w:hideMark/>
          </w:tcPr>
          <w:p w14:paraId="3427110D" w14:textId="77777777" w:rsidR="00251DE9" w:rsidRDefault="00251DE9">
            <w:pPr>
              <w:jc w:val="center"/>
              <w:rPr>
                <w:color w:val="000000"/>
                <w:sz w:val="20"/>
                <w:szCs w:val="20"/>
              </w:rPr>
            </w:pPr>
            <w:r>
              <w:rPr>
                <w:color w:val="000000"/>
                <w:sz w:val="20"/>
                <w:szCs w:val="20"/>
              </w:rPr>
              <w:t>-0.0643</w:t>
            </w:r>
          </w:p>
        </w:tc>
        <w:tc>
          <w:tcPr>
            <w:tcW w:w="1105" w:type="dxa"/>
            <w:tcBorders>
              <w:top w:val="nil"/>
              <w:left w:val="nil"/>
              <w:bottom w:val="nil"/>
              <w:right w:val="nil"/>
            </w:tcBorders>
            <w:shd w:val="clear" w:color="auto" w:fill="auto"/>
            <w:noWrap/>
            <w:vAlign w:val="center"/>
            <w:hideMark/>
          </w:tcPr>
          <w:p w14:paraId="59C5F477" w14:textId="77777777" w:rsidR="00251DE9" w:rsidRDefault="00251DE9">
            <w:pPr>
              <w:jc w:val="center"/>
              <w:rPr>
                <w:color w:val="000000"/>
                <w:sz w:val="20"/>
                <w:szCs w:val="20"/>
              </w:rPr>
            </w:pPr>
            <w:r>
              <w:rPr>
                <w:color w:val="000000"/>
                <w:sz w:val="20"/>
                <w:szCs w:val="20"/>
              </w:rPr>
              <w:t>-0.264</w:t>
            </w:r>
          </w:p>
        </w:tc>
      </w:tr>
      <w:tr w:rsidR="00251DE9" w14:paraId="6E5F4502" w14:textId="77777777" w:rsidTr="00C15130">
        <w:trPr>
          <w:trHeight w:val="100"/>
        </w:trPr>
        <w:tc>
          <w:tcPr>
            <w:tcW w:w="2116" w:type="dxa"/>
            <w:tcBorders>
              <w:top w:val="nil"/>
              <w:left w:val="nil"/>
              <w:bottom w:val="nil"/>
              <w:right w:val="nil"/>
            </w:tcBorders>
            <w:shd w:val="clear" w:color="auto" w:fill="auto"/>
            <w:noWrap/>
            <w:vAlign w:val="bottom"/>
            <w:hideMark/>
          </w:tcPr>
          <w:p w14:paraId="3340AE5F"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536E4DA0" w14:textId="77777777" w:rsidR="00251DE9" w:rsidRDefault="00251DE9">
            <w:pPr>
              <w:jc w:val="center"/>
              <w:rPr>
                <w:color w:val="000000"/>
                <w:sz w:val="20"/>
                <w:szCs w:val="20"/>
              </w:rPr>
            </w:pPr>
            <w:r>
              <w:rPr>
                <w:color w:val="000000"/>
                <w:sz w:val="20"/>
                <w:szCs w:val="20"/>
              </w:rPr>
              <w:t>(0.006)</w:t>
            </w:r>
          </w:p>
        </w:tc>
        <w:tc>
          <w:tcPr>
            <w:tcW w:w="1105" w:type="dxa"/>
            <w:tcBorders>
              <w:top w:val="nil"/>
              <w:left w:val="nil"/>
              <w:bottom w:val="nil"/>
              <w:right w:val="nil"/>
            </w:tcBorders>
            <w:shd w:val="clear" w:color="auto" w:fill="auto"/>
            <w:noWrap/>
            <w:vAlign w:val="center"/>
            <w:hideMark/>
          </w:tcPr>
          <w:p w14:paraId="49A4C82B" w14:textId="77777777" w:rsidR="00251DE9" w:rsidRDefault="00251DE9">
            <w:pPr>
              <w:jc w:val="center"/>
              <w:rPr>
                <w:color w:val="000000"/>
                <w:sz w:val="20"/>
                <w:szCs w:val="20"/>
              </w:rPr>
            </w:pPr>
            <w:r>
              <w:rPr>
                <w:color w:val="000000"/>
                <w:sz w:val="20"/>
                <w:szCs w:val="20"/>
              </w:rPr>
              <w:t>(0.011)</w:t>
            </w:r>
          </w:p>
        </w:tc>
        <w:tc>
          <w:tcPr>
            <w:tcW w:w="1105" w:type="dxa"/>
            <w:tcBorders>
              <w:top w:val="nil"/>
              <w:left w:val="nil"/>
              <w:bottom w:val="nil"/>
              <w:right w:val="nil"/>
            </w:tcBorders>
            <w:shd w:val="clear" w:color="auto" w:fill="auto"/>
            <w:noWrap/>
            <w:vAlign w:val="center"/>
            <w:hideMark/>
          </w:tcPr>
          <w:p w14:paraId="519FF9AE" w14:textId="77777777" w:rsidR="00251DE9" w:rsidRDefault="00251DE9">
            <w:pPr>
              <w:jc w:val="center"/>
              <w:rPr>
                <w:color w:val="000000"/>
                <w:sz w:val="20"/>
                <w:szCs w:val="20"/>
              </w:rPr>
            </w:pPr>
            <w:r>
              <w:rPr>
                <w:color w:val="000000"/>
                <w:sz w:val="20"/>
                <w:szCs w:val="20"/>
              </w:rPr>
              <w:t>(0.009)</w:t>
            </w:r>
          </w:p>
        </w:tc>
        <w:tc>
          <w:tcPr>
            <w:tcW w:w="1105" w:type="dxa"/>
            <w:tcBorders>
              <w:top w:val="nil"/>
              <w:left w:val="nil"/>
              <w:bottom w:val="nil"/>
              <w:right w:val="nil"/>
            </w:tcBorders>
            <w:shd w:val="clear" w:color="auto" w:fill="auto"/>
            <w:noWrap/>
            <w:vAlign w:val="center"/>
            <w:hideMark/>
          </w:tcPr>
          <w:p w14:paraId="013A5CCF" w14:textId="77777777" w:rsidR="00251DE9" w:rsidRDefault="00251DE9">
            <w:pPr>
              <w:jc w:val="center"/>
              <w:rPr>
                <w:color w:val="000000"/>
                <w:sz w:val="20"/>
                <w:szCs w:val="20"/>
              </w:rPr>
            </w:pPr>
            <w:r>
              <w:rPr>
                <w:color w:val="000000"/>
                <w:sz w:val="20"/>
                <w:szCs w:val="20"/>
              </w:rPr>
              <w:t>(0.011)</w:t>
            </w:r>
          </w:p>
        </w:tc>
        <w:tc>
          <w:tcPr>
            <w:tcW w:w="816" w:type="dxa"/>
            <w:tcBorders>
              <w:top w:val="nil"/>
              <w:left w:val="nil"/>
              <w:bottom w:val="nil"/>
              <w:right w:val="nil"/>
            </w:tcBorders>
            <w:shd w:val="clear" w:color="auto" w:fill="auto"/>
            <w:noWrap/>
            <w:vAlign w:val="center"/>
            <w:hideMark/>
          </w:tcPr>
          <w:p w14:paraId="37072773" w14:textId="77777777" w:rsidR="00251DE9" w:rsidRDefault="00251DE9">
            <w:pPr>
              <w:jc w:val="center"/>
              <w:rPr>
                <w:color w:val="000000"/>
                <w:sz w:val="20"/>
                <w:szCs w:val="20"/>
              </w:rPr>
            </w:pPr>
            <w:r>
              <w:rPr>
                <w:color w:val="000000"/>
                <w:sz w:val="20"/>
                <w:szCs w:val="20"/>
              </w:rPr>
              <w:t>(0.104)</w:t>
            </w:r>
          </w:p>
        </w:tc>
        <w:tc>
          <w:tcPr>
            <w:tcW w:w="1105" w:type="dxa"/>
            <w:tcBorders>
              <w:top w:val="nil"/>
              <w:left w:val="nil"/>
              <w:bottom w:val="nil"/>
              <w:right w:val="nil"/>
            </w:tcBorders>
            <w:shd w:val="clear" w:color="auto" w:fill="auto"/>
            <w:noWrap/>
            <w:vAlign w:val="center"/>
            <w:hideMark/>
          </w:tcPr>
          <w:p w14:paraId="28812DBD" w14:textId="77777777" w:rsidR="00251DE9" w:rsidRDefault="00251DE9">
            <w:pPr>
              <w:jc w:val="center"/>
              <w:rPr>
                <w:color w:val="000000"/>
                <w:sz w:val="20"/>
                <w:szCs w:val="20"/>
              </w:rPr>
            </w:pPr>
            <w:r>
              <w:rPr>
                <w:color w:val="000000"/>
                <w:sz w:val="20"/>
                <w:szCs w:val="20"/>
              </w:rPr>
              <w:t>(0.197)</w:t>
            </w:r>
          </w:p>
        </w:tc>
        <w:tc>
          <w:tcPr>
            <w:tcW w:w="1105" w:type="dxa"/>
            <w:tcBorders>
              <w:top w:val="nil"/>
              <w:left w:val="nil"/>
              <w:bottom w:val="nil"/>
              <w:right w:val="nil"/>
            </w:tcBorders>
            <w:shd w:val="clear" w:color="auto" w:fill="auto"/>
            <w:noWrap/>
            <w:vAlign w:val="center"/>
            <w:hideMark/>
          </w:tcPr>
          <w:p w14:paraId="7EC46B1F" w14:textId="77777777" w:rsidR="00251DE9" w:rsidRDefault="00251DE9">
            <w:pPr>
              <w:jc w:val="center"/>
              <w:rPr>
                <w:color w:val="000000"/>
                <w:sz w:val="20"/>
                <w:szCs w:val="20"/>
              </w:rPr>
            </w:pPr>
            <w:r>
              <w:rPr>
                <w:color w:val="000000"/>
                <w:sz w:val="20"/>
                <w:szCs w:val="20"/>
              </w:rPr>
              <w:t>(0.178)</w:t>
            </w:r>
          </w:p>
        </w:tc>
        <w:tc>
          <w:tcPr>
            <w:tcW w:w="1105" w:type="dxa"/>
            <w:tcBorders>
              <w:top w:val="nil"/>
              <w:left w:val="nil"/>
              <w:bottom w:val="nil"/>
              <w:right w:val="nil"/>
            </w:tcBorders>
            <w:shd w:val="clear" w:color="auto" w:fill="auto"/>
            <w:noWrap/>
            <w:vAlign w:val="center"/>
            <w:hideMark/>
          </w:tcPr>
          <w:p w14:paraId="504E7EB2" w14:textId="77777777" w:rsidR="00251DE9" w:rsidRDefault="00251DE9">
            <w:pPr>
              <w:jc w:val="center"/>
              <w:rPr>
                <w:color w:val="000000"/>
                <w:sz w:val="20"/>
                <w:szCs w:val="20"/>
              </w:rPr>
            </w:pPr>
            <w:r>
              <w:rPr>
                <w:color w:val="000000"/>
                <w:sz w:val="20"/>
                <w:szCs w:val="20"/>
              </w:rPr>
              <w:t>(0.165)</w:t>
            </w:r>
          </w:p>
        </w:tc>
      </w:tr>
      <w:tr w:rsidR="00251DE9" w14:paraId="1B9E059A" w14:textId="77777777" w:rsidTr="00C15130">
        <w:trPr>
          <w:trHeight w:val="297"/>
        </w:trPr>
        <w:tc>
          <w:tcPr>
            <w:tcW w:w="2116" w:type="dxa"/>
            <w:tcBorders>
              <w:top w:val="nil"/>
              <w:left w:val="nil"/>
              <w:bottom w:val="nil"/>
              <w:right w:val="nil"/>
            </w:tcBorders>
            <w:shd w:val="clear" w:color="auto" w:fill="auto"/>
            <w:noWrap/>
            <w:vAlign w:val="center"/>
            <w:hideMark/>
          </w:tcPr>
          <w:p w14:paraId="57E74F77" w14:textId="77777777" w:rsidR="00251DE9" w:rsidRDefault="00251DE9">
            <w:pPr>
              <w:rPr>
                <w:color w:val="000000"/>
                <w:sz w:val="20"/>
                <w:szCs w:val="20"/>
              </w:rPr>
            </w:pPr>
            <w:r>
              <w:rPr>
                <w:color w:val="000000"/>
                <w:sz w:val="20"/>
                <w:szCs w:val="20"/>
              </w:rPr>
              <w:t>Ban*Neuroticism</w:t>
            </w:r>
          </w:p>
        </w:tc>
        <w:tc>
          <w:tcPr>
            <w:tcW w:w="816" w:type="dxa"/>
            <w:tcBorders>
              <w:top w:val="nil"/>
              <w:left w:val="nil"/>
              <w:bottom w:val="nil"/>
              <w:right w:val="nil"/>
            </w:tcBorders>
            <w:shd w:val="clear" w:color="auto" w:fill="auto"/>
            <w:noWrap/>
            <w:vAlign w:val="center"/>
            <w:hideMark/>
          </w:tcPr>
          <w:p w14:paraId="5FE07E3E" w14:textId="77777777" w:rsidR="00251DE9" w:rsidRDefault="00251DE9">
            <w:pPr>
              <w:jc w:val="center"/>
              <w:rPr>
                <w:color w:val="000000"/>
                <w:sz w:val="20"/>
                <w:szCs w:val="20"/>
              </w:rPr>
            </w:pPr>
            <w:r>
              <w:rPr>
                <w:color w:val="000000"/>
                <w:sz w:val="20"/>
                <w:szCs w:val="20"/>
              </w:rPr>
              <w:t>0.001</w:t>
            </w:r>
          </w:p>
        </w:tc>
        <w:tc>
          <w:tcPr>
            <w:tcW w:w="1105" w:type="dxa"/>
            <w:tcBorders>
              <w:top w:val="nil"/>
              <w:left w:val="nil"/>
              <w:bottom w:val="nil"/>
              <w:right w:val="nil"/>
            </w:tcBorders>
            <w:shd w:val="clear" w:color="auto" w:fill="auto"/>
            <w:noWrap/>
            <w:vAlign w:val="center"/>
            <w:hideMark/>
          </w:tcPr>
          <w:p w14:paraId="4257ED96" w14:textId="77777777" w:rsidR="00251DE9" w:rsidRDefault="00251DE9">
            <w:pPr>
              <w:jc w:val="center"/>
              <w:rPr>
                <w:color w:val="000000"/>
                <w:sz w:val="20"/>
                <w:szCs w:val="20"/>
              </w:rPr>
            </w:pPr>
            <w:r>
              <w:rPr>
                <w:color w:val="000000"/>
                <w:sz w:val="20"/>
                <w:szCs w:val="20"/>
              </w:rPr>
              <w:t>0.003</w:t>
            </w:r>
          </w:p>
        </w:tc>
        <w:tc>
          <w:tcPr>
            <w:tcW w:w="1105" w:type="dxa"/>
            <w:tcBorders>
              <w:top w:val="nil"/>
              <w:left w:val="nil"/>
              <w:bottom w:val="nil"/>
              <w:right w:val="nil"/>
            </w:tcBorders>
            <w:shd w:val="clear" w:color="auto" w:fill="auto"/>
            <w:noWrap/>
            <w:vAlign w:val="center"/>
            <w:hideMark/>
          </w:tcPr>
          <w:p w14:paraId="42425DE5" w14:textId="77777777" w:rsidR="00251DE9" w:rsidRDefault="00251DE9">
            <w:pPr>
              <w:jc w:val="center"/>
              <w:rPr>
                <w:color w:val="000000"/>
                <w:sz w:val="20"/>
                <w:szCs w:val="20"/>
              </w:rPr>
            </w:pPr>
            <w:r>
              <w:rPr>
                <w:color w:val="000000"/>
                <w:sz w:val="20"/>
                <w:szCs w:val="20"/>
              </w:rPr>
              <w:t>-0.001</w:t>
            </w:r>
          </w:p>
        </w:tc>
        <w:tc>
          <w:tcPr>
            <w:tcW w:w="1105" w:type="dxa"/>
            <w:tcBorders>
              <w:top w:val="nil"/>
              <w:left w:val="nil"/>
              <w:bottom w:val="nil"/>
              <w:right w:val="nil"/>
            </w:tcBorders>
            <w:shd w:val="clear" w:color="auto" w:fill="auto"/>
            <w:noWrap/>
            <w:vAlign w:val="center"/>
            <w:hideMark/>
          </w:tcPr>
          <w:p w14:paraId="07190232" w14:textId="77777777" w:rsidR="00251DE9" w:rsidRDefault="00251DE9">
            <w:pPr>
              <w:jc w:val="center"/>
              <w:rPr>
                <w:color w:val="000000"/>
                <w:sz w:val="20"/>
                <w:szCs w:val="20"/>
              </w:rPr>
            </w:pPr>
            <w:r>
              <w:rPr>
                <w:color w:val="000000"/>
                <w:sz w:val="20"/>
                <w:szCs w:val="20"/>
              </w:rPr>
              <w:t>0.005</w:t>
            </w:r>
          </w:p>
        </w:tc>
        <w:tc>
          <w:tcPr>
            <w:tcW w:w="816" w:type="dxa"/>
            <w:tcBorders>
              <w:top w:val="nil"/>
              <w:left w:val="nil"/>
              <w:bottom w:val="nil"/>
              <w:right w:val="nil"/>
            </w:tcBorders>
            <w:shd w:val="clear" w:color="auto" w:fill="auto"/>
            <w:noWrap/>
            <w:vAlign w:val="center"/>
            <w:hideMark/>
          </w:tcPr>
          <w:p w14:paraId="6575F022" w14:textId="77777777" w:rsidR="00251DE9" w:rsidRDefault="00251DE9">
            <w:pPr>
              <w:jc w:val="center"/>
              <w:rPr>
                <w:color w:val="000000"/>
                <w:sz w:val="20"/>
                <w:szCs w:val="20"/>
              </w:rPr>
            </w:pPr>
            <w:r>
              <w:rPr>
                <w:color w:val="000000"/>
                <w:sz w:val="20"/>
                <w:szCs w:val="20"/>
              </w:rPr>
              <w:t>-0.211</w:t>
            </w:r>
          </w:p>
        </w:tc>
        <w:tc>
          <w:tcPr>
            <w:tcW w:w="1105" w:type="dxa"/>
            <w:tcBorders>
              <w:top w:val="nil"/>
              <w:left w:val="nil"/>
              <w:bottom w:val="nil"/>
              <w:right w:val="nil"/>
            </w:tcBorders>
            <w:shd w:val="clear" w:color="auto" w:fill="auto"/>
            <w:noWrap/>
            <w:vAlign w:val="center"/>
            <w:hideMark/>
          </w:tcPr>
          <w:p w14:paraId="788A3C7D" w14:textId="77777777" w:rsidR="00251DE9" w:rsidRDefault="00251DE9">
            <w:pPr>
              <w:jc w:val="center"/>
              <w:rPr>
                <w:color w:val="000000"/>
                <w:sz w:val="20"/>
                <w:szCs w:val="20"/>
              </w:rPr>
            </w:pPr>
            <w:r>
              <w:rPr>
                <w:color w:val="000000"/>
                <w:sz w:val="20"/>
                <w:szCs w:val="20"/>
              </w:rPr>
              <w:t>-0.187</w:t>
            </w:r>
          </w:p>
        </w:tc>
        <w:tc>
          <w:tcPr>
            <w:tcW w:w="1105" w:type="dxa"/>
            <w:tcBorders>
              <w:top w:val="nil"/>
              <w:left w:val="nil"/>
              <w:bottom w:val="nil"/>
              <w:right w:val="nil"/>
            </w:tcBorders>
            <w:shd w:val="clear" w:color="auto" w:fill="auto"/>
            <w:noWrap/>
            <w:vAlign w:val="center"/>
            <w:hideMark/>
          </w:tcPr>
          <w:p w14:paraId="6A3F7614" w14:textId="77777777" w:rsidR="00251DE9" w:rsidRDefault="00251DE9">
            <w:pPr>
              <w:jc w:val="center"/>
              <w:rPr>
                <w:color w:val="000000"/>
                <w:sz w:val="20"/>
                <w:szCs w:val="20"/>
              </w:rPr>
            </w:pPr>
            <w:r>
              <w:rPr>
                <w:color w:val="000000"/>
                <w:sz w:val="20"/>
                <w:szCs w:val="20"/>
              </w:rPr>
              <w:t>-0.126</w:t>
            </w:r>
          </w:p>
        </w:tc>
        <w:tc>
          <w:tcPr>
            <w:tcW w:w="1105" w:type="dxa"/>
            <w:tcBorders>
              <w:top w:val="nil"/>
              <w:left w:val="nil"/>
              <w:bottom w:val="nil"/>
              <w:right w:val="nil"/>
            </w:tcBorders>
            <w:shd w:val="clear" w:color="auto" w:fill="auto"/>
            <w:noWrap/>
            <w:vAlign w:val="center"/>
            <w:hideMark/>
          </w:tcPr>
          <w:p w14:paraId="1FA1C20C" w14:textId="77777777" w:rsidR="00251DE9" w:rsidRDefault="00251DE9">
            <w:pPr>
              <w:jc w:val="center"/>
              <w:rPr>
                <w:color w:val="000000"/>
                <w:sz w:val="20"/>
                <w:szCs w:val="20"/>
              </w:rPr>
            </w:pPr>
            <w:r>
              <w:rPr>
                <w:color w:val="000000"/>
                <w:sz w:val="20"/>
                <w:szCs w:val="20"/>
              </w:rPr>
              <w:t>-0.396</w:t>
            </w:r>
          </w:p>
        </w:tc>
      </w:tr>
      <w:tr w:rsidR="00251DE9" w14:paraId="77F2FA06" w14:textId="77777777" w:rsidTr="00C15130">
        <w:trPr>
          <w:trHeight w:val="100"/>
        </w:trPr>
        <w:tc>
          <w:tcPr>
            <w:tcW w:w="2116" w:type="dxa"/>
            <w:tcBorders>
              <w:top w:val="nil"/>
              <w:left w:val="nil"/>
              <w:bottom w:val="nil"/>
              <w:right w:val="nil"/>
            </w:tcBorders>
            <w:shd w:val="clear" w:color="auto" w:fill="auto"/>
            <w:noWrap/>
            <w:vAlign w:val="bottom"/>
            <w:hideMark/>
          </w:tcPr>
          <w:p w14:paraId="1849A41D"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5C29A4BB" w14:textId="77777777" w:rsidR="00251DE9" w:rsidRDefault="00251DE9">
            <w:pPr>
              <w:jc w:val="center"/>
              <w:rPr>
                <w:color w:val="000000"/>
                <w:sz w:val="20"/>
                <w:szCs w:val="20"/>
              </w:rPr>
            </w:pPr>
            <w:r>
              <w:rPr>
                <w:color w:val="000000"/>
                <w:sz w:val="20"/>
                <w:szCs w:val="20"/>
              </w:rPr>
              <w:t>(0.005)</w:t>
            </w:r>
          </w:p>
        </w:tc>
        <w:tc>
          <w:tcPr>
            <w:tcW w:w="1105" w:type="dxa"/>
            <w:tcBorders>
              <w:top w:val="nil"/>
              <w:left w:val="nil"/>
              <w:bottom w:val="nil"/>
              <w:right w:val="nil"/>
            </w:tcBorders>
            <w:shd w:val="clear" w:color="auto" w:fill="auto"/>
            <w:noWrap/>
            <w:vAlign w:val="center"/>
            <w:hideMark/>
          </w:tcPr>
          <w:p w14:paraId="44A17C9D" w14:textId="77777777" w:rsidR="00251DE9" w:rsidRDefault="00251DE9">
            <w:pPr>
              <w:jc w:val="center"/>
              <w:rPr>
                <w:color w:val="000000"/>
                <w:sz w:val="20"/>
                <w:szCs w:val="20"/>
              </w:rPr>
            </w:pPr>
            <w:r>
              <w:rPr>
                <w:color w:val="000000"/>
                <w:sz w:val="20"/>
                <w:szCs w:val="20"/>
              </w:rPr>
              <w:t>(0.01)</w:t>
            </w:r>
          </w:p>
        </w:tc>
        <w:tc>
          <w:tcPr>
            <w:tcW w:w="1105" w:type="dxa"/>
            <w:tcBorders>
              <w:top w:val="nil"/>
              <w:left w:val="nil"/>
              <w:bottom w:val="nil"/>
              <w:right w:val="nil"/>
            </w:tcBorders>
            <w:shd w:val="clear" w:color="auto" w:fill="auto"/>
            <w:noWrap/>
            <w:vAlign w:val="center"/>
            <w:hideMark/>
          </w:tcPr>
          <w:p w14:paraId="02367558" w14:textId="77777777" w:rsidR="00251DE9" w:rsidRDefault="00251DE9">
            <w:pPr>
              <w:jc w:val="center"/>
              <w:rPr>
                <w:color w:val="000000"/>
                <w:sz w:val="20"/>
                <w:szCs w:val="20"/>
              </w:rPr>
            </w:pPr>
            <w:r>
              <w:rPr>
                <w:color w:val="000000"/>
                <w:sz w:val="20"/>
                <w:szCs w:val="20"/>
              </w:rPr>
              <w:t>(0.008)</w:t>
            </w:r>
          </w:p>
        </w:tc>
        <w:tc>
          <w:tcPr>
            <w:tcW w:w="1105" w:type="dxa"/>
            <w:tcBorders>
              <w:top w:val="nil"/>
              <w:left w:val="nil"/>
              <w:bottom w:val="nil"/>
              <w:right w:val="nil"/>
            </w:tcBorders>
            <w:shd w:val="clear" w:color="auto" w:fill="auto"/>
            <w:noWrap/>
            <w:vAlign w:val="center"/>
            <w:hideMark/>
          </w:tcPr>
          <w:p w14:paraId="7E40706E" w14:textId="77777777" w:rsidR="00251DE9" w:rsidRDefault="00251DE9">
            <w:pPr>
              <w:jc w:val="center"/>
              <w:rPr>
                <w:color w:val="000000"/>
                <w:sz w:val="20"/>
                <w:szCs w:val="20"/>
              </w:rPr>
            </w:pPr>
            <w:r>
              <w:rPr>
                <w:color w:val="000000"/>
                <w:sz w:val="20"/>
                <w:szCs w:val="20"/>
              </w:rPr>
              <w:t>(0.011)</w:t>
            </w:r>
          </w:p>
        </w:tc>
        <w:tc>
          <w:tcPr>
            <w:tcW w:w="816" w:type="dxa"/>
            <w:tcBorders>
              <w:top w:val="nil"/>
              <w:left w:val="nil"/>
              <w:bottom w:val="nil"/>
              <w:right w:val="nil"/>
            </w:tcBorders>
            <w:shd w:val="clear" w:color="auto" w:fill="auto"/>
            <w:noWrap/>
            <w:vAlign w:val="center"/>
            <w:hideMark/>
          </w:tcPr>
          <w:p w14:paraId="09262666" w14:textId="77777777" w:rsidR="00251DE9" w:rsidRDefault="00251DE9">
            <w:pPr>
              <w:jc w:val="center"/>
              <w:rPr>
                <w:color w:val="000000"/>
                <w:sz w:val="20"/>
                <w:szCs w:val="20"/>
              </w:rPr>
            </w:pPr>
            <w:r>
              <w:rPr>
                <w:color w:val="000000"/>
                <w:sz w:val="20"/>
                <w:szCs w:val="20"/>
              </w:rPr>
              <w:t>(0.101)</w:t>
            </w:r>
          </w:p>
        </w:tc>
        <w:tc>
          <w:tcPr>
            <w:tcW w:w="1105" w:type="dxa"/>
            <w:tcBorders>
              <w:top w:val="nil"/>
              <w:left w:val="nil"/>
              <w:bottom w:val="nil"/>
              <w:right w:val="nil"/>
            </w:tcBorders>
            <w:shd w:val="clear" w:color="auto" w:fill="auto"/>
            <w:noWrap/>
            <w:vAlign w:val="center"/>
            <w:hideMark/>
          </w:tcPr>
          <w:p w14:paraId="179BD9F8" w14:textId="77777777" w:rsidR="00251DE9" w:rsidRDefault="00251DE9">
            <w:pPr>
              <w:jc w:val="center"/>
              <w:rPr>
                <w:color w:val="000000"/>
                <w:sz w:val="20"/>
                <w:szCs w:val="20"/>
              </w:rPr>
            </w:pPr>
            <w:r>
              <w:rPr>
                <w:color w:val="000000"/>
                <w:sz w:val="20"/>
                <w:szCs w:val="20"/>
              </w:rPr>
              <w:t>(0.2)</w:t>
            </w:r>
          </w:p>
        </w:tc>
        <w:tc>
          <w:tcPr>
            <w:tcW w:w="1105" w:type="dxa"/>
            <w:tcBorders>
              <w:top w:val="nil"/>
              <w:left w:val="nil"/>
              <w:bottom w:val="nil"/>
              <w:right w:val="nil"/>
            </w:tcBorders>
            <w:shd w:val="clear" w:color="auto" w:fill="auto"/>
            <w:noWrap/>
            <w:vAlign w:val="center"/>
            <w:hideMark/>
          </w:tcPr>
          <w:p w14:paraId="5105BA70" w14:textId="77777777" w:rsidR="00251DE9" w:rsidRDefault="00251DE9">
            <w:pPr>
              <w:jc w:val="center"/>
              <w:rPr>
                <w:color w:val="000000"/>
                <w:sz w:val="20"/>
                <w:szCs w:val="20"/>
              </w:rPr>
            </w:pPr>
            <w:r>
              <w:rPr>
                <w:color w:val="000000"/>
                <w:sz w:val="20"/>
                <w:szCs w:val="20"/>
              </w:rPr>
              <w:t>(0.159)</w:t>
            </w:r>
          </w:p>
        </w:tc>
        <w:tc>
          <w:tcPr>
            <w:tcW w:w="1105" w:type="dxa"/>
            <w:tcBorders>
              <w:top w:val="nil"/>
              <w:left w:val="nil"/>
              <w:bottom w:val="nil"/>
              <w:right w:val="nil"/>
            </w:tcBorders>
            <w:shd w:val="clear" w:color="auto" w:fill="auto"/>
            <w:noWrap/>
            <w:vAlign w:val="center"/>
            <w:hideMark/>
          </w:tcPr>
          <w:p w14:paraId="63CE2F21" w14:textId="77777777" w:rsidR="00251DE9" w:rsidRDefault="00251DE9">
            <w:pPr>
              <w:jc w:val="center"/>
              <w:rPr>
                <w:color w:val="000000"/>
                <w:sz w:val="20"/>
                <w:szCs w:val="20"/>
              </w:rPr>
            </w:pPr>
            <w:r>
              <w:rPr>
                <w:color w:val="000000"/>
                <w:sz w:val="20"/>
                <w:szCs w:val="20"/>
              </w:rPr>
              <w:t>(0.17)</w:t>
            </w:r>
          </w:p>
        </w:tc>
      </w:tr>
      <w:tr w:rsidR="00251DE9" w14:paraId="20D006F8" w14:textId="77777777" w:rsidTr="00C15130">
        <w:trPr>
          <w:trHeight w:val="297"/>
        </w:trPr>
        <w:tc>
          <w:tcPr>
            <w:tcW w:w="2116" w:type="dxa"/>
            <w:tcBorders>
              <w:top w:val="nil"/>
              <w:left w:val="nil"/>
              <w:bottom w:val="nil"/>
              <w:right w:val="nil"/>
            </w:tcBorders>
            <w:shd w:val="clear" w:color="auto" w:fill="auto"/>
            <w:noWrap/>
            <w:vAlign w:val="center"/>
            <w:hideMark/>
          </w:tcPr>
          <w:p w14:paraId="3F6EADBE" w14:textId="77777777" w:rsidR="00251DE9" w:rsidRDefault="00251DE9">
            <w:pPr>
              <w:rPr>
                <w:color w:val="000000"/>
                <w:sz w:val="20"/>
                <w:szCs w:val="20"/>
              </w:rPr>
            </w:pPr>
            <w:r>
              <w:rPr>
                <w:color w:val="000000"/>
                <w:sz w:val="20"/>
                <w:szCs w:val="20"/>
              </w:rPr>
              <w:t>Ban*Extraversion</w:t>
            </w:r>
          </w:p>
        </w:tc>
        <w:tc>
          <w:tcPr>
            <w:tcW w:w="816" w:type="dxa"/>
            <w:tcBorders>
              <w:top w:val="nil"/>
              <w:left w:val="nil"/>
              <w:bottom w:val="nil"/>
              <w:right w:val="nil"/>
            </w:tcBorders>
            <w:shd w:val="clear" w:color="auto" w:fill="auto"/>
            <w:noWrap/>
            <w:vAlign w:val="center"/>
            <w:hideMark/>
          </w:tcPr>
          <w:p w14:paraId="140C2BB7" w14:textId="77777777" w:rsidR="00251DE9" w:rsidRDefault="00251DE9">
            <w:pPr>
              <w:jc w:val="center"/>
              <w:rPr>
                <w:color w:val="000000"/>
                <w:sz w:val="20"/>
                <w:szCs w:val="20"/>
              </w:rPr>
            </w:pPr>
            <w:r>
              <w:rPr>
                <w:color w:val="000000"/>
                <w:sz w:val="20"/>
                <w:szCs w:val="20"/>
              </w:rPr>
              <w:t>-0.003</w:t>
            </w:r>
          </w:p>
        </w:tc>
        <w:tc>
          <w:tcPr>
            <w:tcW w:w="1105" w:type="dxa"/>
            <w:tcBorders>
              <w:top w:val="nil"/>
              <w:left w:val="nil"/>
              <w:bottom w:val="nil"/>
              <w:right w:val="nil"/>
            </w:tcBorders>
            <w:shd w:val="clear" w:color="auto" w:fill="auto"/>
            <w:noWrap/>
            <w:vAlign w:val="center"/>
            <w:hideMark/>
          </w:tcPr>
          <w:p w14:paraId="31F5CF38" w14:textId="77777777" w:rsidR="00251DE9" w:rsidRDefault="00251DE9">
            <w:pPr>
              <w:jc w:val="center"/>
              <w:rPr>
                <w:color w:val="000000"/>
                <w:sz w:val="20"/>
                <w:szCs w:val="20"/>
              </w:rPr>
            </w:pPr>
            <w:r>
              <w:rPr>
                <w:color w:val="000000"/>
                <w:sz w:val="20"/>
                <w:szCs w:val="20"/>
              </w:rPr>
              <w:t>0.01</w:t>
            </w:r>
          </w:p>
        </w:tc>
        <w:tc>
          <w:tcPr>
            <w:tcW w:w="1105" w:type="dxa"/>
            <w:tcBorders>
              <w:top w:val="nil"/>
              <w:left w:val="nil"/>
              <w:bottom w:val="nil"/>
              <w:right w:val="nil"/>
            </w:tcBorders>
            <w:shd w:val="clear" w:color="auto" w:fill="auto"/>
            <w:noWrap/>
            <w:vAlign w:val="center"/>
            <w:hideMark/>
          </w:tcPr>
          <w:p w14:paraId="3E1B529D" w14:textId="77777777" w:rsidR="00251DE9" w:rsidRDefault="00251DE9">
            <w:pPr>
              <w:jc w:val="center"/>
              <w:rPr>
                <w:color w:val="000000"/>
                <w:sz w:val="20"/>
                <w:szCs w:val="20"/>
              </w:rPr>
            </w:pPr>
            <w:r>
              <w:rPr>
                <w:color w:val="000000"/>
                <w:sz w:val="20"/>
                <w:szCs w:val="20"/>
              </w:rPr>
              <w:t>-0.02</w:t>
            </w:r>
          </w:p>
        </w:tc>
        <w:tc>
          <w:tcPr>
            <w:tcW w:w="1105" w:type="dxa"/>
            <w:tcBorders>
              <w:top w:val="nil"/>
              <w:left w:val="nil"/>
              <w:bottom w:val="nil"/>
              <w:right w:val="nil"/>
            </w:tcBorders>
            <w:shd w:val="clear" w:color="auto" w:fill="auto"/>
            <w:noWrap/>
            <w:vAlign w:val="center"/>
            <w:hideMark/>
          </w:tcPr>
          <w:p w14:paraId="393D1E83" w14:textId="77777777" w:rsidR="00251DE9" w:rsidRDefault="00251DE9">
            <w:pPr>
              <w:jc w:val="center"/>
              <w:rPr>
                <w:color w:val="000000"/>
                <w:sz w:val="20"/>
                <w:szCs w:val="20"/>
              </w:rPr>
            </w:pPr>
            <w:r>
              <w:rPr>
                <w:color w:val="000000"/>
                <w:sz w:val="20"/>
                <w:szCs w:val="20"/>
              </w:rPr>
              <w:t>0.007</w:t>
            </w:r>
          </w:p>
        </w:tc>
        <w:tc>
          <w:tcPr>
            <w:tcW w:w="816" w:type="dxa"/>
            <w:tcBorders>
              <w:top w:val="nil"/>
              <w:left w:val="nil"/>
              <w:bottom w:val="nil"/>
              <w:right w:val="nil"/>
            </w:tcBorders>
            <w:shd w:val="clear" w:color="auto" w:fill="auto"/>
            <w:noWrap/>
            <w:vAlign w:val="center"/>
            <w:hideMark/>
          </w:tcPr>
          <w:p w14:paraId="78C85A62" w14:textId="77777777" w:rsidR="00251DE9" w:rsidRDefault="00251DE9">
            <w:pPr>
              <w:jc w:val="center"/>
              <w:rPr>
                <w:color w:val="000000"/>
                <w:sz w:val="20"/>
                <w:szCs w:val="20"/>
              </w:rPr>
            </w:pPr>
            <w:r>
              <w:rPr>
                <w:color w:val="000000"/>
                <w:sz w:val="20"/>
                <w:szCs w:val="20"/>
              </w:rPr>
              <w:t>-0.152</w:t>
            </w:r>
          </w:p>
        </w:tc>
        <w:tc>
          <w:tcPr>
            <w:tcW w:w="1105" w:type="dxa"/>
            <w:tcBorders>
              <w:top w:val="nil"/>
              <w:left w:val="nil"/>
              <w:bottom w:val="nil"/>
              <w:right w:val="nil"/>
            </w:tcBorders>
            <w:shd w:val="clear" w:color="auto" w:fill="auto"/>
            <w:noWrap/>
            <w:vAlign w:val="center"/>
            <w:hideMark/>
          </w:tcPr>
          <w:p w14:paraId="394056CA" w14:textId="77777777" w:rsidR="00251DE9" w:rsidRDefault="00251DE9">
            <w:pPr>
              <w:jc w:val="center"/>
              <w:rPr>
                <w:color w:val="000000"/>
                <w:sz w:val="20"/>
                <w:szCs w:val="20"/>
              </w:rPr>
            </w:pPr>
            <w:r>
              <w:rPr>
                <w:color w:val="000000"/>
                <w:sz w:val="20"/>
                <w:szCs w:val="20"/>
              </w:rPr>
              <w:t>-0.137</w:t>
            </w:r>
          </w:p>
        </w:tc>
        <w:tc>
          <w:tcPr>
            <w:tcW w:w="1105" w:type="dxa"/>
            <w:tcBorders>
              <w:top w:val="nil"/>
              <w:left w:val="nil"/>
              <w:bottom w:val="nil"/>
              <w:right w:val="nil"/>
            </w:tcBorders>
            <w:shd w:val="clear" w:color="auto" w:fill="auto"/>
            <w:noWrap/>
            <w:vAlign w:val="center"/>
            <w:hideMark/>
          </w:tcPr>
          <w:p w14:paraId="744E6084" w14:textId="77777777" w:rsidR="00251DE9" w:rsidRDefault="00251DE9">
            <w:pPr>
              <w:jc w:val="center"/>
              <w:rPr>
                <w:color w:val="000000"/>
                <w:sz w:val="20"/>
                <w:szCs w:val="20"/>
              </w:rPr>
            </w:pPr>
            <w:r>
              <w:rPr>
                <w:color w:val="000000"/>
                <w:sz w:val="20"/>
                <w:szCs w:val="20"/>
              </w:rPr>
              <w:t>-0.116</w:t>
            </w:r>
          </w:p>
        </w:tc>
        <w:tc>
          <w:tcPr>
            <w:tcW w:w="1105" w:type="dxa"/>
            <w:tcBorders>
              <w:top w:val="nil"/>
              <w:left w:val="nil"/>
              <w:bottom w:val="nil"/>
              <w:right w:val="nil"/>
            </w:tcBorders>
            <w:shd w:val="clear" w:color="auto" w:fill="auto"/>
            <w:noWrap/>
            <w:vAlign w:val="center"/>
            <w:hideMark/>
          </w:tcPr>
          <w:p w14:paraId="7DD99FAF" w14:textId="77777777" w:rsidR="00251DE9" w:rsidRDefault="00251DE9">
            <w:pPr>
              <w:jc w:val="center"/>
              <w:rPr>
                <w:color w:val="000000"/>
                <w:sz w:val="20"/>
                <w:szCs w:val="20"/>
              </w:rPr>
            </w:pPr>
            <w:r>
              <w:rPr>
                <w:color w:val="000000"/>
                <w:sz w:val="20"/>
                <w:szCs w:val="20"/>
              </w:rPr>
              <w:t>-0.339</w:t>
            </w:r>
          </w:p>
        </w:tc>
      </w:tr>
      <w:tr w:rsidR="00251DE9" w14:paraId="7B745CA8" w14:textId="77777777" w:rsidTr="00C15130">
        <w:trPr>
          <w:trHeight w:val="100"/>
        </w:trPr>
        <w:tc>
          <w:tcPr>
            <w:tcW w:w="2116" w:type="dxa"/>
            <w:tcBorders>
              <w:top w:val="nil"/>
              <w:left w:val="nil"/>
              <w:bottom w:val="nil"/>
              <w:right w:val="nil"/>
            </w:tcBorders>
            <w:shd w:val="clear" w:color="auto" w:fill="auto"/>
            <w:noWrap/>
            <w:vAlign w:val="bottom"/>
            <w:hideMark/>
          </w:tcPr>
          <w:p w14:paraId="67A81E73"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37A5111F" w14:textId="77777777" w:rsidR="00251DE9" w:rsidRDefault="00251DE9">
            <w:pPr>
              <w:jc w:val="center"/>
              <w:rPr>
                <w:color w:val="000000"/>
                <w:sz w:val="20"/>
                <w:szCs w:val="20"/>
              </w:rPr>
            </w:pPr>
            <w:r>
              <w:rPr>
                <w:color w:val="000000"/>
                <w:sz w:val="20"/>
                <w:szCs w:val="20"/>
              </w:rPr>
              <w:t>(0.006)</w:t>
            </w:r>
          </w:p>
        </w:tc>
        <w:tc>
          <w:tcPr>
            <w:tcW w:w="1105" w:type="dxa"/>
            <w:tcBorders>
              <w:top w:val="nil"/>
              <w:left w:val="nil"/>
              <w:bottom w:val="nil"/>
              <w:right w:val="nil"/>
            </w:tcBorders>
            <w:shd w:val="clear" w:color="auto" w:fill="auto"/>
            <w:noWrap/>
            <w:vAlign w:val="center"/>
            <w:hideMark/>
          </w:tcPr>
          <w:p w14:paraId="528EA8F4" w14:textId="77777777" w:rsidR="00251DE9" w:rsidRDefault="00251DE9">
            <w:pPr>
              <w:jc w:val="center"/>
              <w:rPr>
                <w:color w:val="000000"/>
                <w:sz w:val="20"/>
                <w:szCs w:val="20"/>
              </w:rPr>
            </w:pPr>
            <w:r>
              <w:rPr>
                <w:color w:val="000000"/>
                <w:sz w:val="20"/>
                <w:szCs w:val="20"/>
              </w:rPr>
              <w:t>(0.011)</w:t>
            </w:r>
          </w:p>
        </w:tc>
        <w:tc>
          <w:tcPr>
            <w:tcW w:w="1105" w:type="dxa"/>
            <w:tcBorders>
              <w:top w:val="nil"/>
              <w:left w:val="nil"/>
              <w:bottom w:val="nil"/>
              <w:right w:val="nil"/>
            </w:tcBorders>
            <w:shd w:val="clear" w:color="auto" w:fill="auto"/>
            <w:noWrap/>
            <w:vAlign w:val="center"/>
            <w:hideMark/>
          </w:tcPr>
          <w:p w14:paraId="45F4788C" w14:textId="77777777" w:rsidR="00251DE9" w:rsidRDefault="00251DE9">
            <w:pPr>
              <w:jc w:val="center"/>
              <w:rPr>
                <w:color w:val="000000"/>
                <w:sz w:val="20"/>
                <w:szCs w:val="20"/>
              </w:rPr>
            </w:pPr>
            <w:r>
              <w:rPr>
                <w:color w:val="000000"/>
                <w:sz w:val="20"/>
                <w:szCs w:val="20"/>
              </w:rPr>
              <w:t>(0.009)</w:t>
            </w:r>
          </w:p>
        </w:tc>
        <w:tc>
          <w:tcPr>
            <w:tcW w:w="1105" w:type="dxa"/>
            <w:tcBorders>
              <w:top w:val="nil"/>
              <w:left w:val="nil"/>
              <w:bottom w:val="nil"/>
              <w:right w:val="nil"/>
            </w:tcBorders>
            <w:shd w:val="clear" w:color="auto" w:fill="auto"/>
            <w:noWrap/>
            <w:vAlign w:val="center"/>
            <w:hideMark/>
          </w:tcPr>
          <w:p w14:paraId="4EC17FE1" w14:textId="77777777" w:rsidR="00251DE9" w:rsidRDefault="00251DE9">
            <w:pPr>
              <w:jc w:val="center"/>
              <w:rPr>
                <w:color w:val="000000"/>
                <w:sz w:val="20"/>
                <w:szCs w:val="20"/>
              </w:rPr>
            </w:pPr>
            <w:r>
              <w:rPr>
                <w:color w:val="000000"/>
                <w:sz w:val="20"/>
                <w:szCs w:val="20"/>
              </w:rPr>
              <w:t>(0.013)</w:t>
            </w:r>
          </w:p>
        </w:tc>
        <w:tc>
          <w:tcPr>
            <w:tcW w:w="816" w:type="dxa"/>
            <w:tcBorders>
              <w:top w:val="nil"/>
              <w:left w:val="nil"/>
              <w:bottom w:val="nil"/>
              <w:right w:val="nil"/>
            </w:tcBorders>
            <w:shd w:val="clear" w:color="auto" w:fill="auto"/>
            <w:noWrap/>
            <w:vAlign w:val="center"/>
            <w:hideMark/>
          </w:tcPr>
          <w:p w14:paraId="7053BF97" w14:textId="77777777" w:rsidR="00251DE9" w:rsidRDefault="00251DE9">
            <w:pPr>
              <w:jc w:val="center"/>
              <w:rPr>
                <w:color w:val="000000"/>
                <w:sz w:val="20"/>
                <w:szCs w:val="20"/>
              </w:rPr>
            </w:pPr>
            <w:r>
              <w:rPr>
                <w:color w:val="000000"/>
                <w:sz w:val="20"/>
                <w:szCs w:val="20"/>
              </w:rPr>
              <w:t>(0.11)</w:t>
            </w:r>
          </w:p>
        </w:tc>
        <w:tc>
          <w:tcPr>
            <w:tcW w:w="1105" w:type="dxa"/>
            <w:tcBorders>
              <w:top w:val="nil"/>
              <w:left w:val="nil"/>
              <w:bottom w:val="nil"/>
              <w:right w:val="nil"/>
            </w:tcBorders>
            <w:shd w:val="clear" w:color="auto" w:fill="auto"/>
            <w:noWrap/>
            <w:vAlign w:val="center"/>
            <w:hideMark/>
          </w:tcPr>
          <w:p w14:paraId="57E9F06D" w14:textId="77777777" w:rsidR="00251DE9" w:rsidRDefault="00251DE9">
            <w:pPr>
              <w:jc w:val="center"/>
              <w:rPr>
                <w:color w:val="000000"/>
                <w:sz w:val="20"/>
                <w:szCs w:val="20"/>
              </w:rPr>
            </w:pPr>
            <w:r>
              <w:rPr>
                <w:color w:val="000000"/>
                <w:sz w:val="20"/>
                <w:szCs w:val="20"/>
              </w:rPr>
              <w:t>(0.232)</w:t>
            </w:r>
          </w:p>
        </w:tc>
        <w:tc>
          <w:tcPr>
            <w:tcW w:w="1105" w:type="dxa"/>
            <w:tcBorders>
              <w:top w:val="nil"/>
              <w:left w:val="nil"/>
              <w:bottom w:val="nil"/>
              <w:right w:val="nil"/>
            </w:tcBorders>
            <w:shd w:val="clear" w:color="auto" w:fill="auto"/>
            <w:noWrap/>
            <w:vAlign w:val="center"/>
            <w:hideMark/>
          </w:tcPr>
          <w:p w14:paraId="44B96714" w14:textId="77777777" w:rsidR="00251DE9" w:rsidRDefault="00251DE9">
            <w:pPr>
              <w:jc w:val="center"/>
              <w:rPr>
                <w:color w:val="000000"/>
                <w:sz w:val="20"/>
                <w:szCs w:val="20"/>
              </w:rPr>
            </w:pPr>
            <w:r>
              <w:rPr>
                <w:color w:val="000000"/>
                <w:sz w:val="20"/>
                <w:szCs w:val="20"/>
              </w:rPr>
              <w:t>(0.169)</w:t>
            </w:r>
          </w:p>
        </w:tc>
        <w:tc>
          <w:tcPr>
            <w:tcW w:w="1105" w:type="dxa"/>
            <w:tcBorders>
              <w:top w:val="nil"/>
              <w:left w:val="nil"/>
              <w:bottom w:val="nil"/>
              <w:right w:val="nil"/>
            </w:tcBorders>
            <w:shd w:val="clear" w:color="auto" w:fill="auto"/>
            <w:noWrap/>
            <w:vAlign w:val="center"/>
            <w:hideMark/>
          </w:tcPr>
          <w:p w14:paraId="17B4502C" w14:textId="77777777" w:rsidR="00251DE9" w:rsidRDefault="00251DE9">
            <w:pPr>
              <w:jc w:val="center"/>
              <w:rPr>
                <w:color w:val="000000"/>
                <w:sz w:val="20"/>
                <w:szCs w:val="20"/>
              </w:rPr>
            </w:pPr>
            <w:r>
              <w:rPr>
                <w:color w:val="000000"/>
                <w:sz w:val="20"/>
                <w:szCs w:val="20"/>
              </w:rPr>
              <w:t>(0.181)</w:t>
            </w:r>
          </w:p>
        </w:tc>
      </w:tr>
      <w:tr w:rsidR="00251DE9" w14:paraId="3E2D2BEE" w14:textId="77777777" w:rsidTr="00C15130">
        <w:trPr>
          <w:trHeight w:val="297"/>
        </w:trPr>
        <w:tc>
          <w:tcPr>
            <w:tcW w:w="2116" w:type="dxa"/>
            <w:tcBorders>
              <w:top w:val="nil"/>
              <w:left w:val="nil"/>
              <w:bottom w:val="nil"/>
              <w:right w:val="nil"/>
            </w:tcBorders>
            <w:shd w:val="clear" w:color="auto" w:fill="auto"/>
            <w:noWrap/>
            <w:vAlign w:val="center"/>
            <w:hideMark/>
          </w:tcPr>
          <w:p w14:paraId="3A138D78" w14:textId="77777777" w:rsidR="00251DE9" w:rsidRDefault="00251DE9">
            <w:pPr>
              <w:rPr>
                <w:color w:val="000000"/>
                <w:sz w:val="20"/>
                <w:szCs w:val="20"/>
              </w:rPr>
            </w:pPr>
            <w:r>
              <w:rPr>
                <w:color w:val="000000"/>
                <w:sz w:val="20"/>
                <w:szCs w:val="20"/>
              </w:rPr>
              <w:t>Ban*Agreeableness</w:t>
            </w:r>
          </w:p>
        </w:tc>
        <w:tc>
          <w:tcPr>
            <w:tcW w:w="816" w:type="dxa"/>
            <w:tcBorders>
              <w:top w:val="nil"/>
              <w:left w:val="nil"/>
              <w:bottom w:val="nil"/>
              <w:right w:val="nil"/>
            </w:tcBorders>
            <w:shd w:val="clear" w:color="auto" w:fill="auto"/>
            <w:noWrap/>
            <w:vAlign w:val="center"/>
            <w:hideMark/>
          </w:tcPr>
          <w:p w14:paraId="1B2718ED" w14:textId="77777777" w:rsidR="00251DE9" w:rsidRDefault="00251DE9">
            <w:pPr>
              <w:jc w:val="center"/>
              <w:rPr>
                <w:color w:val="000000"/>
                <w:sz w:val="20"/>
                <w:szCs w:val="20"/>
              </w:rPr>
            </w:pPr>
            <w:r>
              <w:rPr>
                <w:color w:val="000000"/>
                <w:sz w:val="20"/>
                <w:szCs w:val="20"/>
              </w:rPr>
              <w:t>0.008</w:t>
            </w:r>
          </w:p>
        </w:tc>
        <w:tc>
          <w:tcPr>
            <w:tcW w:w="1105" w:type="dxa"/>
            <w:tcBorders>
              <w:top w:val="nil"/>
              <w:left w:val="nil"/>
              <w:bottom w:val="nil"/>
              <w:right w:val="nil"/>
            </w:tcBorders>
            <w:shd w:val="clear" w:color="auto" w:fill="auto"/>
            <w:noWrap/>
            <w:vAlign w:val="center"/>
            <w:hideMark/>
          </w:tcPr>
          <w:p w14:paraId="45F3F7E4" w14:textId="77777777" w:rsidR="00251DE9" w:rsidRDefault="00251DE9">
            <w:pPr>
              <w:jc w:val="center"/>
              <w:rPr>
                <w:color w:val="000000"/>
                <w:sz w:val="20"/>
                <w:szCs w:val="20"/>
              </w:rPr>
            </w:pPr>
            <w:r>
              <w:rPr>
                <w:color w:val="000000"/>
                <w:sz w:val="20"/>
                <w:szCs w:val="20"/>
              </w:rPr>
              <w:t>0.017</w:t>
            </w:r>
          </w:p>
        </w:tc>
        <w:tc>
          <w:tcPr>
            <w:tcW w:w="1105" w:type="dxa"/>
            <w:tcBorders>
              <w:top w:val="nil"/>
              <w:left w:val="nil"/>
              <w:bottom w:val="nil"/>
              <w:right w:val="nil"/>
            </w:tcBorders>
            <w:shd w:val="clear" w:color="auto" w:fill="auto"/>
            <w:noWrap/>
            <w:vAlign w:val="center"/>
            <w:hideMark/>
          </w:tcPr>
          <w:p w14:paraId="3B79BDB8" w14:textId="77777777" w:rsidR="00251DE9" w:rsidRDefault="00251DE9">
            <w:pPr>
              <w:jc w:val="center"/>
              <w:rPr>
                <w:color w:val="000000"/>
                <w:sz w:val="20"/>
                <w:szCs w:val="20"/>
              </w:rPr>
            </w:pPr>
            <w:r>
              <w:rPr>
                <w:color w:val="000000"/>
                <w:sz w:val="20"/>
                <w:szCs w:val="20"/>
              </w:rPr>
              <w:t>0.002</w:t>
            </w:r>
          </w:p>
        </w:tc>
        <w:tc>
          <w:tcPr>
            <w:tcW w:w="1105" w:type="dxa"/>
            <w:tcBorders>
              <w:top w:val="nil"/>
              <w:left w:val="nil"/>
              <w:bottom w:val="nil"/>
              <w:right w:val="nil"/>
            </w:tcBorders>
            <w:shd w:val="clear" w:color="auto" w:fill="auto"/>
            <w:noWrap/>
            <w:vAlign w:val="center"/>
            <w:hideMark/>
          </w:tcPr>
          <w:p w14:paraId="48701828" w14:textId="77777777" w:rsidR="00251DE9" w:rsidRDefault="00251DE9">
            <w:pPr>
              <w:jc w:val="center"/>
              <w:rPr>
                <w:color w:val="000000"/>
                <w:sz w:val="20"/>
                <w:szCs w:val="20"/>
              </w:rPr>
            </w:pPr>
            <w:r>
              <w:rPr>
                <w:color w:val="000000"/>
                <w:sz w:val="20"/>
                <w:szCs w:val="20"/>
              </w:rPr>
              <w:t>0.006</w:t>
            </w:r>
          </w:p>
        </w:tc>
        <w:tc>
          <w:tcPr>
            <w:tcW w:w="816" w:type="dxa"/>
            <w:tcBorders>
              <w:top w:val="nil"/>
              <w:left w:val="nil"/>
              <w:bottom w:val="nil"/>
              <w:right w:val="nil"/>
            </w:tcBorders>
            <w:shd w:val="clear" w:color="auto" w:fill="auto"/>
            <w:noWrap/>
            <w:vAlign w:val="center"/>
            <w:hideMark/>
          </w:tcPr>
          <w:p w14:paraId="0F5B87FB" w14:textId="77777777" w:rsidR="00251DE9" w:rsidRDefault="00251DE9">
            <w:pPr>
              <w:jc w:val="center"/>
              <w:rPr>
                <w:color w:val="000000"/>
                <w:sz w:val="20"/>
                <w:szCs w:val="20"/>
              </w:rPr>
            </w:pPr>
            <w:r>
              <w:rPr>
                <w:color w:val="000000"/>
                <w:sz w:val="20"/>
                <w:szCs w:val="20"/>
              </w:rPr>
              <w:t>0.208</w:t>
            </w:r>
          </w:p>
        </w:tc>
        <w:tc>
          <w:tcPr>
            <w:tcW w:w="1105" w:type="dxa"/>
            <w:tcBorders>
              <w:top w:val="nil"/>
              <w:left w:val="nil"/>
              <w:bottom w:val="nil"/>
              <w:right w:val="nil"/>
            </w:tcBorders>
            <w:shd w:val="clear" w:color="auto" w:fill="auto"/>
            <w:noWrap/>
            <w:vAlign w:val="center"/>
            <w:hideMark/>
          </w:tcPr>
          <w:p w14:paraId="457C6CAB" w14:textId="77777777" w:rsidR="00251DE9" w:rsidRDefault="00251DE9">
            <w:pPr>
              <w:jc w:val="center"/>
              <w:rPr>
                <w:color w:val="000000"/>
                <w:sz w:val="20"/>
                <w:szCs w:val="20"/>
              </w:rPr>
            </w:pPr>
            <w:r>
              <w:rPr>
                <w:color w:val="000000"/>
                <w:sz w:val="20"/>
                <w:szCs w:val="20"/>
              </w:rPr>
              <w:t>0.159</w:t>
            </w:r>
          </w:p>
        </w:tc>
        <w:tc>
          <w:tcPr>
            <w:tcW w:w="1105" w:type="dxa"/>
            <w:tcBorders>
              <w:top w:val="nil"/>
              <w:left w:val="nil"/>
              <w:bottom w:val="nil"/>
              <w:right w:val="nil"/>
            </w:tcBorders>
            <w:shd w:val="clear" w:color="auto" w:fill="auto"/>
            <w:noWrap/>
            <w:vAlign w:val="center"/>
            <w:hideMark/>
          </w:tcPr>
          <w:p w14:paraId="5161B6B5" w14:textId="77777777" w:rsidR="00251DE9" w:rsidRDefault="00251DE9">
            <w:pPr>
              <w:jc w:val="center"/>
              <w:rPr>
                <w:color w:val="000000"/>
                <w:sz w:val="20"/>
                <w:szCs w:val="20"/>
              </w:rPr>
            </w:pPr>
            <w:r>
              <w:rPr>
                <w:color w:val="000000"/>
                <w:sz w:val="20"/>
                <w:szCs w:val="20"/>
              </w:rPr>
              <w:t>0.145</w:t>
            </w:r>
          </w:p>
        </w:tc>
        <w:tc>
          <w:tcPr>
            <w:tcW w:w="1105" w:type="dxa"/>
            <w:tcBorders>
              <w:top w:val="nil"/>
              <w:left w:val="nil"/>
              <w:bottom w:val="nil"/>
              <w:right w:val="nil"/>
            </w:tcBorders>
            <w:shd w:val="clear" w:color="auto" w:fill="auto"/>
            <w:noWrap/>
            <w:vAlign w:val="center"/>
            <w:hideMark/>
          </w:tcPr>
          <w:p w14:paraId="2CAB2EBF" w14:textId="77777777" w:rsidR="00251DE9" w:rsidRDefault="00251DE9">
            <w:pPr>
              <w:jc w:val="center"/>
              <w:rPr>
                <w:color w:val="000000"/>
                <w:sz w:val="20"/>
                <w:szCs w:val="20"/>
              </w:rPr>
            </w:pPr>
            <w:r>
              <w:rPr>
                <w:color w:val="000000"/>
                <w:sz w:val="20"/>
                <w:szCs w:val="20"/>
              </w:rPr>
              <w:t>0.357</w:t>
            </w:r>
          </w:p>
        </w:tc>
      </w:tr>
      <w:tr w:rsidR="00251DE9" w14:paraId="539B4EBE" w14:textId="77777777" w:rsidTr="00C15130">
        <w:trPr>
          <w:trHeight w:val="100"/>
        </w:trPr>
        <w:tc>
          <w:tcPr>
            <w:tcW w:w="2116" w:type="dxa"/>
            <w:tcBorders>
              <w:top w:val="nil"/>
              <w:left w:val="nil"/>
              <w:bottom w:val="nil"/>
              <w:right w:val="nil"/>
            </w:tcBorders>
            <w:shd w:val="clear" w:color="auto" w:fill="auto"/>
            <w:noWrap/>
            <w:vAlign w:val="bottom"/>
            <w:hideMark/>
          </w:tcPr>
          <w:p w14:paraId="65FB1B6E"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6D584039" w14:textId="77777777" w:rsidR="00251DE9" w:rsidRDefault="00251DE9">
            <w:pPr>
              <w:jc w:val="center"/>
              <w:rPr>
                <w:color w:val="000000"/>
                <w:sz w:val="20"/>
                <w:szCs w:val="20"/>
              </w:rPr>
            </w:pPr>
            <w:r>
              <w:rPr>
                <w:color w:val="000000"/>
                <w:sz w:val="20"/>
                <w:szCs w:val="20"/>
              </w:rPr>
              <w:t>(0.006)</w:t>
            </w:r>
          </w:p>
        </w:tc>
        <w:tc>
          <w:tcPr>
            <w:tcW w:w="1105" w:type="dxa"/>
            <w:tcBorders>
              <w:top w:val="nil"/>
              <w:left w:val="nil"/>
              <w:bottom w:val="nil"/>
              <w:right w:val="nil"/>
            </w:tcBorders>
            <w:shd w:val="clear" w:color="auto" w:fill="auto"/>
            <w:noWrap/>
            <w:vAlign w:val="center"/>
            <w:hideMark/>
          </w:tcPr>
          <w:p w14:paraId="6DA4AECF" w14:textId="77777777" w:rsidR="00251DE9" w:rsidRDefault="00251DE9">
            <w:pPr>
              <w:jc w:val="center"/>
              <w:rPr>
                <w:color w:val="000000"/>
                <w:sz w:val="20"/>
                <w:szCs w:val="20"/>
              </w:rPr>
            </w:pPr>
            <w:r>
              <w:rPr>
                <w:color w:val="000000"/>
                <w:sz w:val="20"/>
                <w:szCs w:val="20"/>
              </w:rPr>
              <w:t>(0.011)</w:t>
            </w:r>
          </w:p>
        </w:tc>
        <w:tc>
          <w:tcPr>
            <w:tcW w:w="1105" w:type="dxa"/>
            <w:tcBorders>
              <w:top w:val="nil"/>
              <w:left w:val="nil"/>
              <w:bottom w:val="nil"/>
              <w:right w:val="nil"/>
            </w:tcBorders>
            <w:shd w:val="clear" w:color="auto" w:fill="auto"/>
            <w:noWrap/>
            <w:vAlign w:val="center"/>
            <w:hideMark/>
          </w:tcPr>
          <w:p w14:paraId="61D32ED0" w14:textId="77777777" w:rsidR="00251DE9" w:rsidRDefault="00251DE9">
            <w:pPr>
              <w:jc w:val="center"/>
              <w:rPr>
                <w:color w:val="000000"/>
                <w:sz w:val="20"/>
                <w:szCs w:val="20"/>
              </w:rPr>
            </w:pPr>
            <w:r>
              <w:rPr>
                <w:color w:val="000000"/>
                <w:sz w:val="20"/>
                <w:szCs w:val="20"/>
              </w:rPr>
              <w:t>(0.008)</w:t>
            </w:r>
          </w:p>
        </w:tc>
        <w:tc>
          <w:tcPr>
            <w:tcW w:w="1105" w:type="dxa"/>
            <w:tcBorders>
              <w:top w:val="nil"/>
              <w:left w:val="nil"/>
              <w:bottom w:val="nil"/>
              <w:right w:val="nil"/>
            </w:tcBorders>
            <w:shd w:val="clear" w:color="auto" w:fill="auto"/>
            <w:noWrap/>
            <w:vAlign w:val="center"/>
            <w:hideMark/>
          </w:tcPr>
          <w:p w14:paraId="7DB7C5E3" w14:textId="77777777" w:rsidR="00251DE9" w:rsidRDefault="00251DE9">
            <w:pPr>
              <w:jc w:val="center"/>
              <w:rPr>
                <w:color w:val="000000"/>
                <w:sz w:val="20"/>
                <w:szCs w:val="20"/>
              </w:rPr>
            </w:pPr>
            <w:r>
              <w:rPr>
                <w:color w:val="000000"/>
                <w:sz w:val="20"/>
                <w:szCs w:val="20"/>
              </w:rPr>
              <w:t>(0.011)</w:t>
            </w:r>
          </w:p>
        </w:tc>
        <w:tc>
          <w:tcPr>
            <w:tcW w:w="816" w:type="dxa"/>
            <w:tcBorders>
              <w:top w:val="nil"/>
              <w:left w:val="nil"/>
              <w:bottom w:val="nil"/>
              <w:right w:val="nil"/>
            </w:tcBorders>
            <w:shd w:val="clear" w:color="auto" w:fill="auto"/>
            <w:noWrap/>
            <w:vAlign w:val="center"/>
            <w:hideMark/>
          </w:tcPr>
          <w:p w14:paraId="0E2F9DFD" w14:textId="77777777" w:rsidR="00251DE9" w:rsidRDefault="00251DE9">
            <w:pPr>
              <w:jc w:val="center"/>
              <w:rPr>
                <w:color w:val="000000"/>
                <w:sz w:val="20"/>
                <w:szCs w:val="20"/>
              </w:rPr>
            </w:pPr>
            <w:r>
              <w:rPr>
                <w:color w:val="000000"/>
                <w:sz w:val="20"/>
                <w:szCs w:val="20"/>
              </w:rPr>
              <w:t>(0.103)</w:t>
            </w:r>
          </w:p>
        </w:tc>
        <w:tc>
          <w:tcPr>
            <w:tcW w:w="1105" w:type="dxa"/>
            <w:tcBorders>
              <w:top w:val="nil"/>
              <w:left w:val="nil"/>
              <w:bottom w:val="nil"/>
              <w:right w:val="nil"/>
            </w:tcBorders>
            <w:shd w:val="clear" w:color="auto" w:fill="auto"/>
            <w:noWrap/>
            <w:vAlign w:val="center"/>
            <w:hideMark/>
          </w:tcPr>
          <w:p w14:paraId="53CCA496" w14:textId="77777777" w:rsidR="00251DE9" w:rsidRDefault="00251DE9">
            <w:pPr>
              <w:jc w:val="center"/>
              <w:rPr>
                <w:color w:val="000000"/>
                <w:sz w:val="20"/>
                <w:szCs w:val="20"/>
              </w:rPr>
            </w:pPr>
            <w:r>
              <w:rPr>
                <w:color w:val="000000"/>
                <w:sz w:val="20"/>
                <w:szCs w:val="20"/>
              </w:rPr>
              <w:t>(0.224)</w:t>
            </w:r>
          </w:p>
        </w:tc>
        <w:tc>
          <w:tcPr>
            <w:tcW w:w="1105" w:type="dxa"/>
            <w:tcBorders>
              <w:top w:val="nil"/>
              <w:left w:val="nil"/>
              <w:bottom w:val="nil"/>
              <w:right w:val="nil"/>
            </w:tcBorders>
            <w:shd w:val="clear" w:color="auto" w:fill="auto"/>
            <w:noWrap/>
            <w:vAlign w:val="center"/>
            <w:hideMark/>
          </w:tcPr>
          <w:p w14:paraId="6CD2F8BD" w14:textId="77777777" w:rsidR="00251DE9" w:rsidRDefault="00251DE9">
            <w:pPr>
              <w:jc w:val="center"/>
              <w:rPr>
                <w:color w:val="000000"/>
                <w:sz w:val="20"/>
                <w:szCs w:val="20"/>
              </w:rPr>
            </w:pPr>
            <w:r>
              <w:rPr>
                <w:color w:val="000000"/>
                <w:sz w:val="20"/>
                <w:szCs w:val="20"/>
              </w:rPr>
              <w:t>(0.155)</w:t>
            </w:r>
          </w:p>
        </w:tc>
        <w:tc>
          <w:tcPr>
            <w:tcW w:w="1105" w:type="dxa"/>
            <w:tcBorders>
              <w:top w:val="nil"/>
              <w:left w:val="nil"/>
              <w:bottom w:val="nil"/>
              <w:right w:val="nil"/>
            </w:tcBorders>
            <w:shd w:val="clear" w:color="auto" w:fill="auto"/>
            <w:noWrap/>
            <w:vAlign w:val="center"/>
            <w:hideMark/>
          </w:tcPr>
          <w:p w14:paraId="749D5A3A" w14:textId="77777777" w:rsidR="00251DE9" w:rsidRDefault="00251DE9">
            <w:pPr>
              <w:jc w:val="center"/>
              <w:rPr>
                <w:color w:val="000000"/>
                <w:sz w:val="20"/>
                <w:szCs w:val="20"/>
              </w:rPr>
            </w:pPr>
            <w:r>
              <w:rPr>
                <w:color w:val="000000"/>
                <w:sz w:val="20"/>
                <w:szCs w:val="20"/>
              </w:rPr>
              <w:t>(0.172)</w:t>
            </w:r>
          </w:p>
        </w:tc>
      </w:tr>
      <w:tr w:rsidR="00251DE9" w14:paraId="57B1D4B5" w14:textId="77777777" w:rsidTr="00C15130">
        <w:trPr>
          <w:trHeight w:val="297"/>
        </w:trPr>
        <w:tc>
          <w:tcPr>
            <w:tcW w:w="2116" w:type="dxa"/>
            <w:tcBorders>
              <w:top w:val="nil"/>
              <w:left w:val="nil"/>
              <w:bottom w:val="nil"/>
              <w:right w:val="nil"/>
            </w:tcBorders>
            <w:shd w:val="clear" w:color="auto" w:fill="auto"/>
            <w:noWrap/>
            <w:vAlign w:val="center"/>
            <w:hideMark/>
          </w:tcPr>
          <w:p w14:paraId="0828A99E" w14:textId="77777777" w:rsidR="00251DE9" w:rsidRDefault="00251DE9">
            <w:pPr>
              <w:rPr>
                <w:color w:val="000000"/>
                <w:sz w:val="20"/>
                <w:szCs w:val="20"/>
              </w:rPr>
            </w:pPr>
            <w:r>
              <w:rPr>
                <w:color w:val="000000"/>
                <w:sz w:val="20"/>
                <w:szCs w:val="20"/>
              </w:rPr>
              <w:t>Ban*Open</w:t>
            </w:r>
          </w:p>
        </w:tc>
        <w:tc>
          <w:tcPr>
            <w:tcW w:w="816" w:type="dxa"/>
            <w:tcBorders>
              <w:top w:val="nil"/>
              <w:left w:val="nil"/>
              <w:bottom w:val="nil"/>
              <w:right w:val="nil"/>
            </w:tcBorders>
            <w:shd w:val="clear" w:color="auto" w:fill="auto"/>
            <w:noWrap/>
            <w:vAlign w:val="center"/>
            <w:hideMark/>
          </w:tcPr>
          <w:p w14:paraId="1AFFB6AB" w14:textId="77777777" w:rsidR="00251DE9" w:rsidRDefault="00251DE9">
            <w:pPr>
              <w:jc w:val="center"/>
              <w:rPr>
                <w:color w:val="000000"/>
                <w:sz w:val="20"/>
                <w:szCs w:val="20"/>
              </w:rPr>
            </w:pPr>
            <w:r>
              <w:rPr>
                <w:color w:val="000000"/>
                <w:sz w:val="20"/>
                <w:szCs w:val="20"/>
              </w:rPr>
              <w:t>0.000</w:t>
            </w:r>
          </w:p>
        </w:tc>
        <w:tc>
          <w:tcPr>
            <w:tcW w:w="1105" w:type="dxa"/>
            <w:tcBorders>
              <w:top w:val="nil"/>
              <w:left w:val="nil"/>
              <w:bottom w:val="nil"/>
              <w:right w:val="nil"/>
            </w:tcBorders>
            <w:shd w:val="clear" w:color="auto" w:fill="auto"/>
            <w:noWrap/>
            <w:vAlign w:val="center"/>
            <w:hideMark/>
          </w:tcPr>
          <w:p w14:paraId="5F0F6E4C" w14:textId="77777777" w:rsidR="00251DE9" w:rsidRDefault="00251DE9">
            <w:pPr>
              <w:jc w:val="center"/>
              <w:rPr>
                <w:color w:val="000000"/>
                <w:sz w:val="20"/>
                <w:szCs w:val="20"/>
              </w:rPr>
            </w:pPr>
            <w:r>
              <w:rPr>
                <w:color w:val="000000"/>
                <w:sz w:val="20"/>
                <w:szCs w:val="20"/>
              </w:rPr>
              <w:t>-0.001</w:t>
            </w:r>
          </w:p>
        </w:tc>
        <w:tc>
          <w:tcPr>
            <w:tcW w:w="1105" w:type="dxa"/>
            <w:tcBorders>
              <w:top w:val="nil"/>
              <w:left w:val="nil"/>
              <w:bottom w:val="nil"/>
              <w:right w:val="nil"/>
            </w:tcBorders>
            <w:shd w:val="clear" w:color="auto" w:fill="auto"/>
            <w:noWrap/>
            <w:vAlign w:val="center"/>
            <w:hideMark/>
          </w:tcPr>
          <w:p w14:paraId="6E0751F1" w14:textId="77777777" w:rsidR="00251DE9" w:rsidRDefault="00251DE9">
            <w:pPr>
              <w:jc w:val="center"/>
              <w:rPr>
                <w:color w:val="000000"/>
                <w:sz w:val="20"/>
                <w:szCs w:val="20"/>
              </w:rPr>
            </w:pPr>
            <w:r>
              <w:rPr>
                <w:color w:val="000000"/>
                <w:sz w:val="20"/>
                <w:szCs w:val="20"/>
              </w:rPr>
              <w:t>0.009</w:t>
            </w:r>
          </w:p>
        </w:tc>
        <w:tc>
          <w:tcPr>
            <w:tcW w:w="1105" w:type="dxa"/>
            <w:tcBorders>
              <w:top w:val="nil"/>
              <w:left w:val="nil"/>
              <w:bottom w:val="nil"/>
              <w:right w:val="nil"/>
            </w:tcBorders>
            <w:shd w:val="clear" w:color="auto" w:fill="auto"/>
            <w:noWrap/>
            <w:vAlign w:val="center"/>
            <w:hideMark/>
          </w:tcPr>
          <w:p w14:paraId="29DF7FD1" w14:textId="77777777" w:rsidR="00251DE9" w:rsidRDefault="00251DE9">
            <w:pPr>
              <w:jc w:val="center"/>
              <w:rPr>
                <w:color w:val="000000"/>
                <w:sz w:val="20"/>
                <w:szCs w:val="20"/>
              </w:rPr>
            </w:pPr>
            <w:r>
              <w:rPr>
                <w:color w:val="000000"/>
                <w:sz w:val="20"/>
                <w:szCs w:val="20"/>
              </w:rPr>
              <w:t>-0.006</w:t>
            </w:r>
          </w:p>
        </w:tc>
        <w:tc>
          <w:tcPr>
            <w:tcW w:w="816" w:type="dxa"/>
            <w:tcBorders>
              <w:top w:val="nil"/>
              <w:left w:val="nil"/>
              <w:bottom w:val="nil"/>
              <w:right w:val="nil"/>
            </w:tcBorders>
            <w:shd w:val="clear" w:color="auto" w:fill="auto"/>
            <w:noWrap/>
            <w:vAlign w:val="center"/>
            <w:hideMark/>
          </w:tcPr>
          <w:p w14:paraId="7E3732BD" w14:textId="77777777" w:rsidR="00251DE9" w:rsidRDefault="00251DE9">
            <w:pPr>
              <w:jc w:val="center"/>
              <w:rPr>
                <w:color w:val="000000"/>
                <w:sz w:val="20"/>
                <w:szCs w:val="20"/>
              </w:rPr>
            </w:pPr>
            <w:r>
              <w:rPr>
                <w:color w:val="000000"/>
                <w:sz w:val="20"/>
                <w:szCs w:val="20"/>
              </w:rPr>
              <w:t>0.027</w:t>
            </w:r>
          </w:p>
        </w:tc>
        <w:tc>
          <w:tcPr>
            <w:tcW w:w="1105" w:type="dxa"/>
            <w:tcBorders>
              <w:top w:val="nil"/>
              <w:left w:val="nil"/>
              <w:bottom w:val="nil"/>
              <w:right w:val="nil"/>
            </w:tcBorders>
            <w:shd w:val="clear" w:color="auto" w:fill="auto"/>
            <w:noWrap/>
            <w:vAlign w:val="center"/>
            <w:hideMark/>
          </w:tcPr>
          <w:p w14:paraId="26A2773F" w14:textId="77777777" w:rsidR="00251DE9" w:rsidRDefault="00251DE9">
            <w:pPr>
              <w:jc w:val="center"/>
              <w:rPr>
                <w:color w:val="000000"/>
                <w:sz w:val="20"/>
                <w:szCs w:val="20"/>
              </w:rPr>
            </w:pPr>
            <w:r>
              <w:rPr>
                <w:color w:val="000000"/>
                <w:sz w:val="20"/>
                <w:szCs w:val="20"/>
              </w:rPr>
              <w:t>0.155</w:t>
            </w:r>
          </w:p>
        </w:tc>
        <w:tc>
          <w:tcPr>
            <w:tcW w:w="1105" w:type="dxa"/>
            <w:tcBorders>
              <w:top w:val="nil"/>
              <w:left w:val="nil"/>
              <w:bottom w:val="nil"/>
              <w:right w:val="nil"/>
            </w:tcBorders>
            <w:shd w:val="clear" w:color="auto" w:fill="auto"/>
            <w:noWrap/>
            <w:vAlign w:val="center"/>
            <w:hideMark/>
          </w:tcPr>
          <w:p w14:paraId="41C565A8" w14:textId="77777777" w:rsidR="00251DE9" w:rsidRDefault="00251DE9">
            <w:pPr>
              <w:jc w:val="center"/>
              <w:rPr>
                <w:color w:val="000000"/>
                <w:sz w:val="20"/>
                <w:szCs w:val="20"/>
              </w:rPr>
            </w:pPr>
            <w:r>
              <w:rPr>
                <w:color w:val="000000"/>
                <w:sz w:val="20"/>
                <w:szCs w:val="20"/>
              </w:rPr>
              <w:t>0.0502</w:t>
            </w:r>
          </w:p>
        </w:tc>
        <w:tc>
          <w:tcPr>
            <w:tcW w:w="1105" w:type="dxa"/>
            <w:tcBorders>
              <w:top w:val="nil"/>
              <w:left w:val="nil"/>
              <w:bottom w:val="nil"/>
              <w:right w:val="nil"/>
            </w:tcBorders>
            <w:shd w:val="clear" w:color="auto" w:fill="auto"/>
            <w:noWrap/>
            <w:vAlign w:val="center"/>
            <w:hideMark/>
          </w:tcPr>
          <w:p w14:paraId="4CD9B998" w14:textId="77777777" w:rsidR="00251DE9" w:rsidRDefault="00251DE9">
            <w:pPr>
              <w:jc w:val="center"/>
              <w:rPr>
                <w:color w:val="000000"/>
                <w:sz w:val="20"/>
                <w:szCs w:val="20"/>
              </w:rPr>
            </w:pPr>
            <w:r>
              <w:rPr>
                <w:color w:val="000000"/>
                <w:sz w:val="20"/>
                <w:szCs w:val="20"/>
              </w:rPr>
              <w:t>-0.183</w:t>
            </w:r>
          </w:p>
        </w:tc>
      </w:tr>
      <w:tr w:rsidR="00251DE9" w14:paraId="331011E1" w14:textId="77777777" w:rsidTr="00C15130">
        <w:trPr>
          <w:trHeight w:val="100"/>
        </w:trPr>
        <w:tc>
          <w:tcPr>
            <w:tcW w:w="2116" w:type="dxa"/>
            <w:tcBorders>
              <w:top w:val="nil"/>
              <w:left w:val="nil"/>
              <w:bottom w:val="nil"/>
              <w:right w:val="nil"/>
            </w:tcBorders>
            <w:shd w:val="clear" w:color="auto" w:fill="auto"/>
            <w:noWrap/>
            <w:vAlign w:val="bottom"/>
            <w:hideMark/>
          </w:tcPr>
          <w:p w14:paraId="5C3A1173" w14:textId="77777777" w:rsidR="00251DE9" w:rsidRDefault="00251DE9">
            <w:pPr>
              <w:jc w:val="center"/>
              <w:rPr>
                <w:color w:val="000000"/>
                <w:sz w:val="20"/>
                <w:szCs w:val="20"/>
              </w:rPr>
            </w:pPr>
          </w:p>
        </w:tc>
        <w:tc>
          <w:tcPr>
            <w:tcW w:w="816" w:type="dxa"/>
            <w:tcBorders>
              <w:top w:val="nil"/>
              <w:left w:val="nil"/>
              <w:bottom w:val="nil"/>
              <w:right w:val="nil"/>
            </w:tcBorders>
            <w:shd w:val="clear" w:color="auto" w:fill="auto"/>
            <w:noWrap/>
            <w:vAlign w:val="center"/>
            <w:hideMark/>
          </w:tcPr>
          <w:p w14:paraId="3ABC3F9F" w14:textId="77777777" w:rsidR="00251DE9" w:rsidRDefault="00251DE9">
            <w:pPr>
              <w:jc w:val="center"/>
              <w:rPr>
                <w:color w:val="000000"/>
                <w:sz w:val="20"/>
                <w:szCs w:val="20"/>
              </w:rPr>
            </w:pPr>
            <w:r>
              <w:rPr>
                <w:color w:val="000000"/>
                <w:sz w:val="20"/>
                <w:szCs w:val="20"/>
              </w:rPr>
              <w:t>(0.006)</w:t>
            </w:r>
          </w:p>
        </w:tc>
        <w:tc>
          <w:tcPr>
            <w:tcW w:w="1105" w:type="dxa"/>
            <w:tcBorders>
              <w:top w:val="nil"/>
              <w:left w:val="nil"/>
              <w:bottom w:val="nil"/>
              <w:right w:val="nil"/>
            </w:tcBorders>
            <w:shd w:val="clear" w:color="auto" w:fill="auto"/>
            <w:noWrap/>
            <w:vAlign w:val="center"/>
            <w:hideMark/>
          </w:tcPr>
          <w:p w14:paraId="62E17E3E" w14:textId="77777777" w:rsidR="00251DE9" w:rsidRDefault="00251DE9">
            <w:pPr>
              <w:jc w:val="center"/>
              <w:rPr>
                <w:color w:val="000000"/>
                <w:sz w:val="20"/>
                <w:szCs w:val="20"/>
              </w:rPr>
            </w:pPr>
            <w:r>
              <w:rPr>
                <w:color w:val="000000"/>
                <w:sz w:val="20"/>
                <w:szCs w:val="20"/>
              </w:rPr>
              <w:t>(0.01)</w:t>
            </w:r>
          </w:p>
        </w:tc>
        <w:tc>
          <w:tcPr>
            <w:tcW w:w="1105" w:type="dxa"/>
            <w:tcBorders>
              <w:top w:val="nil"/>
              <w:left w:val="nil"/>
              <w:bottom w:val="nil"/>
              <w:right w:val="nil"/>
            </w:tcBorders>
            <w:shd w:val="clear" w:color="auto" w:fill="auto"/>
            <w:noWrap/>
            <w:vAlign w:val="center"/>
            <w:hideMark/>
          </w:tcPr>
          <w:p w14:paraId="7FB4F54C" w14:textId="77777777" w:rsidR="00251DE9" w:rsidRDefault="00251DE9">
            <w:pPr>
              <w:jc w:val="center"/>
              <w:rPr>
                <w:color w:val="000000"/>
                <w:sz w:val="20"/>
                <w:szCs w:val="20"/>
              </w:rPr>
            </w:pPr>
            <w:r>
              <w:rPr>
                <w:color w:val="000000"/>
                <w:sz w:val="20"/>
                <w:szCs w:val="20"/>
              </w:rPr>
              <w:t>(0.009)</w:t>
            </w:r>
          </w:p>
        </w:tc>
        <w:tc>
          <w:tcPr>
            <w:tcW w:w="1105" w:type="dxa"/>
            <w:tcBorders>
              <w:top w:val="nil"/>
              <w:left w:val="nil"/>
              <w:bottom w:val="nil"/>
              <w:right w:val="nil"/>
            </w:tcBorders>
            <w:shd w:val="clear" w:color="auto" w:fill="auto"/>
            <w:noWrap/>
            <w:vAlign w:val="center"/>
            <w:hideMark/>
          </w:tcPr>
          <w:p w14:paraId="5C337093" w14:textId="77777777" w:rsidR="00251DE9" w:rsidRDefault="00251DE9">
            <w:pPr>
              <w:jc w:val="center"/>
              <w:rPr>
                <w:color w:val="000000"/>
                <w:sz w:val="20"/>
                <w:szCs w:val="20"/>
              </w:rPr>
            </w:pPr>
            <w:r>
              <w:rPr>
                <w:color w:val="000000"/>
                <w:sz w:val="20"/>
                <w:szCs w:val="20"/>
              </w:rPr>
              <w:t>(0.013)</w:t>
            </w:r>
          </w:p>
        </w:tc>
        <w:tc>
          <w:tcPr>
            <w:tcW w:w="816" w:type="dxa"/>
            <w:tcBorders>
              <w:top w:val="nil"/>
              <w:left w:val="nil"/>
              <w:bottom w:val="nil"/>
              <w:right w:val="nil"/>
            </w:tcBorders>
            <w:shd w:val="clear" w:color="auto" w:fill="auto"/>
            <w:noWrap/>
            <w:vAlign w:val="center"/>
            <w:hideMark/>
          </w:tcPr>
          <w:p w14:paraId="3C729CEE" w14:textId="77777777" w:rsidR="00251DE9" w:rsidRDefault="00251DE9">
            <w:pPr>
              <w:jc w:val="center"/>
              <w:rPr>
                <w:color w:val="000000"/>
                <w:sz w:val="20"/>
                <w:szCs w:val="20"/>
              </w:rPr>
            </w:pPr>
            <w:r>
              <w:rPr>
                <w:color w:val="000000"/>
                <w:sz w:val="20"/>
                <w:szCs w:val="20"/>
              </w:rPr>
              <w:t>(0.107)</w:t>
            </w:r>
          </w:p>
        </w:tc>
        <w:tc>
          <w:tcPr>
            <w:tcW w:w="1105" w:type="dxa"/>
            <w:tcBorders>
              <w:top w:val="nil"/>
              <w:left w:val="nil"/>
              <w:bottom w:val="nil"/>
              <w:right w:val="nil"/>
            </w:tcBorders>
            <w:shd w:val="clear" w:color="auto" w:fill="auto"/>
            <w:noWrap/>
            <w:vAlign w:val="center"/>
            <w:hideMark/>
          </w:tcPr>
          <w:p w14:paraId="13FB3506" w14:textId="77777777" w:rsidR="00251DE9" w:rsidRDefault="00251DE9">
            <w:pPr>
              <w:jc w:val="center"/>
              <w:rPr>
                <w:color w:val="000000"/>
                <w:sz w:val="20"/>
                <w:szCs w:val="20"/>
              </w:rPr>
            </w:pPr>
            <w:r>
              <w:rPr>
                <w:color w:val="000000"/>
                <w:sz w:val="20"/>
                <w:szCs w:val="20"/>
              </w:rPr>
              <w:t>(0.188)</w:t>
            </w:r>
          </w:p>
        </w:tc>
        <w:tc>
          <w:tcPr>
            <w:tcW w:w="1105" w:type="dxa"/>
            <w:tcBorders>
              <w:top w:val="nil"/>
              <w:left w:val="nil"/>
              <w:bottom w:val="nil"/>
              <w:right w:val="nil"/>
            </w:tcBorders>
            <w:shd w:val="clear" w:color="auto" w:fill="auto"/>
            <w:noWrap/>
            <w:vAlign w:val="center"/>
            <w:hideMark/>
          </w:tcPr>
          <w:p w14:paraId="272DE380" w14:textId="77777777" w:rsidR="00251DE9" w:rsidRDefault="00251DE9">
            <w:pPr>
              <w:jc w:val="center"/>
              <w:rPr>
                <w:color w:val="000000"/>
                <w:sz w:val="20"/>
                <w:szCs w:val="20"/>
              </w:rPr>
            </w:pPr>
            <w:r>
              <w:rPr>
                <w:color w:val="000000"/>
                <w:sz w:val="20"/>
                <w:szCs w:val="20"/>
              </w:rPr>
              <w:t>(0.18)</w:t>
            </w:r>
          </w:p>
        </w:tc>
        <w:tc>
          <w:tcPr>
            <w:tcW w:w="1105" w:type="dxa"/>
            <w:tcBorders>
              <w:top w:val="nil"/>
              <w:left w:val="nil"/>
              <w:bottom w:val="nil"/>
              <w:right w:val="nil"/>
            </w:tcBorders>
            <w:shd w:val="clear" w:color="auto" w:fill="auto"/>
            <w:noWrap/>
            <w:vAlign w:val="center"/>
            <w:hideMark/>
          </w:tcPr>
          <w:p w14:paraId="267D6172" w14:textId="77777777" w:rsidR="00251DE9" w:rsidRDefault="00251DE9">
            <w:pPr>
              <w:jc w:val="center"/>
              <w:rPr>
                <w:color w:val="000000"/>
                <w:sz w:val="20"/>
                <w:szCs w:val="20"/>
              </w:rPr>
            </w:pPr>
            <w:r>
              <w:rPr>
                <w:color w:val="000000"/>
                <w:sz w:val="20"/>
                <w:szCs w:val="20"/>
              </w:rPr>
              <w:t>(0.188)</w:t>
            </w:r>
          </w:p>
        </w:tc>
      </w:tr>
      <w:tr w:rsidR="00251DE9" w14:paraId="4E4BDC9C" w14:textId="77777777" w:rsidTr="00C15130">
        <w:trPr>
          <w:trHeight w:val="297"/>
        </w:trPr>
        <w:tc>
          <w:tcPr>
            <w:tcW w:w="2116" w:type="dxa"/>
            <w:tcBorders>
              <w:top w:val="nil"/>
              <w:left w:val="nil"/>
              <w:bottom w:val="nil"/>
              <w:right w:val="nil"/>
            </w:tcBorders>
            <w:shd w:val="clear" w:color="auto" w:fill="auto"/>
            <w:noWrap/>
            <w:vAlign w:val="center"/>
            <w:hideMark/>
          </w:tcPr>
          <w:p w14:paraId="0A8AB8D0" w14:textId="77777777" w:rsidR="00251DE9" w:rsidRDefault="00251DE9">
            <w:pPr>
              <w:rPr>
                <w:color w:val="000000"/>
                <w:sz w:val="20"/>
                <w:szCs w:val="20"/>
              </w:rPr>
            </w:pPr>
            <w:r>
              <w:rPr>
                <w:color w:val="000000"/>
                <w:sz w:val="20"/>
                <w:szCs w:val="20"/>
              </w:rPr>
              <w:t>Observations</w:t>
            </w:r>
          </w:p>
        </w:tc>
        <w:tc>
          <w:tcPr>
            <w:tcW w:w="816" w:type="dxa"/>
            <w:tcBorders>
              <w:top w:val="nil"/>
              <w:left w:val="nil"/>
              <w:bottom w:val="nil"/>
              <w:right w:val="nil"/>
            </w:tcBorders>
            <w:shd w:val="clear" w:color="auto" w:fill="auto"/>
            <w:noWrap/>
            <w:vAlign w:val="center"/>
            <w:hideMark/>
          </w:tcPr>
          <w:p w14:paraId="06E0AF66" w14:textId="77777777" w:rsidR="00251DE9" w:rsidRDefault="00251DE9">
            <w:pPr>
              <w:jc w:val="center"/>
              <w:rPr>
                <w:color w:val="000000"/>
                <w:sz w:val="20"/>
                <w:szCs w:val="20"/>
              </w:rPr>
            </w:pPr>
            <w:r>
              <w:rPr>
                <w:color w:val="000000"/>
                <w:sz w:val="20"/>
                <w:szCs w:val="20"/>
              </w:rPr>
              <w:t>56,002</w:t>
            </w:r>
          </w:p>
        </w:tc>
        <w:tc>
          <w:tcPr>
            <w:tcW w:w="1105" w:type="dxa"/>
            <w:tcBorders>
              <w:top w:val="nil"/>
              <w:left w:val="nil"/>
              <w:bottom w:val="nil"/>
              <w:right w:val="nil"/>
            </w:tcBorders>
            <w:shd w:val="clear" w:color="auto" w:fill="auto"/>
            <w:noWrap/>
            <w:vAlign w:val="center"/>
            <w:hideMark/>
          </w:tcPr>
          <w:p w14:paraId="74B5997E" w14:textId="77777777" w:rsidR="00251DE9" w:rsidRDefault="00251DE9">
            <w:pPr>
              <w:jc w:val="center"/>
              <w:rPr>
                <w:color w:val="000000"/>
                <w:sz w:val="20"/>
                <w:szCs w:val="20"/>
              </w:rPr>
            </w:pPr>
            <w:r>
              <w:rPr>
                <w:color w:val="000000"/>
                <w:sz w:val="20"/>
                <w:szCs w:val="20"/>
              </w:rPr>
              <w:t>16,126</w:t>
            </w:r>
          </w:p>
        </w:tc>
        <w:tc>
          <w:tcPr>
            <w:tcW w:w="1105" w:type="dxa"/>
            <w:tcBorders>
              <w:top w:val="nil"/>
              <w:left w:val="nil"/>
              <w:bottom w:val="nil"/>
              <w:right w:val="nil"/>
            </w:tcBorders>
            <w:shd w:val="clear" w:color="auto" w:fill="auto"/>
            <w:noWrap/>
            <w:vAlign w:val="center"/>
            <w:hideMark/>
          </w:tcPr>
          <w:p w14:paraId="75CE74E0" w14:textId="77777777" w:rsidR="00251DE9" w:rsidRDefault="00251DE9">
            <w:pPr>
              <w:jc w:val="center"/>
              <w:rPr>
                <w:color w:val="000000"/>
                <w:sz w:val="20"/>
                <w:szCs w:val="20"/>
              </w:rPr>
            </w:pPr>
            <w:r>
              <w:rPr>
                <w:color w:val="000000"/>
                <w:sz w:val="20"/>
                <w:szCs w:val="20"/>
              </w:rPr>
              <w:t>25,150</w:t>
            </w:r>
          </w:p>
        </w:tc>
        <w:tc>
          <w:tcPr>
            <w:tcW w:w="1105" w:type="dxa"/>
            <w:tcBorders>
              <w:top w:val="nil"/>
              <w:left w:val="nil"/>
              <w:bottom w:val="nil"/>
              <w:right w:val="nil"/>
            </w:tcBorders>
            <w:shd w:val="clear" w:color="auto" w:fill="auto"/>
            <w:noWrap/>
            <w:vAlign w:val="center"/>
            <w:hideMark/>
          </w:tcPr>
          <w:p w14:paraId="0C66AA31" w14:textId="77777777" w:rsidR="00251DE9" w:rsidRDefault="00251DE9">
            <w:pPr>
              <w:jc w:val="center"/>
              <w:rPr>
                <w:color w:val="000000"/>
                <w:sz w:val="20"/>
                <w:szCs w:val="20"/>
              </w:rPr>
            </w:pPr>
            <w:r>
              <w:rPr>
                <w:color w:val="000000"/>
                <w:sz w:val="20"/>
                <w:szCs w:val="20"/>
              </w:rPr>
              <w:t>14,726</w:t>
            </w:r>
          </w:p>
        </w:tc>
        <w:tc>
          <w:tcPr>
            <w:tcW w:w="816" w:type="dxa"/>
            <w:tcBorders>
              <w:top w:val="nil"/>
              <w:left w:val="nil"/>
              <w:bottom w:val="nil"/>
              <w:right w:val="nil"/>
            </w:tcBorders>
            <w:shd w:val="clear" w:color="auto" w:fill="auto"/>
            <w:noWrap/>
            <w:vAlign w:val="center"/>
            <w:hideMark/>
          </w:tcPr>
          <w:p w14:paraId="599BD42B" w14:textId="77777777" w:rsidR="00251DE9" w:rsidRDefault="00251DE9">
            <w:pPr>
              <w:jc w:val="center"/>
              <w:rPr>
                <w:color w:val="000000"/>
                <w:sz w:val="20"/>
                <w:szCs w:val="20"/>
              </w:rPr>
            </w:pPr>
            <w:r>
              <w:rPr>
                <w:color w:val="000000"/>
                <w:sz w:val="20"/>
                <w:szCs w:val="20"/>
              </w:rPr>
              <w:t>38,095</w:t>
            </w:r>
          </w:p>
        </w:tc>
        <w:tc>
          <w:tcPr>
            <w:tcW w:w="1105" w:type="dxa"/>
            <w:tcBorders>
              <w:top w:val="nil"/>
              <w:left w:val="nil"/>
              <w:bottom w:val="nil"/>
              <w:right w:val="nil"/>
            </w:tcBorders>
            <w:shd w:val="clear" w:color="auto" w:fill="auto"/>
            <w:noWrap/>
            <w:vAlign w:val="center"/>
            <w:hideMark/>
          </w:tcPr>
          <w:p w14:paraId="4A276291" w14:textId="77777777" w:rsidR="00251DE9" w:rsidRDefault="00251DE9">
            <w:pPr>
              <w:jc w:val="center"/>
              <w:rPr>
                <w:color w:val="000000"/>
                <w:sz w:val="20"/>
                <w:szCs w:val="20"/>
              </w:rPr>
            </w:pPr>
            <w:r>
              <w:rPr>
                <w:color w:val="000000"/>
                <w:sz w:val="20"/>
                <w:szCs w:val="20"/>
              </w:rPr>
              <w:t>10,888</w:t>
            </w:r>
          </w:p>
        </w:tc>
        <w:tc>
          <w:tcPr>
            <w:tcW w:w="1105" w:type="dxa"/>
            <w:tcBorders>
              <w:top w:val="nil"/>
              <w:left w:val="nil"/>
              <w:bottom w:val="nil"/>
              <w:right w:val="nil"/>
            </w:tcBorders>
            <w:shd w:val="clear" w:color="auto" w:fill="auto"/>
            <w:noWrap/>
            <w:vAlign w:val="center"/>
            <w:hideMark/>
          </w:tcPr>
          <w:p w14:paraId="63FD328F" w14:textId="77777777" w:rsidR="00251DE9" w:rsidRDefault="00251DE9">
            <w:pPr>
              <w:jc w:val="center"/>
              <w:rPr>
                <w:color w:val="000000"/>
                <w:sz w:val="20"/>
                <w:szCs w:val="20"/>
              </w:rPr>
            </w:pPr>
            <w:r>
              <w:rPr>
                <w:color w:val="000000"/>
                <w:sz w:val="20"/>
                <w:szCs w:val="20"/>
              </w:rPr>
              <w:t>17,450</w:t>
            </w:r>
          </w:p>
        </w:tc>
        <w:tc>
          <w:tcPr>
            <w:tcW w:w="1105" w:type="dxa"/>
            <w:tcBorders>
              <w:top w:val="nil"/>
              <w:left w:val="nil"/>
              <w:bottom w:val="nil"/>
              <w:right w:val="nil"/>
            </w:tcBorders>
            <w:shd w:val="clear" w:color="auto" w:fill="auto"/>
            <w:noWrap/>
            <w:vAlign w:val="center"/>
            <w:hideMark/>
          </w:tcPr>
          <w:p w14:paraId="038988A5" w14:textId="77777777" w:rsidR="00251DE9" w:rsidRDefault="00251DE9">
            <w:pPr>
              <w:jc w:val="center"/>
              <w:rPr>
                <w:color w:val="000000"/>
                <w:sz w:val="20"/>
                <w:szCs w:val="20"/>
              </w:rPr>
            </w:pPr>
            <w:r>
              <w:rPr>
                <w:color w:val="000000"/>
                <w:sz w:val="20"/>
                <w:szCs w:val="20"/>
              </w:rPr>
              <w:t>9,757</w:t>
            </w:r>
          </w:p>
        </w:tc>
      </w:tr>
      <w:tr w:rsidR="00251DE9" w14:paraId="6A5D740C" w14:textId="77777777" w:rsidTr="00C15130">
        <w:trPr>
          <w:trHeight w:val="100"/>
        </w:trPr>
        <w:tc>
          <w:tcPr>
            <w:tcW w:w="2116" w:type="dxa"/>
            <w:tcBorders>
              <w:top w:val="nil"/>
              <w:left w:val="nil"/>
              <w:bottom w:val="nil"/>
              <w:right w:val="nil"/>
            </w:tcBorders>
            <w:shd w:val="clear" w:color="auto" w:fill="auto"/>
            <w:noWrap/>
            <w:vAlign w:val="center"/>
            <w:hideMark/>
          </w:tcPr>
          <w:p w14:paraId="4F5B2F21" w14:textId="77777777" w:rsidR="00251DE9" w:rsidRDefault="00251DE9">
            <w:pPr>
              <w:rPr>
                <w:color w:val="000000"/>
                <w:sz w:val="20"/>
                <w:szCs w:val="20"/>
              </w:rPr>
            </w:pPr>
            <w:r>
              <w:rPr>
                <w:color w:val="000000"/>
                <w:sz w:val="20"/>
                <w:szCs w:val="20"/>
              </w:rPr>
              <w:t>Number of Individuals</w:t>
            </w:r>
          </w:p>
        </w:tc>
        <w:tc>
          <w:tcPr>
            <w:tcW w:w="816" w:type="dxa"/>
            <w:tcBorders>
              <w:top w:val="nil"/>
              <w:left w:val="nil"/>
              <w:bottom w:val="nil"/>
              <w:right w:val="nil"/>
            </w:tcBorders>
            <w:shd w:val="clear" w:color="auto" w:fill="auto"/>
            <w:noWrap/>
            <w:vAlign w:val="center"/>
            <w:hideMark/>
          </w:tcPr>
          <w:p w14:paraId="782BD263" w14:textId="77777777" w:rsidR="00251DE9" w:rsidRDefault="00251DE9">
            <w:pPr>
              <w:jc w:val="center"/>
              <w:rPr>
                <w:color w:val="000000"/>
                <w:sz w:val="20"/>
                <w:szCs w:val="20"/>
              </w:rPr>
            </w:pPr>
            <w:r>
              <w:rPr>
                <w:color w:val="000000"/>
                <w:sz w:val="20"/>
                <w:szCs w:val="20"/>
              </w:rPr>
              <w:t>4,930</w:t>
            </w:r>
          </w:p>
        </w:tc>
        <w:tc>
          <w:tcPr>
            <w:tcW w:w="1105" w:type="dxa"/>
            <w:tcBorders>
              <w:top w:val="nil"/>
              <w:left w:val="nil"/>
              <w:bottom w:val="nil"/>
              <w:right w:val="nil"/>
            </w:tcBorders>
            <w:shd w:val="clear" w:color="auto" w:fill="auto"/>
            <w:noWrap/>
            <w:vAlign w:val="center"/>
            <w:hideMark/>
          </w:tcPr>
          <w:p w14:paraId="44331228" w14:textId="77777777" w:rsidR="00251DE9" w:rsidRDefault="00251DE9">
            <w:pPr>
              <w:jc w:val="center"/>
              <w:rPr>
                <w:color w:val="000000"/>
                <w:sz w:val="20"/>
                <w:szCs w:val="20"/>
              </w:rPr>
            </w:pPr>
            <w:r>
              <w:rPr>
                <w:color w:val="000000"/>
                <w:sz w:val="20"/>
                <w:szCs w:val="20"/>
              </w:rPr>
              <w:t>1,201</w:t>
            </w:r>
          </w:p>
        </w:tc>
        <w:tc>
          <w:tcPr>
            <w:tcW w:w="1105" w:type="dxa"/>
            <w:tcBorders>
              <w:top w:val="nil"/>
              <w:left w:val="nil"/>
              <w:bottom w:val="nil"/>
              <w:right w:val="nil"/>
            </w:tcBorders>
            <w:shd w:val="clear" w:color="auto" w:fill="auto"/>
            <w:noWrap/>
            <w:vAlign w:val="center"/>
            <w:hideMark/>
          </w:tcPr>
          <w:p w14:paraId="764C5B79" w14:textId="77777777" w:rsidR="00251DE9" w:rsidRDefault="00251DE9">
            <w:pPr>
              <w:jc w:val="center"/>
              <w:rPr>
                <w:color w:val="000000"/>
                <w:sz w:val="20"/>
                <w:szCs w:val="20"/>
              </w:rPr>
            </w:pPr>
            <w:r>
              <w:rPr>
                <w:color w:val="000000"/>
                <w:sz w:val="20"/>
                <w:szCs w:val="20"/>
              </w:rPr>
              <w:t>2,011</w:t>
            </w:r>
          </w:p>
        </w:tc>
        <w:tc>
          <w:tcPr>
            <w:tcW w:w="1105" w:type="dxa"/>
            <w:tcBorders>
              <w:top w:val="nil"/>
              <w:left w:val="nil"/>
              <w:bottom w:val="nil"/>
              <w:right w:val="nil"/>
            </w:tcBorders>
            <w:shd w:val="clear" w:color="auto" w:fill="auto"/>
            <w:noWrap/>
            <w:vAlign w:val="center"/>
            <w:hideMark/>
          </w:tcPr>
          <w:p w14:paraId="6A5E3414" w14:textId="77777777" w:rsidR="00251DE9" w:rsidRDefault="00251DE9">
            <w:pPr>
              <w:jc w:val="center"/>
              <w:rPr>
                <w:color w:val="000000"/>
                <w:sz w:val="20"/>
                <w:szCs w:val="20"/>
              </w:rPr>
            </w:pPr>
            <w:r>
              <w:rPr>
                <w:color w:val="000000"/>
                <w:sz w:val="20"/>
                <w:szCs w:val="20"/>
              </w:rPr>
              <w:t>1,720</w:t>
            </w:r>
          </w:p>
        </w:tc>
        <w:tc>
          <w:tcPr>
            <w:tcW w:w="816" w:type="dxa"/>
            <w:tcBorders>
              <w:top w:val="nil"/>
              <w:left w:val="nil"/>
              <w:bottom w:val="nil"/>
              <w:right w:val="nil"/>
            </w:tcBorders>
            <w:shd w:val="clear" w:color="auto" w:fill="auto"/>
            <w:noWrap/>
            <w:vAlign w:val="center"/>
            <w:hideMark/>
          </w:tcPr>
          <w:p w14:paraId="3B00DEAC" w14:textId="77777777" w:rsidR="00251DE9" w:rsidRDefault="00251DE9">
            <w:pPr>
              <w:jc w:val="center"/>
              <w:rPr>
                <w:color w:val="000000"/>
                <w:sz w:val="20"/>
                <w:szCs w:val="20"/>
              </w:rPr>
            </w:pPr>
            <w:r>
              <w:rPr>
                <w:color w:val="000000"/>
                <w:sz w:val="20"/>
                <w:szCs w:val="20"/>
              </w:rPr>
              <w:t>4,761</w:t>
            </w:r>
          </w:p>
        </w:tc>
        <w:tc>
          <w:tcPr>
            <w:tcW w:w="1105" w:type="dxa"/>
            <w:tcBorders>
              <w:top w:val="nil"/>
              <w:left w:val="nil"/>
              <w:bottom w:val="nil"/>
              <w:right w:val="nil"/>
            </w:tcBorders>
            <w:shd w:val="clear" w:color="auto" w:fill="auto"/>
            <w:noWrap/>
            <w:vAlign w:val="center"/>
            <w:hideMark/>
          </w:tcPr>
          <w:p w14:paraId="2B6B4C8B" w14:textId="77777777" w:rsidR="00251DE9" w:rsidRDefault="00251DE9">
            <w:pPr>
              <w:jc w:val="center"/>
              <w:rPr>
                <w:color w:val="000000"/>
                <w:sz w:val="20"/>
                <w:szCs w:val="20"/>
              </w:rPr>
            </w:pPr>
            <w:r>
              <w:rPr>
                <w:color w:val="000000"/>
                <w:sz w:val="20"/>
                <w:szCs w:val="20"/>
              </w:rPr>
              <w:t>1,161</w:t>
            </w:r>
          </w:p>
        </w:tc>
        <w:tc>
          <w:tcPr>
            <w:tcW w:w="1105" w:type="dxa"/>
            <w:tcBorders>
              <w:top w:val="nil"/>
              <w:left w:val="nil"/>
              <w:bottom w:val="nil"/>
              <w:right w:val="nil"/>
            </w:tcBorders>
            <w:shd w:val="clear" w:color="auto" w:fill="auto"/>
            <w:noWrap/>
            <w:vAlign w:val="center"/>
            <w:hideMark/>
          </w:tcPr>
          <w:p w14:paraId="4E644517" w14:textId="77777777" w:rsidR="00251DE9" w:rsidRDefault="00251DE9">
            <w:pPr>
              <w:jc w:val="center"/>
              <w:rPr>
                <w:color w:val="000000"/>
                <w:sz w:val="20"/>
                <w:szCs w:val="20"/>
              </w:rPr>
            </w:pPr>
            <w:r>
              <w:rPr>
                <w:color w:val="000000"/>
                <w:sz w:val="20"/>
                <w:szCs w:val="20"/>
              </w:rPr>
              <w:t>1,959</w:t>
            </w:r>
          </w:p>
        </w:tc>
        <w:tc>
          <w:tcPr>
            <w:tcW w:w="1105" w:type="dxa"/>
            <w:tcBorders>
              <w:top w:val="nil"/>
              <w:left w:val="nil"/>
              <w:bottom w:val="nil"/>
              <w:right w:val="nil"/>
            </w:tcBorders>
            <w:shd w:val="clear" w:color="auto" w:fill="auto"/>
            <w:noWrap/>
            <w:vAlign w:val="center"/>
            <w:hideMark/>
          </w:tcPr>
          <w:p w14:paraId="77BB5FF7" w14:textId="77777777" w:rsidR="00251DE9" w:rsidRDefault="00251DE9">
            <w:pPr>
              <w:jc w:val="center"/>
              <w:rPr>
                <w:color w:val="000000"/>
                <w:sz w:val="20"/>
                <w:szCs w:val="20"/>
              </w:rPr>
            </w:pPr>
            <w:r>
              <w:rPr>
                <w:color w:val="000000"/>
                <w:sz w:val="20"/>
                <w:szCs w:val="20"/>
              </w:rPr>
              <w:t>1,643</w:t>
            </w:r>
          </w:p>
        </w:tc>
      </w:tr>
      <w:tr w:rsidR="00251DE9" w14:paraId="484CAECB" w14:textId="77777777" w:rsidTr="00C15130">
        <w:trPr>
          <w:trHeight w:val="297"/>
        </w:trPr>
        <w:tc>
          <w:tcPr>
            <w:tcW w:w="2116" w:type="dxa"/>
            <w:tcBorders>
              <w:top w:val="nil"/>
              <w:left w:val="nil"/>
              <w:bottom w:val="nil"/>
              <w:right w:val="nil"/>
            </w:tcBorders>
            <w:shd w:val="clear" w:color="auto" w:fill="auto"/>
            <w:noWrap/>
            <w:vAlign w:val="center"/>
            <w:hideMark/>
          </w:tcPr>
          <w:p w14:paraId="1E39F12A" w14:textId="77777777" w:rsidR="00251DE9" w:rsidRDefault="00251DE9">
            <w:pPr>
              <w:rPr>
                <w:color w:val="000000"/>
                <w:sz w:val="20"/>
                <w:szCs w:val="20"/>
              </w:rPr>
            </w:pPr>
            <w:r>
              <w:rPr>
                <w:color w:val="000000"/>
                <w:sz w:val="20"/>
                <w:szCs w:val="20"/>
              </w:rPr>
              <w:t>Controls</w:t>
            </w:r>
          </w:p>
        </w:tc>
        <w:tc>
          <w:tcPr>
            <w:tcW w:w="816" w:type="dxa"/>
            <w:tcBorders>
              <w:top w:val="nil"/>
              <w:left w:val="nil"/>
              <w:bottom w:val="nil"/>
              <w:right w:val="nil"/>
            </w:tcBorders>
            <w:shd w:val="clear" w:color="auto" w:fill="auto"/>
            <w:noWrap/>
            <w:vAlign w:val="center"/>
            <w:hideMark/>
          </w:tcPr>
          <w:p w14:paraId="2FE594F3"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15900D11"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5251F009"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2C725F37" w14:textId="77777777" w:rsidR="00251DE9" w:rsidRDefault="00251DE9">
            <w:pPr>
              <w:jc w:val="center"/>
              <w:rPr>
                <w:color w:val="000000"/>
                <w:sz w:val="20"/>
                <w:szCs w:val="20"/>
              </w:rPr>
            </w:pPr>
            <w:r>
              <w:rPr>
                <w:color w:val="000000"/>
                <w:sz w:val="20"/>
                <w:szCs w:val="20"/>
              </w:rPr>
              <w:t>YES</w:t>
            </w:r>
          </w:p>
        </w:tc>
        <w:tc>
          <w:tcPr>
            <w:tcW w:w="816" w:type="dxa"/>
            <w:tcBorders>
              <w:top w:val="nil"/>
              <w:left w:val="nil"/>
              <w:bottom w:val="nil"/>
              <w:right w:val="nil"/>
            </w:tcBorders>
            <w:shd w:val="clear" w:color="auto" w:fill="auto"/>
            <w:noWrap/>
            <w:vAlign w:val="center"/>
            <w:hideMark/>
          </w:tcPr>
          <w:p w14:paraId="3ABB8192"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4666878B"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666AC09A"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286BBD5F" w14:textId="77777777" w:rsidR="00251DE9" w:rsidRDefault="00251DE9">
            <w:pPr>
              <w:jc w:val="center"/>
              <w:rPr>
                <w:color w:val="000000"/>
                <w:sz w:val="20"/>
                <w:szCs w:val="20"/>
              </w:rPr>
            </w:pPr>
            <w:r>
              <w:rPr>
                <w:color w:val="000000"/>
                <w:sz w:val="20"/>
                <w:szCs w:val="20"/>
              </w:rPr>
              <w:t>YES</w:t>
            </w:r>
          </w:p>
        </w:tc>
      </w:tr>
      <w:tr w:rsidR="00251DE9" w14:paraId="6822C848" w14:textId="77777777" w:rsidTr="00C15130">
        <w:trPr>
          <w:trHeight w:val="122"/>
        </w:trPr>
        <w:tc>
          <w:tcPr>
            <w:tcW w:w="2116" w:type="dxa"/>
            <w:tcBorders>
              <w:top w:val="nil"/>
              <w:left w:val="nil"/>
              <w:bottom w:val="nil"/>
              <w:right w:val="nil"/>
            </w:tcBorders>
            <w:shd w:val="clear" w:color="auto" w:fill="auto"/>
            <w:noWrap/>
            <w:vAlign w:val="center"/>
            <w:hideMark/>
          </w:tcPr>
          <w:p w14:paraId="40DA6DF3" w14:textId="77777777" w:rsidR="00251DE9" w:rsidRDefault="00251DE9">
            <w:pPr>
              <w:rPr>
                <w:color w:val="000000"/>
                <w:sz w:val="20"/>
                <w:szCs w:val="20"/>
              </w:rPr>
            </w:pPr>
            <w:r>
              <w:rPr>
                <w:color w:val="000000"/>
                <w:sz w:val="20"/>
                <w:szCs w:val="20"/>
              </w:rPr>
              <w:t>Region FE</w:t>
            </w:r>
          </w:p>
        </w:tc>
        <w:tc>
          <w:tcPr>
            <w:tcW w:w="816" w:type="dxa"/>
            <w:tcBorders>
              <w:top w:val="nil"/>
              <w:left w:val="nil"/>
              <w:bottom w:val="nil"/>
              <w:right w:val="nil"/>
            </w:tcBorders>
            <w:shd w:val="clear" w:color="auto" w:fill="auto"/>
            <w:noWrap/>
            <w:vAlign w:val="center"/>
            <w:hideMark/>
          </w:tcPr>
          <w:p w14:paraId="16B8D2B4"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4B780B8C"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575FD0A0"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11D37101" w14:textId="77777777" w:rsidR="00251DE9" w:rsidRDefault="00251DE9">
            <w:pPr>
              <w:jc w:val="center"/>
              <w:rPr>
                <w:color w:val="000000"/>
                <w:sz w:val="20"/>
                <w:szCs w:val="20"/>
              </w:rPr>
            </w:pPr>
            <w:r>
              <w:rPr>
                <w:color w:val="000000"/>
                <w:sz w:val="20"/>
                <w:szCs w:val="20"/>
              </w:rPr>
              <w:t>YES</w:t>
            </w:r>
          </w:p>
        </w:tc>
        <w:tc>
          <w:tcPr>
            <w:tcW w:w="816" w:type="dxa"/>
            <w:tcBorders>
              <w:top w:val="nil"/>
              <w:left w:val="nil"/>
              <w:bottom w:val="nil"/>
              <w:right w:val="nil"/>
            </w:tcBorders>
            <w:shd w:val="clear" w:color="auto" w:fill="auto"/>
            <w:noWrap/>
            <w:vAlign w:val="center"/>
            <w:hideMark/>
          </w:tcPr>
          <w:p w14:paraId="77A2F5E6"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41C05DC8"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0BDAAAC9" w14:textId="77777777" w:rsidR="00251DE9" w:rsidRDefault="00251DE9">
            <w:pPr>
              <w:jc w:val="center"/>
              <w:rPr>
                <w:color w:val="000000"/>
                <w:sz w:val="20"/>
                <w:szCs w:val="20"/>
              </w:rPr>
            </w:pPr>
            <w:r>
              <w:rPr>
                <w:color w:val="000000"/>
                <w:sz w:val="20"/>
                <w:szCs w:val="20"/>
              </w:rPr>
              <w:t>YES</w:t>
            </w:r>
          </w:p>
        </w:tc>
        <w:tc>
          <w:tcPr>
            <w:tcW w:w="1105" w:type="dxa"/>
            <w:tcBorders>
              <w:top w:val="nil"/>
              <w:left w:val="nil"/>
              <w:bottom w:val="nil"/>
              <w:right w:val="nil"/>
            </w:tcBorders>
            <w:shd w:val="clear" w:color="auto" w:fill="auto"/>
            <w:noWrap/>
            <w:vAlign w:val="center"/>
            <w:hideMark/>
          </w:tcPr>
          <w:p w14:paraId="5ED68E6D" w14:textId="77777777" w:rsidR="00251DE9" w:rsidRDefault="00251DE9">
            <w:pPr>
              <w:jc w:val="center"/>
              <w:rPr>
                <w:color w:val="000000"/>
                <w:sz w:val="20"/>
                <w:szCs w:val="20"/>
              </w:rPr>
            </w:pPr>
            <w:r>
              <w:rPr>
                <w:color w:val="000000"/>
                <w:sz w:val="20"/>
                <w:szCs w:val="20"/>
              </w:rPr>
              <w:t>YES</w:t>
            </w:r>
          </w:p>
        </w:tc>
      </w:tr>
      <w:tr w:rsidR="00251DE9" w14:paraId="12EAD134" w14:textId="77777777" w:rsidTr="00C15130">
        <w:trPr>
          <w:trHeight w:val="318"/>
        </w:trPr>
        <w:tc>
          <w:tcPr>
            <w:tcW w:w="2116" w:type="dxa"/>
            <w:tcBorders>
              <w:top w:val="nil"/>
              <w:left w:val="nil"/>
              <w:bottom w:val="single" w:sz="8" w:space="0" w:color="auto"/>
              <w:right w:val="nil"/>
            </w:tcBorders>
            <w:shd w:val="clear" w:color="auto" w:fill="auto"/>
            <w:noWrap/>
            <w:vAlign w:val="center"/>
            <w:hideMark/>
          </w:tcPr>
          <w:p w14:paraId="196A6673" w14:textId="77777777" w:rsidR="00251DE9" w:rsidRDefault="00251DE9" w:rsidP="00C6610A">
            <w:pPr>
              <w:rPr>
                <w:color w:val="000000"/>
                <w:sz w:val="20"/>
                <w:szCs w:val="20"/>
              </w:rPr>
            </w:pPr>
            <w:r>
              <w:rPr>
                <w:color w:val="000000"/>
                <w:sz w:val="20"/>
                <w:szCs w:val="20"/>
              </w:rPr>
              <w:t>Time FE</w:t>
            </w:r>
          </w:p>
        </w:tc>
        <w:tc>
          <w:tcPr>
            <w:tcW w:w="816" w:type="dxa"/>
            <w:tcBorders>
              <w:top w:val="nil"/>
              <w:left w:val="nil"/>
              <w:bottom w:val="single" w:sz="8" w:space="0" w:color="000000"/>
              <w:right w:val="nil"/>
            </w:tcBorders>
            <w:shd w:val="clear" w:color="auto" w:fill="auto"/>
            <w:noWrap/>
            <w:vAlign w:val="center"/>
            <w:hideMark/>
          </w:tcPr>
          <w:p w14:paraId="21E8F9A9"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01BE7E7F"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04078729"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2FD8EC24" w14:textId="77777777" w:rsidR="00251DE9" w:rsidRDefault="00251DE9" w:rsidP="00C6610A">
            <w:pPr>
              <w:jc w:val="center"/>
              <w:rPr>
                <w:color w:val="000000"/>
                <w:sz w:val="20"/>
                <w:szCs w:val="20"/>
              </w:rPr>
            </w:pPr>
            <w:r>
              <w:rPr>
                <w:color w:val="000000"/>
                <w:sz w:val="20"/>
                <w:szCs w:val="20"/>
              </w:rPr>
              <w:t>YES</w:t>
            </w:r>
          </w:p>
        </w:tc>
        <w:tc>
          <w:tcPr>
            <w:tcW w:w="816" w:type="dxa"/>
            <w:tcBorders>
              <w:top w:val="nil"/>
              <w:left w:val="nil"/>
              <w:bottom w:val="single" w:sz="8" w:space="0" w:color="000000"/>
              <w:right w:val="nil"/>
            </w:tcBorders>
            <w:shd w:val="clear" w:color="auto" w:fill="auto"/>
            <w:noWrap/>
            <w:vAlign w:val="center"/>
            <w:hideMark/>
          </w:tcPr>
          <w:p w14:paraId="2FE7ED0C"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6F7DB6FE"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44E2175C" w14:textId="77777777" w:rsidR="00251DE9" w:rsidRDefault="00251DE9" w:rsidP="00C6610A">
            <w:pPr>
              <w:jc w:val="center"/>
              <w:rPr>
                <w:color w:val="000000"/>
                <w:sz w:val="20"/>
                <w:szCs w:val="20"/>
              </w:rPr>
            </w:pPr>
            <w:r>
              <w:rPr>
                <w:color w:val="000000"/>
                <w:sz w:val="20"/>
                <w:szCs w:val="20"/>
              </w:rPr>
              <w:t>YES</w:t>
            </w:r>
          </w:p>
        </w:tc>
        <w:tc>
          <w:tcPr>
            <w:tcW w:w="1105" w:type="dxa"/>
            <w:tcBorders>
              <w:top w:val="nil"/>
              <w:left w:val="nil"/>
              <w:bottom w:val="single" w:sz="8" w:space="0" w:color="000000"/>
              <w:right w:val="nil"/>
            </w:tcBorders>
            <w:shd w:val="clear" w:color="auto" w:fill="auto"/>
            <w:noWrap/>
            <w:vAlign w:val="center"/>
            <w:hideMark/>
          </w:tcPr>
          <w:p w14:paraId="30A70801" w14:textId="77777777" w:rsidR="00251DE9" w:rsidRDefault="00251DE9" w:rsidP="00C6610A">
            <w:pPr>
              <w:jc w:val="center"/>
              <w:rPr>
                <w:color w:val="000000"/>
                <w:sz w:val="20"/>
                <w:szCs w:val="20"/>
              </w:rPr>
            </w:pPr>
            <w:r>
              <w:rPr>
                <w:color w:val="000000"/>
                <w:sz w:val="20"/>
                <w:szCs w:val="20"/>
              </w:rPr>
              <w:t>YES</w:t>
            </w:r>
          </w:p>
        </w:tc>
      </w:tr>
    </w:tbl>
    <w:p w14:paraId="7DF8EBE8" w14:textId="77777777" w:rsidR="0057577C" w:rsidRPr="0057577C" w:rsidRDefault="0057577C" w:rsidP="00C6610A">
      <w:pPr>
        <w:rPr>
          <w:lang w:eastAsia="en-GB"/>
        </w:rPr>
      </w:pPr>
    </w:p>
    <w:p w14:paraId="0F330AFA" w14:textId="56BDB5A6" w:rsidR="00554798" w:rsidRPr="00BE4D96" w:rsidRDefault="00554798" w:rsidP="00C6610A">
      <w:pPr>
        <w:jc w:val="both"/>
        <w:rPr>
          <w:sz w:val="20"/>
          <w:szCs w:val="20"/>
        </w:rPr>
      </w:pPr>
      <w:r w:rsidRPr="00BE4D96">
        <w:rPr>
          <w:sz w:val="20"/>
          <w:szCs w:val="20"/>
        </w:rPr>
        <w:t xml:space="preserve">Notes: </w:t>
      </w:r>
      <w:r>
        <w:rPr>
          <w:sz w:val="20"/>
          <w:szCs w:val="20"/>
        </w:rPr>
        <w:t>OLS coefficient estimates are reported, with robust standard errors in parentheses. Standard errors are clustered at the individual-level. The BHPS data set from 1991 to 2008 is restricted to “Ever smokers” that are individuals who have been a smoker in at least one year of the survey. Smoker is a dummy that equals 1 if individual i in region r is a smoker at time t. All Big Five personality variables are standardized with a mean of 0 and a standard deviation of 1. Ban*</w:t>
      </w:r>
      <w:r w:rsidR="00EF0144">
        <w:rPr>
          <w:sz w:val="20"/>
          <w:szCs w:val="20"/>
        </w:rPr>
        <w:t xml:space="preserve">(Conscientiousness/Neuroticism/Extraversion/Agreeableness/Open) </w:t>
      </w:r>
      <w:r w:rsidRPr="007850C3">
        <w:rPr>
          <w:sz w:val="20"/>
          <w:szCs w:val="20"/>
        </w:rPr>
        <w:t xml:space="preserve">is an interaction of a dummy variable ban and </w:t>
      </w:r>
      <w:r w:rsidR="00EF0144">
        <w:rPr>
          <w:sz w:val="20"/>
          <w:szCs w:val="20"/>
        </w:rPr>
        <w:t>the respective</w:t>
      </w:r>
      <w:r w:rsidRPr="007850C3">
        <w:rPr>
          <w:sz w:val="20"/>
          <w:szCs w:val="20"/>
        </w:rPr>
        <w:t xml:space="preserve"> standardised </w:t>
      </w:r>
      <w:r w:rsidR="00EF0144">
        <w:rPr>
          <w:sz w:val="20"/>
          <w:szCs w:val="20"/>
        </w:rPr>
        <w:t xml:space="preserve">Big Five personality </w:t>
      </w:r>
      <w:r w:rsidRPr="007850C3">
        <w:rPr>
          <w:sz w:val="20"/>
          <w:szCs w:val="20"/>
        </w:rPr>
        <w:t>variable</w:t>
      </w:r>
      <w:r>
        <w:rPr>
          <w:sz w:val="20"/>
          <w:szCs w:val="20"/>
        </w:rPr>
        <w:t>. Ban equals one if an individual is affected by the ban depending on the time and region of interview of individual i. The ban was implemented in 04/2006 in Scotland, 04/2007 in Wales, 05/2007 in Northern Ireland and 07/2007 in England.</w:t>
      </w:r>
      <w:r w:rsidRPr="007850C3">
        <w:rPr>
          <w:sz w:val="20"/>
          <w:szCs w:val="20"/>
        </w:rPr>
        <w:t xml:space="preserve"> </w:t>
      </w:r>
      <w:r>
        <w:rPr>
          <w:sz w:val="20"/>
          <w:szCs w:val="20"/>
        </w:rPr>
        <w:t>Control variables include age, age squared, sex, marital status, educational degree, household income, number of children in the household, employment status and immigrant status as well as time and region fixed effects. The Hooked generation is defined as being born before 1950, the Middle Generation is born between 1950 and 1971 and the Informed Generation is defined as being born after 1971.</w:t>
      </w:r>
    </w:p>
    <w:p w14:paraId="680F19B3" w14:textId="77777777" w:rsidR="00C6610A" w:rsidRDefault="00C6610A" w:rsidP="003C20E0">
      <w:pPr>
        <w:spacing w:line="360" w:lineRule="auto"/>
        <w:jc w:val="both"/>
        <w:sectPr w:rsidR="00C6610A" w:rsidSect="00C15130">
          <w:pgSz w:w="16838" w:h="11906" w:orient="landscape" w:code="9"/>
          <w:pgMar w:top="1701" w:right="1701" w:bottom="1701" w:left="1701" w:header="567" w:footer="624" w:gutter="0"/>
          <w:cols w:space="708"/>
          <w:docGrid w:linePitch="360"/>
        </w:sectPr>
      </w:pPr>
    </w:p>
    <w:p w14:paraId="1C1CA3BF" w14:textId="071A4019" w:rsidR="00A1268E" w:rsidRDefault="00A1268E" w:rsidP="00C15130">
      <w:pPr>
        <w:spacing w:line="360" w:lineRule="auto"/>
        <w:ind w:firstLine="720"/>
        <w:jc w:val="both"/>
        <w:rPr>
          <w:b/>
          <w:bCs/>
        </w:rPr>
      </w:pPr>
      <w:r>
        <w:lastRenderedPageBreak/>
        <w:t xml:space="preserve">Table 3, columns (5) to (8) document the results from regressions that model </w:t>
      </w:r>
      <w:r w:rsidR="00A31717">
        <w:t xml:space="preserve">the number of cigarettes smoked by smokers. </w:t>
      </w:r>
      <w:r>
        <w:t xml:space="preserve"> </w:t>
      </w:r>
      <w:r w:rsidR="00A31717">
        <w:t>These estimates are noisier and always not significant</w:t>
      </w:r>
      <w:r w:rsidR="00C15130">
        <w:t>.</w:t>
      </w:r>
      <w:r w:rsidR="00A31717">
        <w:t xml:space="preserve"> </w:t>
      </w:r>
    </w:p>
    <w:p w14:paraId="41F26023" w14:textId="4F5785BF" w:rsidR="00A31717" w:rsidRDefault="00A31717" w:rsidP="009F1294">
      <w:pPr>
        <w:spacing w:line="360" w:lineRule="auto"/>
        <w:jc w:val="both"/>
      </w:pPr>
    </w:p>
    <w:p w14:paraId="6BB2E067" w14:textId="5D10EAF4" w:rsidR="00A31717" w:rsidRDefault="00A31717" w:rsidP="00E75B23">
      <w:pPr>
        <w:spacing w:line="360" w:lineRule="auto"/>
        <w:ind w:firstLine="720"/>
        <w:jc w:val="both"/>
      </w:pPr>
      <w:r>
        <w:t>Our measure of conscientiousness</w:t>
      </w:r>
      <w:r w:rsidR="002A0DCA">
        <w:t xml:space="preserve"> in Table </w:t>
      </w:r>
      <w:proofErr w:type="gramStart"/>
      <w:r w:rsidR="002A0DCA">
        <w:t xml:space="preserve">4 </w:t>
      </w:r>
      <w:r>
        <w:t xml:space="preserve"> is</w:t>
      </w:r>
      <w:proofErr w:type="gramEnd"/>
      <w:r>
        <w:t xml:space="preserve"> a continuous measure with 0 mean and a standard deviation of 1. It is interesting to consider what part of the distribution drives the significant effect observed </w:t>
      </w:r>
      <w:r w:rsidR="00EE5A24">
        <w:t xml:space="preserve">for the propensity to smoke in Table 4, To tease this out we replace our measure of conscientiousness with a binary variable that is assigned </w:t>
      </w:r>
      <w:r w:rsidR="004D5CE9">
        <w:t xml:space="preserve">equal to 1 if a person is conscientious, and zero otherwise. We run this model for multiple definitions of conscientiousness. Specifically, we define these </w:t>
      </w:r>
      <w:r w:rsidR="002A0DCA">
        <w:t xml:space="preserve">set of </w:t>
      </w:r>
      <w:r w:rsidR="004D5CE9">
        <w:t>variable</w:t>
      </w:r>
      <w:r w:rsidR="002A0DCA">
        <w:t>s</w:t>
      </w:r>
      <w:r w:rsidR="004D5CE9">
        <w:t xml:space="preserve"> to be equal to 1 if an individual is at the 80</w:t>
      </w:r>
      <w:r w:rsidR="004D5CE9" w:rsidRPr="00C9493F">
        <w:rPr>
          <w:vertAlign w:val="superscript"/>
        </w:rPr>
        <w:t>th</w:t>
      </w:r>
      <w:r w:rsidR="004D5CE9">
        <w:t>, 70</w:t>
      </w:r>
      <w:r w:rsidR="004D5CE9" w:rsidRPr="00C9493F">
        <w:rPr>
          <w:vertAlign w:val="superscript"/>
        </w:rPr>
        <w:t>th</w:t>
      </w:r>
      <w:r w:rsidR="004D5CE9">
        <w:t>, 60</w:t>
      </w:r>
      <w:r w:rsidR="004D5CE9" w:rsidRPr="00C9493F">
        <w:rPr>
          <w:vertAlign w:val="superscript"/>
        </w:rPr>
        <w:t>th</w:t>
      </w:r>
      <w:r w:rsidR="004D5CE9">
        <w:t>, 50</w:t>
      </w:r>
      <w:r w:rsidR="004D5CE9" w:rsidRPr="00C9493F">
        <w:rPr>
          <w:vertAlign w:val="superscript"/>
        </w:rPr>
        <w:t>t</w:t>
      </w:r>
      <w:r w:rsidR="004D5CE9">
        <w:rPr>
          <w:vertAlign w:val="superscript"/>
        </w:rPr>
        <w:t xml:space="preserve">h, </w:t>
      </w:r>
      <w:r w:rsidR="004D5CE9">
        <w:t>40</w:t>
      </w:r>
      <w:r w:rsidR="004D5CE9" w:rsidRPr="00C9493F">
        <w:rPr>
          <w:vertAlign w:val="superscript"/>
        </w:rPr>
        <w:t>th</w:t>
      </w:r>
      <w:r w:rsidR="004D5CE9">
        <w:t>, 30</w:t>
      </w:r>
      <w:r w:rsidR="004D5CE9" w:rsidRPr="00C9493F">
        <w:rPr>
          <w:vertAlign w:val="superscript"/>
        </w:rPr>
        <w:t>th</w:t>
      </w:r>
      <w:r w:rsidR="004D5CE9">
        <w:t xml:space="preserve">, </w:t>
      </w:r>
      <w:r w:rsidR="002A0DCA">
        <w:t>or</w:t>
      </w:r>
      <w:r w:rsidR="004D5CE9">
        <w:t xml:space="preserve"> 20</w:t>
      </w:r>
      <w:r w:rsidR="004D5CE9" w:rsidRPr="00C9493F">
        <w:rPr>
          <w:vertAlign w:val="superscript"/>
        </w:rPr>
        <w:t>th</w:t>
      </w:r>
      <w:r w:rsidR="004D5CE9">
        <w:t xml:space="preserve"> decile in the distribution of conscientiousness and 0 otherwise.  For regressions, where the dummy is equal to </w:t>
      </w:r>
      <w:r w:rsidR="002A0DCA">
        <w:t>1 for individuals who are in the 80</w:t>
      </w:r>
      <w:r w:rsidR="002A0DCA" w:rsidRPr="00C9493F">
        <w:rPr>
          <w:vertAlign w:val="superscript"/>
        </w:rPr>
        <w:t>th</w:t>
      </w:r>
      <w:r w:rsidR="002A0DCA">
        <w:t xml:space="preserve"> decile of conscientiousness or above, reference group is then everyone below this decile. Estimates of these regressions are illustrated in Figure </w:t>
      </w:r>
      <w:r w:rsidR="00C9493F">
        <w:t>3</w:t>
      </w:r>
      <w:r w:rsidR="00F22C3C">
        <w:t xml:space="preserve">, and we document full estimates in Appendix C Table C.1 to C.6. </w:t>
      </w:r>
      <w:r w:rsidR="002A0DCA">
        <w:t xml:space="preserve"> These estimates clearly demonstrate that support for the effects documented in Table 4 comes from the </w:t>
      </w:r>
      <w:r w:rsidR="00E75B23">
        <w:t xml:space="preserve">bottom </w:t>
      </w:r>
      <w:r w:rsidR="002A0DCA">
        <w:t>half of the conscientiousness distribution</w:t>
      </w:r>
      <w:r w:rsidR="00E75B23">
        <w:t xml:space="preserve">. For example, the biggest effects are evident when conscientiousness is defined as everyone in the 20th decile of conscientiousness or above. Notably all other effects are </w:t>
      </w:r>
      <w:proofErr w:type="gramStart"/>
      <w:r w:rsidR="00E75B23">
        <w:t>negative, but</w:t>
      </w:r>
      <w:proofErr w:type="gramEnd"/>
      <w:r w:rsidR="00E75B23">
        <w:t xml:space="preserve"> get smaller as we restrict the definition of conscientiousness to</w:t>
      </w:r>
      <w:r w:rsidR="006104CC">
        <w:t xml:space="preserve"> </w:t>
      </w:r>
      <w:r w:rsidR="00E75B23">
        <w:t>higher levels of conscientiousness, implying that those at the very end of the conscientiousness distribution were the least affected.</w:t>
      </w:r>
    </w:p>
    <w:p w14:paraId="20B76E2A" w14:textId="460B75FD" w:rsidR="002A0DCA" w:rsidRDefault="002A0DCA" w:rsidP="009F1294">
      <w:pPr>
        <w:spacing w:line="360" w:lineRule="auto"/>
        <w:jc w:val="both"/>
      </w:pPr>
    </w:p>
    <w:p w14:paraId="40BA3E3B" w14:textId="2C40F2CF" w:rsidR="002A0DCA" w:rsidRDefault="002A0DCA" w:rsidP="009F1294">
      <w:pPr>
        <w:spacing w:line="360" w:lineRule="auto"/>
        <w:jc w:val="both"/>
      </w:pPr>
    </w:p>
    <w:p w14:paraId="52AFB615" w14:textId="0266ED51" w:rsidR="002A0DCA" w:rsidRDefault="002A0DCA" w:rsidP="009F1294">
      <w:pPr>
        <w:spacing w:line="360" w:lineRule="auto"/>
        <w:jc w:val="both"/>
      </w:pPr>
    </w:p>
    <w:p w14:paraId="41AAFE70" w14:textId="57EFE980" w:rsidR="002A0DCA" w:rsidRDefault="002A0DCA" w:rsidP="009F1294">
      <w:pPr>
        <w:spacing w:line="360" w:lineRule="auto"/>
        <w:jc w:val="both"/>
      </w:pPr>
    </w:p>
    <w:p w14:paraId="29DDCA0A" w14:textId="410FFD89" w:rsidR="002A0DCA" w:rsidRDefault="002A0DCA" w:rsidP="009F1294">
      <w:pPr>
        <w:spacing w:line="360" w:lineRule="auto"/>
        <w:jc w:val="both"/>
      </w:pPr>
    </w:p>
    <w:p w14:paraId="1D7E5600" w14:textId="074A7B8F" w:rsidR="002A0DCA" w:rsidRDefault="002A0DCA" w:rsidP="009F1294">
      <w:pPr>
        <w:spacing w:line="360" w:lineRule="auto"/>
        <w:jc w:val="both"/>
      </w:pPr>
    </w:p>
    <w:p w14:paraId="4F72C602" w14:textId="01232940" w:rsidR="002A0DCA" w:rsidRDefault="002A0DCA" w:rsidP="009F1294">
      <w:pPr>
        <w:spacing w:line="360" w:lineRule="auto"/>
        <w:jc w:val="both"/>
      </w:pPr>
    </w:p>
    <w:p w14:paraId="3CF22CA7" w14:textId="728CB699" w:rsidR="002A0DCA" w:rsidRDefault="002A0DCA" w:rsidP="009F1294">
      <w:pPr>
        <w:spacing w:line="360" w:lineRule="auto"/>
        <w:jc w:val="both"/>
      </w:pPr>
    </w:p>
    <w:p w14:paraId="1B45F66F" w14:textId="660BB4B2" w:rsidR="002A0DCA" w:rsidRDefault="002A0DCA" w:rsidP="009F1294">
      <w:pPr>
        <w:spacing w:line="360" w:lineRule="auto"/>
        <w:jc w:val="both"/>
      </w:pPr>
    </w:p>
    <w:p w14:paraId="6A200F97" w14:textId="6B030884" w:rsidR="002A0DCA" w:rsidRDefault="002A0DCA" w:rsidP="009F1294">
      <w:pPr>
        <w:spacing w:line="360" w:lineRule="auto"/>
        <w:jc w:val="both"/>
      </w:pPr>
    </w:p>
    <w:p w14:paraId="6E6AA909" w14:textId="767551DF" w:rsidR="002A0DCA" w:rsidRDefault="002A0DCA" w:rsidP="009F1294">
      <w:pPr>
        <w:spacing w:line="360" w:lineRule="auto"/>
        <w:jc w:val="both"/>
      </w:pPr>
    </w:p>
    <w:p w14:paraId="0DD2D18C" w14:textId="6BBDB34F" w:rsidR="002A0DCA" w:rsidRDefault="002A0DCA" w:rsidP="009F1294">
      <w:pPr>
        <w:spacing w:line="360" w:lineRule="auto"/>
        <w:jc w:val="both"/>
      </w:pPr>
    </w:p>
    <w:p w14:paraId="6794DA87" w14:textId="54905E8F" w:rsidR="002A0DCA" w:rsidRDefault="002A0DCA" w:rsidP="009F1294">
      <w:pPr>
        <w:spacing w:line="360" w:lineRule="auto"/>
        <w:jc w:val="both"/>
      </w:pPr>
    </w:p>
    <w:p w14:paraId="2D9F9B25" w14:textId="25779960" w:rsidR="002A0DCA" w:rsidRDefault="002A0DCA" w:rsidP="009F1294">
      <w:pPr>
        <w:spacing w:line="360" w:lineRule="auto"/>
        <w:jc w:val="both"/>
      </w:pPr>
    </w:p>
    <w:p w14:paraId="7843BB88" w14:textId="44A6C079" w:rsidR="002A0DCA" w:rsidRDefault="002A0DCA" w:rsidP="009F1294">
      <w:pPr>
        <w:spacing w:line="360" w:lineRule="auto"/>
        <w:jc w:val="both"/>
      </w:pPr>
      <w:r>
        <w:t xml:space="preserve">Figure </w:t>
      </w:r>
      <w:r w:rsidR="00C9493F">
        <w:t>3</w:t>
      </w:r>
      <w:r>
        <w:t xml:space="preserve">: Regressions estimated separately by conscientiousness </w:t>
      </w:r>
      <w:r w:rsidR="00E75B23">
        <w:t>decile</w:t>
      </w:r>
      <w:r>
        <w:t xml:space="preserve">. </w:t>
      </w:r>
    </w:p>
    <w:p w14:paraId="3E284B23" w14:textId="0B8A76BF" w:rsidR="002A0DCA" w:rsidRDefault="008B7CBC" w:rsidP="009F1294">
      <w:pPr>
        <w:spacing w:line="360" w:lineRule="auto"/>
        <w:jc w:val="both"/>
      </w:pPr>
      <w:r w:rsidRPr="008B7CBC">
        <w:rPr>
          <w:noProof/>
        </w:rPr>
        <w:t xml:space="preserve"> </w:t>
      </w:r>
      <w:r w:rsidR="00380B4D" w:rsidRPr="00380B4D">
        <w:rPr>
          <w:noProof/>
        </w:rPr>
        <w:drawing>
          <wp:inline distT="0" distB="0" distL="0" distR="0" wp14:anchorId="1A80724C" wp14:editId="5DFDA1A8">
            <wp:extent cx="5400040" cy="35217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521710"/>
                    </a:xfrm>
                    <a:prstGeom prst="rect">
                      <a:avLst/>
                    </a:prstGeom>
                  </pic:spPr>
                </pic:pic>
              </a:graphicData>
            </a:graphic>
          </wp:inline>
        </w:drawing>
      </w:r>
    </w:p>
    <w:p w14:paraId="6BCDB098" w14:textId="77777777" w:rsidR="00A31717" w:rsidRDefault="00A31717" w:rsidP="009F1294">
      <w:pPr>
        <w:spacing w:line="360" w:lineRule="auto"/>
        <w:jc w:val="both"/>
      </w:pPr>
    </w:p>
    <w:p w14:paraId="025186CA" w14:textId="7A446950" w:rsidR="00733A80" w:rsidRDefault="007E7CFD" w:rsidP="00E75B23">
      <w:pPr>
        <w:spacing w:line="360" w:lineRule="auto"/>
        <w:ind w:firstLine="720"/>
        <w:jc w:val="both"/>
      </w:pPr>
      <w:r>
        <w:fldChar w:fldCharType="begin"/>
      </w:r>
      <w:r>
        <w:instrText xml:space="preserve"> REF _Ref24387618 </w:instrText>
      </w:r>
      <w:r>
        <w:fldChar w:fldCharType="separate"/>
      </w:r>
      <w:r w:rsidR="00904D86" w:rsidRPr="00904D86">
        <w:t xml:space="preserve">Table </w:t>
      </w:r>
      <w:r w:rsidR="00904D86" w:rsidRPr="00904D86">
        <w:rPr>
          <w:noProof/>
        </w:rPr>
        <w:t>4</w:t>
      </w:r>
      <w:r>
        <w:rPr>
          <w:noProof/>
        </w:rPr>
        <w:fldChar w:fldCharType="end"/>
      </w:r>
      <w:r w:rsidR="00904D86">
        <w:t xml:space="preserve"> </w:t>
      </w:r>
      <w:r w:rsidR="00FB69F5">
        <w:t xml:space="preserve">presents </w:t>
      </w:r>
      <w:r w:rsidR="006104CC">
        <w:t xml:space="preserve">additional </w:t>
      </w:r>
      <w:r w:rsidR="00FB69F5">
        <w:t>robustness analys</w:t>
      </w:r>
      <w:r w:rsidR="004C717B">
        <w:t>es</w:t>
      </w:r>
      <w:r w:rsidR="00FB69F5">
        <w:t xml:space="preserve">. </w:t>
      </w:r>
      <w:r w:rsidR="004C717B">
        <w:t>We begin with restricting the analys</w:t>
      </w:r>
      <w:r w:rsidR="00AE5BF2">
        <w:t>is</w:t>
      </w:r>
      <w:r w:rsidR="004C717B">
        <w:t xml:space="preserve"> to</w:t>
      </w:r>
      <w:r w:rsidR="00014F5A">
        <w:t xml:space="preserve"> a time </w:t>
      </w:r>
      <w:r w:rsidR="00AE5BF2">
        <w:t>to the following time period:</w:t>
      </w:r>
      <w:r w:rsidR="00276E6D">
        <w:t xml:space="preserve"> 2005 to 2008</w:t>
      </w:r>
      <w:r w:rsidR="00FB69F5">
        <w:t xml:space="preserve">. </w:t>
      </w:r>
      <w:r w:rsidR="00AE5BF2">
        <w:t xml:space="preserve"> </w:t>
      </w:r>
      <w:r w:rsidR="00FB69F5">
        <w:t>Given that no other policies were implemented in this window this allows for more confidence that the e</w:t>
      </w:r>
      <w:r w:rsidR="00E703D9">
        <w:t>stimates are not driven by</w:t>
      </w:r>
      <w:r w:rsidR="00276E6D">
        <w:t xml:space="preserve"> </w:t>
      </w:r>
      <w:r w:rsidR="00C3714A">
        <w:t>other</w:t>
      </w:r>
      <w:r w:rsidR="00276E6D">
        <w:t xml:space="preserve"> anti-smoke interventions.</w:t>
      </w:r>
      <w:r w:rsidR="00F435F8">
        <w:t xml:space="preserve"> </w:t>
      </w:r>
      <w:r w:rsidR="00FB69F5">
        <w:t>I</w:t>
      </w:r>
      <w:r w:rsidR="00F435F8">
        <w:t xml:space="preserve">t </w:t>
      </w:r>
      <w:r w:rsidR="00FB69F5">
        <w:t>is also</w:t>
      </w:r>
      <w:r w:rsidR="00F435F8">
        <w:t xml:space="preserve"> </w:t>
      </w:r>
      <w:r w:rsidR="00FB69F5">
        <w:t xml:space="preserve">more reasonable to assume that </w:t>
      </w:r>
      <w:r w:rsidR="00596E42">
        <w:t xml:space="preserve">regional </w:t>
      </w:r>
      <w:r w:rsidR="00F435F8">
        <w:t>differences in attitudes towards smoking remain fixed over the sample period.</w:t>
      </w:r>
      <w:r w:rsidR="00014F5A">
        <w:t xml:space="preserve"> Using 2005 as </w:t>
      </w:r>
      <w:r w:rsidR="00AE5BF2">
        <w:t xml:space="preserve">a </w:t>
      </w:r>
      <w:r w:rsidR="00014F5A">
        <w:t xml:space="preserve">start date </w:t>
      </w:r>
      <w:r w:rsidR="00AE5BF2">
        <w:t>for</w:t>
      </w:r>
      <w:r w:rsidR="00014F5A">
        <w:t xml:space="preserve"> the analysis also </w:t>
      </w:r>
      <w:r w:rsidR="00AE5BF2">
        <w:t>relaxes the assumption that</w:t>
      </w:r>
      <w:r w:rsidR="00014F5A">
        <w:t xml:space="preserve"> personality </w:t>
      </w:r>
      <w:r w:rsidR="00AE5BF2">
        <w:t>is fixed</w:t>
      </w:r>
      <w:r w:rsidR="00014F5A">
        <w:t xml:space="preserve"> over </w:t>
      </w:r>
      <w:r w:rsidR="00AE5BF2">
        <w:t>a</w:t>
      </w:r>
      <w:r w:rsidR="00014F5A">
        <w:t xml:space="preserve"> long</w:t>
      </w:r>
      <w:r w:rsidR="00AE5BF2">
        <w:t xml:space="preserve"> period. </w:t>
      </w:r>
      <w:r w:rsidR="003526BB">
        <w:t xml:space="preserve"> </w:t>
      </w:r>
      <w:r w:rsidR="00AE5BF2">
        <w:t>G</w:t>
      </w:r>
      <w:r w:rsidR="003526BB">
        <w:t>iven that p</w:t>
      </w:r>
      <w:r w:rsidR="00596E42">
        <w:t>ersonality traits were recorded</w:t>
      </w:r>
      <w:r w:rsidR="0066725F">
        <w:t xml:space="preserve"> </w:t>
      </w:r>
      <w:r w:rsidR="00C3714A">
        <w:t>in 2005</w:t>
      </w:r>
      <w:r w:rsidR="00AE5BF2">
        <w:t>, it is reasonable to assume for the average person that they are fixed over a three</w:t>
      </w:r>
      <w:r w:rsidR="00D8362B">
        <w:t>-</w:t>
      </w:r>
      <w:r w:rsidR="00AE5BF2">
        <w:t xml:space="preserve">year period. </w:t>
      </w:r>
      <w:r w:rsidR="003526BB">
        <w:t xml:space="preserve"> </w:t>
      </w:r>
      <w:r w:rsidR="00D8362B">
        <w:t>Notably, s</w:t>
      </w:r>
      <w:r w:rsidR="009B3F4C">
        <w:t xml:space="preserve">pecification </w:t>
      </w:r>
      <w:r w:rsidR="00C3714A">
        <w:t>(</w:t>
      </w:r>
      <w:r w:rsidR="00BC16C0">
        <w:t>1</w:t>
      </w:r>
      <w:r w:rsidR="00C3714A">
        <w:t>) in</w:t>
      </w:r>
      <w:r w:rsidR="00904D86">
        <w:t xml:space="preserve"> </w:t>
      </w:r>
      <w:r>
        <w:fldChar w:fldCharType="begin"/>
      </w:r>
      <w:r>
        <w:instrText xml:space="preserve"> REF _Ref24387618 </w:instrText>
      </w:r>
      <w:r>
        <w:fldChar w:fldCharType="separate"/>
      </w:r>
      <w:r w:rsidR="00904D86" w:rsidRPr="00904D86">
        <w:t xml:space="preserve">Table </w:t>
      </w:r>
      <w:r w:rsidR="00904D86" w:rsidRPr="00904D86">
        <w:rPr>
          <w:noProof/>
        </w:rPr>
        <w:t>4</w:t>
      </w:r>
      <w:r>
        <w:rPr>
          <w:noProof/>
        </w:rPr>
        <w:fldChar w:fldCharType="end"/>
      </w:r>
      <w:r w:rsidR="00C3714A">
        <w:t xml:space="preserve"> </w:t>
      </w:r>
      <w:r w:rsidR="00D8362B">
        <w:t>confirms</w:t>
      </w:r>
      <w:r w:rsidR="00C3714A">
        <w:t xml:space="preserve"> that </w:t>
      </w:r>
      <w:r w:rsidR="00733A80">
        <w:t xml:space="preserve">the coefficient remains </w:t>
      </w:r>
      <w:r w:rsidR="00D8362B">
        <w:t xml:space="preserve">stable when this change is considered. </w:t>
      </w:r>
      <w:r w:rsidR="00733A80">
        <w:t xml:space="preserve"> </w:t>
      </w:r>
    </w:p>
    <w:p w14:paraId="04B2E7C8" w14:textId="442BDE02" w:rsidR="00390007" w:rsidRDefault="00390007" w:rsidP="00390007">
      <w:pPr>
        <w:spacing w:line="360" w:lineRule="auto"/>
      </w:pPr>
    </w:p>
    <w:p w14:paraId="61F0CBBD" w14:textId="42B55BC6" w:rsidR="0050385D" w:rsidRDefault="0050385D" w:rsidP="00390007">
      <w:pPr>
        <w:spacing w:line="360" w:lineRule="auto"/>
      </w:pPr>
    </w:p>
    <w:p w14:paraId="428E88C8" w14:textId="77777777" w:rsidR="0050385D" w:rsidRDefault="0050385D" w:rsidP="00390007">
      <w:pPr>
        <w:spacing w:line="360" w:lineRule="auto"/>
      </w:pPr>
    </w:p>
    <w:p w14:paraId="1669B58F" w14:textId="3F31FF73" w:rsidR="00904D86" w:rsidRPr="007A7E03" w:rsidRDefault="00904D86" w:rsidP="00C9493F">
      <w:pPr>
        <w:pStyle w:val="Caption"/>
        <w:keepNext/>
      </w:pPr>
      <w:bookmarkStart w:id="5" w:name="_Ref24387618"/>
      <w:r w:rsidRPr="007A7E03">
        <w:rPr>
          <w:sz w:val="24"/>
          <w:szCs w:val="24"/>
        </w:rPr>
        <w:lastRenderedPageBreak/>
        <w:t xml:space="preserve">Table </w:t>
      </w:r>
      <w:r w:rsidRPr="007A7E03">
        <w:rPr>
          <w:sz w:val="24"/>
          <w:szCs w:val="24"/>
        </w:rPr>
        <w:fldChar w:fldCharType="begin"/>
      </w:r>
      <w:r w:rsidRPr="007A7E03">
        <w:rPr>
          <w:sz w:val="24"/>
          <w:szCs w:val="24"/>
        </w:rPr>
        <w:instrText xml:space="preserve"> SEQ Table \* ARABIC</w:instrText>
      </w:r>
      <w:r w:rsidRPr="00E75B23">
        <w:rPr>
          <w:sz w:val="24"/>
          <w:szCs w:val="24"/>
        </w:rPr>
        <w:instrText xml:space="preserve"> </w:instrText>
      </w:r>
      <w:r w:rsidRPr="007A7E03">
        <w:rPr>
          <w:sz w:val="24"/>
          <w:szCs w:val="24"/>
        </w:rPr>
        <w:fldChar w:fldCharType="separate"/>
      </w:r>
      <w:r w:rsidRPr="007A7E03">
        <w:rPr>
          <w:noProof/>
          <w:sz w:val="24"/>
          <w:szCs w:val="24"/>
        </w:rPr>
        <w:t>4</w:t>
      </w:r>
      <w:r w:rsidRPr="007A7E03">
        <w:rPr>
          <w:sz w:val="24"/>
          <w:szCs w:val="24"/>
        </w:rPr>
        <w:fldChar w:fldCharType="end"/>
      </w:r>
      <w:bookmarkEnd w:id="5"/>
      <w:r w:rsidRPr="007A7E03">
        <w:rPr>
          <w:sz w:val="24"/>
          <w:szCs w:val="24"/>
        </w:rPr>
        <w:t>: Robustness Checks: Fixed Effects: Effect of the ban for different subsamples</w:t>
      </w:r>
    </w:p>
    <w:tbl>
      <w:tblPr>
        <w:tblW w:w="5000" w:type="pct"/>
        <w:tblLook w:val="04A0" w:firstRow="1" w:lastRow="0" w:firstColumn="1" w:lastColumn="0" w:noHBand="0" w:noVBand="1"/>
      </w:tblPr>
      <w:tblGrid>
        <w:gridCol w:w="2889"/>
        <w:gridCol w:w="1881"/>
        <w:gridCol w:w="2128"/>
        <w:gridCol w:w="1606"/>
      </w:tblGrid>
      <w:tr w:rsidR="00554798" w:rsidRPr="00EA4E10" w14:paraId="0DC4317C" w14:textId="77777777" w:rsidTr="00CF1A36">
        <w:trPr>
          <w:trHeight w:val="324"/>
        </w:trPr>
        <w:tc>
          <w:tcPr>
            <w:tcW w:w="1699" w:type="pct"/>
            <w:tcBorders>
              <w:top w:val="single" w:sz="8" w:space="0" w:color="auto"/>
              <w:left w:val="nil"/>
              <w:bottom w:val="single" w:sz="8" w:space="0" w:color="auto"/>
              <w:right w:val="nil"/>
            </w:tcBorders>
            <w:shd w:val="clear" w:color="auto" w:fill="auto"/>
            <w:noWrap/>
            <w:vAlign w:val="center"/>
            <w:hideMark/>
          </w:tcPr>
          <w:p w14:paraId="68545B9D" w14:textId="77777777" w:rsidR="00554798" w:rsidRPr="00EE405C" w:rsidRDefault="00554798" w:rsidP="00CF1A36">
            <w:pPr>
              <w:rPr>
                <w:sz w:val="20"/>
                <w:szCs w:val="20"/>
                <w:lang w:val="en-US"/>
              </w:rPr>
            </w:pPr>
            <w:r w:rsidRPr="00EE405C">
              <w:rPr>
                <w:sz w:val="20"/>
                <w:szCs w:val="20"/>
                <w:lang w:val="en-US"/>
              </w:rPr>
              <w:t> </w:t>
            </w:r>
          </w:p>
        </w:tc>
        <w:tc>
          <w:tcPr>
            <w:tcW w:w="1106" w:type="pct"/>
            <w:tcBorders>
              <w:top w:val="single" w:sz="8" w:space="0" w:color="auto"/>
              <w:left w:val="nil"/>
              <w:bottom w:val="nil"/>
              <w:right w:val="nil"/>
            </w:tcBorders>
            <w:shd w:val="clear" w:color="auto" w:fill="auto"/>
            <w:noWrap/>
            <w:vAlign w:val="center"/>
            <w:hideMark/>
          </w:tcPr>
          <w:p w14:paraId="074B7832" w14:textId="77777777" w:rsidR="00554798" w:rsidRPr="00EE405C" w:rsidRDefault="00554798" w:rsidP="00CF1A36">
            <w:pPr>
              <w:jc w:val="center"/>
              <w:rPr>
                <w:sz w:val="20"/>
                <w:szCs w:val="20"/>
                <w:lang w:val="en-US"/>
              </w:rPr>
            </w:pPr>
            <w:r w:rsidRPr="00EE405C">
              <w:rPr>
                <w:sz w:val="20"/>
                <w:szCs w:val="20"/>
                <w:lang w:val="en-US"/>
              </w:rPr>
              <w:t>(1)</w:t>
            </w:r>
          </w:p>
        </w:tc>
        <w:tc>
          <w:tcPr>
            <w:tcW w:w="1251" w:type="pct"/>
            <w:tcBorders>
              <w:top w:val="single" w:sz="8" w:space="0" w:color="auto"/>
              <w:left w:val="nil"/>
              <w:bottom w:val="single" w:sz="8" w:space="0" w:color="auto"/>
              <w:right w:val="nil"/>
            </w:tcBorders>
            <w:shd w:val="clear" w:color="auto" w:fill="auto"/>
            <w:noWrap/>
            <w:vAlign w:val="center"/>
            <w:hideMark/>
          </w:tcPr>
          <w:p w14:paraId="754EC7B0" w14:textId="77777777" w:rsidR="00554798" w:rsidRPr="00EE405C" w:rsidRDefault="00554798" w:rsidP="00CF1A36">
            <w:pPr>
              <w:jc w:val="center"/>
              <w:rPr>
                <w:sz w:val="20"/>
                <w:szCs w:val="20"/>
                <w:lang w:val="en-US"/>
              </w:rPr>
            </w:pPr>
            <w:r w:rsidRPr="00EE405C">
              <w:rPr>
                <w:sz w:val="20"/>
                <w:szCs w:val="20"/>
                <w:lang w:val="en-US"/>
              </w:rPr>
              <w:t>(2)</w:t>
            </w:r>
          </w:p>
        </w:tc>
        <w:tc>
          <w:tcPr>
            <w:tcW w:w="944" w:type="pct"/>
            <w:tcBorders>
              <w:top w:val="single" w:sz="8" w:space="0" w:color="auto"/>
              <w:left w:val="nil"/>
              <w:bottom w:val="nil"/>
              <w:right w:val="nil"/>
            </w:tcBorders>
            <w:shd w:val="clear" w:color="auto" w:fill="auto"/>
            <w:noWrap/>
            <w:vAlign w:val="center"/>
            <w:hideMark/>
          </w:tcPr>
          <w:p w14:paraId="6A4FAD9C" w14:textId="77777777" w:rsidR="00554798" w:rsidRPr="00EE405C" w:rsidRDefault="00554798" w:rsidP="00CF1A36">
            <w:pPr>
              <w:jc w:val="center"/>
              <w:rPr>
                <w:sz w:val="20"/>
                <w:szCs w:val="20"/>
                <w:lang w:val="en-US"/>
              </w:rPr>
            </w:pPr>
            <w:r w:rsidRPr="00EE405C">
              <w:rPr>
                <w:sz w:val="20"/>
                <w:szCs w:val="20"/>
                <w:lang w:val="en-US"/>
              </w:rPr>
              <w:t>(3)</w:t>
            </w:r>
          </w:p>
        </w:tc>
      </w:tr>
      <w:tr w:rsidR="00554798" w:rsidRPr="00EA4E10" w14:paraId="16727540" w14:textId="77777777" w:rsidTr="00CF1A36">
        <w:trPr>
          <w:trHeight w:val="324"/>
        </w:trPr>
        <w:tc>
          <w:tcPr>
            <w:tcW w:w="1699" w:type="pct"/>
            <w:tcBorders>
              <w:top w:val="nil"/>
              <w:left w:val="nil"/>
              <w:bottom w:val="single" w:sz="8" w:space="0" w:color="auto"/>
              <w:right w:val="nil"/>
            </w:tcBorders>
            <w:shd w:val="clear" w:color="auto" w:fill="auto"/>
            <w:noWrap/>
            <w:vAlign w:val="bottom"/>
            <w:hideMark/>
          </w:tcPr>
          <w:p w14:paraId="3AAB2688" w14:textId="77777777" w:rsidR="00554798" w:rsidRPr="00EE405C" w:rsidRDefault="00554798" w:rsidP="00CF1A36">
            <w:pPr>
              <w:rPr>
                <w:sz w:val="20"/>
                <w:szCs w:val="20"/>
                <w:lang w:val="en-US"/>
              </w:rPr>
            </w:pPr>
            <w:r w:rsidRPr="00EE405C">
              <w:rPr>
                <w:sz w:val="20"/>
                <w:szCs w:val="20"/>
                <w:lang w:val="en-US"/>
              </w:rPr>
              <w:t> </w:t>
            </w:r>
          </w:p>
        </w:tc>
        <w:tc>
          <w:tcPr>
            <w:tcW w:w="1106" w:type="pct"/>
            <w:tcBorders>
              <w:top w:val="single" w:sz="8" w:space="0" w:color="auto"/>
              <w:left w:val="nil"/>
              <w:bottom w:val="single" w:sz="8" w:space="0" w:color="auto"/>
              <w:right w:val="nil"/>
            </w:tcBorders>
            <w:shd w:val="clear" w:color="auto" w:fill="auto"/>
            <w:noWrap/>
            <w:vAlign w:val="center"/>
            <w:hideMark/>
          </w:tcPr>
          <w:p w14:paraId="52F209FE" w14:textId="77777777" w:rsidR="00554798" w:rsidRPr="00EE405C" w:rsidRDefault="00554798" w:rsidP="00CF1A36">
            <w:pPr>
              <w:jc w:val="center"/>
              <w:rPr>
                <w:sz w:val="20"/>
                <w:szCs w:val="20"/>
                <w:lang w:val="en-US"/>
              </w:rPr>
            </w:pPr>
            <w:r w:rsidRPr="00EE405C">
              <w:rPr>
                <w:sz w:val="20"/>
                <w:szCs w:val="20"/>
                <w:lang w:val="en-US"/>
              </w:rPr>
              <w:t>Restricted time</w:t>
            </w:r>
          </w:p>
        </w:tc>
        <w:tc>
          <w:tcPr>
            <w:tcW w:w="2195" w:type="pct"/>
            <w:gridSpan w:val="2"/>
            <w:tcBorders>
              <w:top w:val="single" w:sz="8" w:space="0" w:color="auto"/>
              <w:left w:val="nil"/>
              <w:bottom w:val="single" w:sz="8" w:space="0" w:color="auto"/>
              <w:right w:val="nil"/>
            </w:tcBorders>
            <w:shd w:val="clear" w:color="auto" w:fill="auto"/>
            <w:noWrap/>
            <w:vAlign w:val="center"/>
            <w:hideMark/>
          </w:tcPr>
          <w:p w14:paraId="2A764644" w14:textId="77777777" w:rsidR="00554798" w:rsidRPr="00EE405C" w:rsidRDefault="00554798" w:rsidP="00CF1A36">
            <w:pPr>
              <w:jc w:val="center"/>
              <w:rPr>
                <w:sz w:val="20"/>
                <w:szCs w:val="20"/>
                <w:lang w:val="en-US"/>
              </w:rPr>
            </w:pPr>
            <w:r w:rsidRPr="00EE405C">
              <w:rPr>
                <w:sz w:val="20"/>
                <w:szCs w:val="20"/>
                <w:lang w:val="en-US"/>
              </w:rPr>
              <w:t>Restricted regions</w:t>
            </w:r>
          </w:p>
        </w:tc>
      </w:tr>
      <w:tr w:rsidR="00554798" w:rsidRPr="00EA4E10" w14:paraId="7DC221CE" w14:textId="77777777" w:rsidTr="00CF1A36">
        <w:trPr>
          <w:trHeight w:val="324"/>
        </w:trPr>
        <w:tc>
          <w:tcPr>
            <w:tcW w:w="1699" w:type="pct"/>
            <w:vMerge w:val="restart"/>
            <w:tcBorders>
              <w:top w:val="nil"/>
              <w:left w:val="nil"/>
              <w:bottom w:val="single" w:sz="8" w:space="0" w:color="000000"/>
              <w:right w:val="single" w:sz="8" w:space="0" w:color="auto"/>
            </w:tcBorders>
            <w:shd w:val="clear" w:color="auto" w:fill="auto"/>
            <w:vAlign w:val="center"/>
            <w:hideMark/>
          </w:tcPr>
          <w:p w14:paraId="4008C3DC" w14:textId="77777777" w:rsidR="00554798" w:rsidRPr="00EE405C" w:rsidRDefault="00554798" w:rsidP="00CF1A36">
            <w:pPr>
              <w:jc w:val="center"/>
              <w:rPr>
                <w:sz w:val="20"/>
                <w:szCs w:val="20"/>
                <w:lang w:val="en-US"/>
              </w:rPr>
            </w:pPr>
            <w:r w:rsidRPr="00EE405C">
              <w:rPr>
                <w:sz w:val="20"/>
                <w:szCs w:val="20"/>
                <w:lang w:val="en-US"/>
              </w:rPr>
              <w:t>Sample Restrictions</w:t>
            </w:r>
          </w:p>
        </w:tc>
        <w:tc>
          <w:tcPr>
            <w:tcW w:w="1106" w:type="pct"/>
            <w:tcBorders>
              <w:top w:val="nil"/>
              <w:left w:val="nil"/>
              <w:bottom w:val="single" w:sz="8" w:space="0" w:color="auto"/>
              <w:right w:val="nil"/>
            </w:tcBorders>
            <w:shd w:val="clear" w:color="auto" w:fill="auto"/>
            <w:noWrap/>
            <w:vAlign w:val="center"/>
            <w:hideMark/>
          </w:tcPr>
          <w:p w14:paraId="2B4E9DD3" w14:textId="77777777" w:rsidR="00554798" w:rsidRPr="00EE405C" w:rsidRDefault="00554798" w:rsidP="00CF1A36">
            <w:pPr>
              <w:jc w:val="center"/>
              <w:rPr>
                <w:sz w:val="20"/>
                <w:szCs w:val="20"/>
                <w:lang w:val="en-US"/>
              </w:rPr>
            </w:pPr>
            <w:r w:rsidRPr="00EE405C">
              <w:rPr>
                <w:sz w:val="20"/>
                <w:szCs w:val="20"/>
                <w:lang w:val="en-US"/>
              </w:rPr>
              <w:t>2005-2008</w:t>
            </w:r>
          </w:p>
        </w:tc>
        <w:tc>
          <w:tcPr>
            <w:tcW w:w="1251" w:type="pct"/>
            <w:tcBorders>
              <w:top w:val="nil"/>
              <w:left w:val="nil"/>
              <w:bottom w:val="single" w:sz="8" w:space="0" w:color="auto"/>
              <w:right w:val="nil"/>
            </w:tcBorders>
            <w:shd w:val="clear" w:color="auto" w:fill="auto"/>
            <w:noWrap/>
            <w:vAlign w:val="center"/>
            <w:hideMark/>
          </w:tcPr>
          <w:p w14:paraId="02096566" w14:textId="77777777" w:rsidR="00554798" w:rsidRPr="00EE405C" w:rsidRDefault="00554798" w:rsidP="00CF1A36">
            <w:pPr>
              <w:jc w:val="center"/>
              <w:rPr>
                <w:sz w:val="20"/>
                <w:szCs w:val="20"/>
                <w:lang w:val="en-US"/>
              </w:rPr>
            </w:pPr>
            <w:r w:rsidRPr="00EE405C">
              <w:rPr>
                <w:sz w:val="20"/>
                <w:szCs w:val="20"/>
                <w:lang w:val="en-US"/>
              </w:rPr>
              <w:t>1991-2008</w:t>
            </w:r>
          </w:p>
        </w:tc>
        <w:tc>
          <w:tcPr>
            <w:tcW w:w="944" w:type="pct"/>
            <w:tcBorders>
              <w:top w:val="nil"/>
              <w:left w:val="nil"/>
              <w:bottom w:val="single" w:sz="8" w:space="0" w:color="auto"/>
              <w:right w:val="nil"/>
            </w:tcBorders>
            <w:shd w:val="clear" w:color="auto" w:fill="auto"/>
            <w:noWrap/>
            <w:vAlign w:val="center"/>
            <w:hideMark/>
          </w:tcPr>
          <w:p w14:paraId="3D83A0F1" w14:textId="77777777" w:rsidR="00554798" w:rsidRPr="00EE405C" w:rsidRDefault="00554798" w:rsidP="00CF1A36">
            <w:pPr>
              <w:jc w:val="center"/>
              <w:rPr>
                <w:sz w:val="20"/>
                <w:szCs w:val="20"/>
                <w:lang w:val="en-US"/>
              </w:rPr>
            </w:pPr>
            <w:r w:rsidRPr="00EE405C">
              <w:rPr>
                <w:sz w:val="20"/>
                <w:szCs w:val="20"/>
                <w:lang w:val="en-US"/>
              </w:rPr>
              <w:t>2003-2008</w:t>
            </w:r>
          </w:p>
        </w:tc>
      </w:tr>
      <w:tr w:rsidR="00554798" w:rsidRPr="00EA4E10" w14:paraId="5F99A6EF" w14:textId="77777777" w:rsidTr="00CF1A36">
        <w:trPr>
          <w:trHeight w:val="1116"/>
        </w:trPr>
        <w:tc>
          <w:tcPr>
            <w:tcW w:w="1699" w:type="pct"/>
            <w:vMerge/>
            <w:tcBorders>
              <w:top w:val="nil"/>
              <w:left w:val="nil"/>
              <w:bottom w:val="single" w:sz="8" w:space="0" w:color="000000"/>
              <w:right w:val="single" w:sz="8" w:space="0" w:color="auto"/>
            </w:tcBorders>
            <w:vAlign w:val="center"/>
            <w:hideMark/>
          </w:tcPr>
          <w:p w14:paraId="1B97CE07" w14:textId="77777777" w:rsidR="00554798" w:rsidRPr="00EE405C" w:rsidRDefault="00554798" w:rsidP="00CF1A36">
            <w:pPr>
              <w:rPr>
                <w:sz w:val="20"/>
                <w:szCs w:val="20"/>
                <w:lang w:val="en-US"/>
              </w:rPr>
            </w:pPr>
          </w:p>
        </w:tc>
        <w:tc>
          <w:tcPr>
            <w:tcW w:w="1106" w:type="pct"/>
            <w:tcBorders>
              <w:top w:val="nil"/>
              <w:left w:val="nil"/>
              <w:bottom w:val="single" w:sz="8" w:space="0" w:color="auto"/>
              <w:right w:val="nil"/>
            </w:tcBorders>
            <w:shd w:val="clear" w:color="auto" w:fill="auto"/>
            <w:noWrap/>
            <w:vAlign w:val="center"/>
            <w:hideMark/>
          </w:tcPr>
          <w:p w14:paraId="29C7B57E" w14:textId="77777777" w:rsidR="00554798" w:rsidRPr="00EE405C" w:rsidRDefault="00554798" w:rsidP="00CF1A36">
            <w:pPr>
              <w:jc w:val="center"/>
              <w:rPr>
                <w:sz w:val="20"/>
                <w:szCs w:val="20"/>
                <w:lang w:val="en-US"/>
              </w:rPr>
            </w:pPr>
            <w:r w:rsidRPr="00EE405C">
              <w:rPr>
                <w:sz w:val="20"/>
                <w:szCs w:val="20"/>
                <w:lang w:val="en-US"/>
              </w:rPr>
              <w:t>UK</w:t>
            </w:r>
          </w:p>
        </w:tc>
        <w:tc>
          <w:tcPr>
            <w:tcW w:w="1251" w:type="pct"/>
            <w:tcBorders>
              <w:top w:val="nil"/>
              <w:left w:val="nil"/>
              <w:bottom w:val="single" w:sz="8" w:space="0" w:color="auto"/>
              <w:right w:val="nil"/>
            </w:tcBorders>
            <w:shd w:val="clear" w:color="auto" w:fill="auto"/>
            <w:noWrap/>
            <w:vAlign w:val="center"/>
            <w:hideMark/>
          </w:tcPr>
          <w:p w14:paraId="6D8A592B" w14:textId="77777777" w:rsidR="00554798" w:rsidRPr="00EE405C" w:rsidRDefault="00554798" w:rsidP="00CF1A36">
            <w:pPr>
              <w:jc w:val="center"/>
              <w:rPr>
                <w:sz w:val="20"/>
                <w:szCs w:val="20"/>
                <w:lang w:val="en-US"/>
              </w:rPr>
            </w:pPr>
            <w:r w:rsidRPr="00EE405C">
              <w:rPr>
                <w:sz w:val="20"/>
                <w:szCs w:val="20"/>
                <w:lang w:val="en-US"/>
              </w:rPr>
              <w:t>Scotland &amp; England</w:t>
            </w:r>
          </w:p>
        </w:tc>
        <w:tc>
          <w:tcPr>
            <w:tcW w:w="944" w:type="pct"/>
            <w:tcBorders>
              <w:top w:val="nil"/>
              <w:left w:val="nil"/>
              <w:bottom w:val="single" w:sz="8" w:space="0" w:color="auto"/>
              <w:right w:val="nil"/>
            </w:tcBorders>
            <w:shd w:val="clear" w:color="auto" w:fill="auto"/>
            <w:noWrap/>
            <w:vAlign w:val="center"/>
            <w:hideMark/>
          </w:tcPr>
          <w:p w14:paraId="6F8BC1E0" w14:textId="77777777" w:rsidR="00554798" w:rsidRPr="00EE405C" w:rsidRDefault="00554798" w:rsidP="00CF1A36">
            <w:pPr>
              <w:jc w:val="center"/>
              <w:rPr>
                <w:sz w:val="20"/>
                <w:szCs w:val="20"/>
                <w:lang w:val="en-US"/>
              </w:rPr>
            </w:pPr>
            <w:r w:rsidRPr="00EE405C">
              <w:rPr>
                <w:sz w:val="20"/>
                <w:szCs w:val="20"/>
                <w:lang w:val="en-US"/>
              </w:rPr>
              <w:t>England</w:t>
            </w:r>
          </w:p>
        </w:tc>
      </w:tr>
      <w:tr w:rsidR="00554798" w:rsidRPr="00EA4E10" w14:paraId="255172EF" w14:textId="77777777" w:rsidTr="00CF1A36">
        <w:trPr>
          <w:trHeight w:val="564"/>
        </w:trPr>
        <w:tc>
          <w:tcPr>
            <w:tcW w:w="1699" w:type="pct"/>
            <w:tcBorders>
              <w:top w:val="nil"/>
              <w:left w:val="nil"/>
              <w:bottom w:val="nil"/>
              <w:right w:val="nil"/>
            </w:tcBorders>
            <w:shd w:val="clear" w:color="auto" w:fill="auto"/>
            <w:vAlign w:val="center"/>
            <w:hideMark/>
          </w:tcPr>
          <w:p w14:paraId="24A602B5" w14:textId="77777777" w:rsidR="00554798" w:rsidRPr="00EE405C" w:rsidRDefault="00554798" w:rsidP="00CF1A36">
            <w:pPr>
              <w:jc w:val="center"/>
              <w:rPr>
                <w:b/>
                <w:bCs/>
                <w:sz w:val="20"/>
                <w:szCs w:val="20"/>
                <w:lang w:val="en-US"/>
              </w:rPr>
            </w:pPr>
            <w:r w:rsidRPr="00EE405C">
              <w:rPr>
                <w:b/>
                <w:bCs/>
                <w:sz w:val="20"/>
                <w:szCs w:val="20"/>
                <w:lang w:val="en-US"/>
              </w:rPr>
              <w:t>Dependent Variable</w:t>
            </w:r>
          </w:p>
        </w:tc>
        <w:tc>
          <w:tcPr>
            <w:tcW w:w="1106" w:type="pct"/>
            <w:tcBorders>
              <w:top w:val="nil"/>
              <w:left w:val="nil"/>
              <w:bottom w:val="single" w:sz="8" w:space="0" w:color="auto"/>
              <w:right w:val="nil"/>
            </w:tcBorders>
            <w:shd w:val="clear" w:color="auto" w:fill="auto"/>
            <w:noWrap/>
            <w:vAlign w:val="center"/>
            <w:hideMark/>
          </w:tcPr>
          <w:p w14:paraId="0FC2921A" w14:textId="77777777" w:rsidR="00554798" w:rsidRPr="00EE405C" w:rsidRDefault="00554798" w:rsidP="00CF1A36">
            <w:pPr>
              <w:jc w:val="center"/>
              <w:rPr>
                <w:sz w:val="20"/>
                <w:szCs w:val="20"/>
                <w:lang w:val="en-US"/>
              </w:rPr>
            </w:pPr>
            <w:r w:rsidRPr="00EE405C">
              <w:rPr>
                <w:sz w:val="20"/>
                <w:szCs w:val="20"/>
                <w:lang w:val="en-US"/>
              </w:rPr>
              <w:t>Smoker</w:t>
            </w:r>
          </w:p>
        </w:tc>
        <w:tc>
          <w:tcPr>
            <w:tcW w:w="1251" w:type="pct"/>
            <w:tcBorders>
              <w:top w:val="nil"/>
              <w:left w:val="nil"/>
              <w:bottom w:val="single" w:sz="8" w:space="0" w:color="auto"/>
              <w:right w:val="nil"/>
            </w:tcBorders>
            <w:shd w:val="clear" w:color="auto" w:fill="auto"/>
            <w:noWrap/>
            <w:vAlign w:val="center"/>
            <w:hideMark/>
          </w:tcPr>
          <w:p w14:paraId="366BB9B3" w14:textId="77777777" w:rsidR="00554798" w:rsidRPr="00EE405C" w:rsidRDefault="00554798" w:rsidP="00CF1A36">
            <w:pPr>
              <w:jc w:val="center"/>
              <w:rPr>
                <w:sz w:val="20"/>
                <w:szCs w:val="20"/>
                <w:lang w:val="en-US"/>
              </w:rPr>
            </w:pPr>
            <w:r w:rsidRPr="00EE405C">
              <w:rPr>
                <w:sz w:val="20"/>
                <w:szCs w:val="20"/>
                <w:lang w:val="en-US"/>
              </w:rPr>
              <w:t>Smoker</w:t>
            </w:r>
          </w:p>
        </w:tc>
        <w:tc>
          <w:tcPr>
            <w:tcW w:w="944" w:type="pct"/>
            <w:tcBorders>
              <w:top w:val="nil"/>
              <w:left w:val="nil"/>
              <w:bottom w:val="single" w:sz="8" w:space="0" w:color="auto"/>
              <w:right w:val="nil"/>
            </w:tcBorders>
            <w:shd w:val="clear" w:color="auto" w:fill="auto"/>
            <w:noWrap/>
            <w:vAlign w:val="center"/>
            <w:hideMark/>
          </w:tcPr>
          <w:p w14:paraId="5DBFE217" w14:textId="77777777" w:rsidR="00554798" w:rsidRPr="00EE405C" w:rsidRDefault="00554798" w:rsidP="00CF1A36">
            <w:pPr>
              <w:jc w:val="center"/>
              <w:rPr>
                <w:sz w:val="20"/>
                <w:szCs w:val="20"/>
                <w:lang w:val="en-US"/>
              </w:rPr>
            </w:pPr>
            <w:r w:rsidRPr="00EE405C">
              <w:rPr>
                <w:sz w:val="20"/>
                <w:szCs w:val="20"/>
                <w:lang w:val="en-US"/>
              </w:rPr>
              <w:t>Smoker</w:t>
            </w:r>
          </w:p>
        </w:tc>
      </w:tr>
      <w:tr w:rsidR="00554798" w:rsidRPr="00EA4E10" w14:paraId="6CA8B776" w14:textId="77777777" w:rsidTr="00CF1A36">
        <w:trPr>
          <w:trHeight w:val="312"/>
        </w:trPr>
        <w:tc>
          <w:tcPr>
            <w:tcW w:w="1699" w:type="pct"/>
            <w:tcBorders>
              <w:top w:val="single" w:sz="4" w:space="0" w:color="auto"/>
              <w:left w:val="nil"/>
              <w:bottom w:val="nil"/>
              <w:right w:val="nil"/>
            </w:tcBorders>
            <w:shd w:val="clear" w:color="auto" w:fill="auto"/>
            <w:noWrap/>
            <w:vAlign w:val="bottom"/>
            <w:hideMark/>
          </w:tcPr>
          <w:p w14:paraId="40B307DA" w14:textId="77777777" w:rsidR="00554798" w:rsidRPr="00EE405C" w:rsidRDefault="00554798" w:rsidP="00CF1A36">
            <w:pPr>
              <w:rPr>
                <w:sz w:val="20"/>
                <w:szCs w:val="20"/>
                <w:lang w:val="en-US"/>
              </w:rPr>
            </w:pPr>
            <w:r w:rsidRPr="00EE405C">
              <w:rPr>
                <w:sz w:val="20"/>
                <w:szCs w:val="20"/>
                <w:lang w:val="en-US"/>
              </w:rPr>
              <w:t>Ban</w:t>
            </w:r>
          </w:p>
        </w:tc>
        <w:tc>
          <w:tcPr>
            <w:tcW w:w="1106" w:type="pct"/>
            <w:tcBorders>
              <w:top w:val="single" w:sz="4" w:space="0" w:color="auto"/>
              <w:left w:val="nil"/>
              <w:bottom w:val="nil"/>
              <w:right w:val="nil"/>
            </w:tcBorders>
            <w:shd w:val="clear" w:color="auto" w:fill="auto"/>
            <w:noWrap/>
            <w:vAlign w:val="bottom"/>
            <w:hideMark/>
          </w:tcPr>
          <w:p w14:paraId="2F41058C" w14:textId="77777777" w:rsidR="00554798" w:rsidRPr="00EE405C" w:rsidRDefault="00554798" w:rsidP="00CF1A36">
            <w:pPr>
              <w:jc w:val="center"/>
              <w:rPr>
                <w:sz w:val="20"/>
                <w:szCs w:val="20"/>
                <w:lang w:val="en-US"/>
              </w:rPr>
            </w:pPr>
            <w:r w:rsidRPr="00EE405C">
              <w:rPr>
                <w:sz w:val="20"/>
                <w:szCs w:val="20"/>
                <w:lang w:val="en-US"/>
              </w:rPr>
              <w:t>0.009</w:t>
            </w:r>
          </w:p>
        </w:tc>
        <w:tc>
          <w:tcPr>
            <w:tcW w:w="1251" w:type="pct"/>
            <w:tcBorders>
              <w:top w:val="single" w:sz="4" w:space="0" w:color="auto"/>
              <w:left w:val="nil"/>
              <w:bottom w:val="nil"/>
              <w:right w:val="nil"/>
            </w:tcBorders>
            <w:shd w:val="clear" w:color="auto" w:fill="auto"/>
            <w:noWrap/>
            <w:vAlign w:val="bottom"/>
            <w:hideMark/>
          </w:tcPr>
          <w:p w14:paraId="6C7E8D0B" w14:textId="77777777" w:rsidR="00554798" w:rsidRPr="00EE405C" w:rsidRDefault="00554798" w:rsidP="00CF1A36">
            <w:pPr>
              <w:jc w:val="center"/>
              <w:rPr>
                <w:sz w:val="20"/>
                <w:szCs w:val="20"/>
                <w:lang w:val="en-US"/>
              </w:rPr>
            </w:pPr>
            <w:r w:rsidRPr="00EE405C">
              <w:rPr>
                <w:sz w:val="20"/>
                <w:szCs w:val="20"/>
                <w:lang w:val="en-US"/>
              </w:rPr>
              <w:t>0.022</w:t>
            </w:r>
          </w:p>
        </w:tc>
        <w:tc>
          <w:tcPr>
            <w:tcW w:w="944" w:type="pct"/>
            <w:tcBorders>
              <w:top w:val="single" w:sz="4" w:space="0" w:color="auto"/>
              <w:left w:val="nil"/>
              <w:bottom w:val="nil"/>
              <w:right w:val="nil"/>
            </w:tcBorders>
            <w:shd w:val="clear" w:color="auto" w:fill="auto"/>
            <w:noWrap/>
            <w:vAlign w:val="bottom"/>
            <w:hideMark/>
          </w:tcPr>
          <w:p w14:paraId="4DF5E03F" w14:textId="77777777" w:rsidR="00554798" w:rsidRPr="00EE405C" w:rsidRDefault="00554798" w:rsidP="00CF1A36">
            <w:pPr>
              <w:jc w:val="center"/>
              <w:rPr>
                <w:sz w:val="20"/>
                <w:szCs w:val="20"/>
                <w:lang w:val="en-US"/>
              </w:rPr>
            </w:pPr>
            <w:r w:rsidRPr="00EE405C">
              <w:rPr>
                <w:sz w:val="20"/>
                <w:szCs w:val="20"/>
                <w:lang w:val="en-US"/>
              </w:rPr>
              <w:t>-0.466</w:t>
            </w:r>
          </w:p>
        </w:tc>
      </w:tr>
      <w:tr w:rsidR="00554798" w:rsidRPr="00EA4E10" w14:paraId="2B37094C" w14:textId="77777777" w:rsidTr="00CF1A36">
        <w:trPr>
          <w:trHeight w:val="312"/>
        </w:trPr>
        <w:tc>
          <w:tcPr>
            <w:tcW w:w="1699" w:type="pct"/>
            <w:tcBorders>
              <w:top w:val="nil"/>
              <w:left w:val="nil"/>
              <w:bottom w:val="nil"/>
              <w:right w:val="nil"/>
            </w:tcBorders>
            <w:shd w:val="clear" w:color="auto" w:fill="auto"/>
            <w:noWrap/>
            <w:vAlign w:val="bottom"/>
            <w:hideMark/>
          </w:tcPr>
          <w:p w14:paraId="1F931D42" w14:textId="77777777" w:rsidR="00554798" w:rsidRPr="00EE405C" w:rsidRDefault="00554798" w:rsidP="00CF1A36">
            <w:pPr>
              <w:jc w:val="center"/>
              <w:rPr>
                <w:sz w:val="20"/>
                <w:szCs w:val="20"/>
                <w:lang w:val="en-US"/>
              </w:rPr>
            </w:pPr>
          </w:p>
        </w:tc>
        <w:tc>
          <w:tcPr>
            <w:tcW w:w="1106" w:type="pct"/>
            <w:tcBorders>
              <w:top w:val="nil"/>
              <w:left w:val="nil"/>
              <w:bottom w:val="nil"/>
              <w:right w:val="nil"/>
            </w:tcBorders>
            <w:shd w:val="clear" w:color="auto" w:fill="auto"/>
            <w:noWrap/>
            <w:vAlign w:val="bottom"/>
            <w:hideMark/>
          </w:tcPr>
          <w:p w14:paraId="69D63C53" w14:textId="77777777" w:rsidR="00554798" w:rsidRPr="00EE405C" w:rsidRDefault="00554798" w:rsidP="00CF1A36">
            <w:pPr>
              <w:jc w:val="center"/>
              <w:rPr>
                <w:sz w:val="20"/>
                <w:szCs w:val="20"/>
                <w:lang w:val="en-US"/>
              </w:rPr>
            </w:pPr>
            <w:r w:rsidRPr="00EE405C">
              <w:rPr>
                <w:sz w:val="20"/>
                <w:szCs w:val="20"/>
                <w:lang w:val="en-US"/>
              </w:rPr>
              <w:t>(0.011)</w:t>
            </w:r>
          </w:p>
        </w:tc>
        <w:tc>
          <w:tcPr>
            <w:tcW w:w="1251" w:type="pct"/>
            <w:tcBorders>
              <w:top w:val="nil"/>
              <w:left w:val="nil"/>
              <w:bottom w:val="nil"/>
              <w:right w:val="nil"/>
            </w:tcBorders>
            <w:shd w:val="clear" w:color="auto" w:fill="auto"/>
            <w:noWrap/>
            <w:vAlign w:val="bottom"/>
            <w:hideMark/>
          </w:tcPr>
          <w:p w14:paraId="5AD523B4" w14:textId="77777777" w:rsidR="00554798" w:rsidRPr="00EE405C" w:rsidRDefault="00554798" w:rsidP="00CF1A36">
            <w:pPr>
              <w:jc w:val="center"/>
              <w:rPr>
                <w:sz w:val="20"/>
                <w:szCs w:val="20"/>
                <w:lang w:val="en-US"/>
              </w:rPr>
            </w:pPr>
            <w:r w:rsidRPr="00EE405C">
              <w:rPr>
                <w:sz w:val="20"/>
                <w:szCs w:val="20"/>
                <w:lang w:val="en-US"/>
              </w:rPr>
              <w:t>(0.013)</w:t>
            </w:r>
          </w:p>
        </w:tc>
        <w:tc>
          <w:tcPr>
            <w:tcW w:w="944" w:type="pct"/>
            <w:tcBorders>
              <w:top w:val="nil"/>
              <w:left w:val="nil"/>
              <w:bottom w:val="nil"/>
              <w:right w:val="nil"/>
            </w:tcBorders>
            <w:shd w:val="clear" w:color="auto" w:fill="auto"/>
            <w:noWrap/>
            <w:vAlign w:val="bottom"/>
            <w:hideMark/>
          </w:tcPr>
          <w:p w14:paraId="3DC78B47" w14:textId="77777777" w:rsidR="00554798" w:rsidRPr="00EE405C" w:rsidRDefault="00554798" w:rsidP="00CF1A36">
            <w:pPr>
              <w:jc w:val="center"/>
              <w:rPr>
                <w:sz w:val="20"/>
                <w:szCs w:val="20"/>
                <w:lang w:val="en-US"/>
              </w:rPr>
            </w:pPr>
            <w:r w:rsidRPr="00EE405C">
              <w:rPr>
                <w:sz w:val="20"/>
                <w:szCs w:val="20"/>
                <w:lang w:val="en-US"/>
              </w:rPr>
              <w:t>(0.224)</w:t>
            </w:r>
          </w:p>
        </w:tc>
      </w:tr>
      <w:tr w:rsidR="00554798" w:rsidRPr="00EA4E10" w14:paraId="40F5CDF4" w14:textId="77777777" w:rsidTr="00CF1A36">
        <w:trPr>
          <w:trHeight w:val="312"/>
        </w:trPr>
        <w:tc>
          <w:tcPr>
            <w:tcW w:w="1699" w:type="pct"/>
            <w:tcBorders>
              <w:top w:val="nil"/>
              <w:left w:val="nil"/>
              <w:bottom w:val="nil"/>
              <w:right w:val="nil"/>
            </w:tcBorders>
            <w:shd w:val="clear" w:color="auto" w:fill="auto"/>
            <w:noWrap/>
            <w:vAlign w:val="center"/>
            <w:hideMark/>
          </w:tcPr>
          <w:p w14:paraId="796C6EAA" w14:textId="77777777" w:rsidR="00554798" w:rsidRPr="00EE405C" w:rsidRDefault="00554798" w:rsidP="00CF1A36">
            <w:pPr>
              <w:rPr>
                <w:sz w:val="20"/>
                <w:szCs w:val="20"/>
                <w:lang w:val="en-US"/>
              </w:rPr>
            </w:pPr>
            <w:r w:rsidRPr="00EE405C">
              <w:rPr>
                <w:sz w:val="20"/>
                <w:szCs w:val="20"/>
                <w:lang w:val="en-US"/>
              </w:rPr>
              <w:t>Ban*Conscientiousness</w:t>
            </w:r>
          </w:p>
        </w:tc>
        <w:tc>
          <w:tcPr>
            <w:tcW w:w="1106" w:type="pct"/>
            <w:tcBorders>
              <w:top w:val="nil"/>
              <w:left w:val="nil"/>
              <w:bottom w:val="nil"/>
              <w:right w:val="nil"/>
            </w:tcBorders>
            <w:shd w:val="clear" w:color="auto" w:fill="auto"/>
            <w:noWrap/>
            <w:vAlign w:val="bottom"/>
            <w:hideMark/>
          </w:tcPr>
          <w:p w14:paraId="4FDE6997" w14:textId="77777777" w:rsidR="00554798" w:rsidRPr="00EE405C" w:rsidRDefault="00554798" w:rsidP="00CF1A36">
            <w:pPr>
              <w:jc w:val="center"/>
              <w:rPr>
                <w:sz w:val="20"/>
                <w:szCs w:val="20"/>
                <w:lang w:val="en-US"/>
              </w:rPr>
            </w:pPr>
            <w:r w:rsidRPr="00EE405C">
              <w:rPr>
                <w:sz w:val="20"/>
                <w:szCs w:val="20"/>
                <w:lang w:val="en-US"/>
              </w:rPr>
              <w:t>-0.011</w:t>
            </w:r>
          </w:p>
        </w:tc>
        <w:tc>
          <w:tcPr>
            <w:tcW w:w="1251" w:type="pct"/>
            <w:tcBorders>
              <w:top w:val="nil"/>
              <w:left w:val="nil"/>
              <w:bottom w:val="nil"/>
              <w:right w:val="nil"/>
            </w:tcBorders>
            <w:shd w:val="clear" w:color="auto" w:fill="auto"/>
            <w:noWrap/>
            <w:vAlign w:val="bottom"/>
            <w:hideMark/>
          </w:tcPr>
          <w:p w14:paraId="2285AD2F" w14:textId="77777777" w:rsidR="00554798" w:rsidRPr="00EE405C" w:rsidRDefault="00554798" w:rsidP="00CF1A36">
            <w:pPr>
              <w:jc w:val="center"/>
              <w:rPr>
                <w:sz w:val="20"/>
                <w:szCs w:val="20"/>
                <w:lang w:val="en-US"/>
              </w:rPr>
            </w:pPr>
            <w:r w:rsidRPr="00EE405C">
              <w:rPr>
                <w:sz w:val="20"/>
                <w:szCs w:val="20"/>
                <w:lang w:val="en-US"/>
              </w:rPr>
              <w:t>-0.019</w:t>
            </w:r>
          </w:p>
        </w:tc>
        <w:tc>
          <w:tcPr>
            <w:tcW w:w="944" w:type="pct"/>
            <w:tcBorders>
              <w:top w:val="nil"/>
              <w:left w:val="nil"/>
              <w:bottom w:val="nil"/>
              <w:right w:val="nil"/>
            </w:tcBorders>
            <w:shd w:val="clear" w:color="auto" w:fill="auto"/>
            <w:noWrap/>
            <w:vAlign w:val="bottom"/>
            <w:hideMark/>
          </w:tcPr>
          <w:p w14:paraId="7D51AA0E" w14:textId="77777777" w:rsidR="00554798" w:rsidRPr="00EE405C" w:rsidRDefault="00554798" w:rsidP="00CF1A36">
            <w:pPr>
              <w:jc w:val="center"/>
              <w:rPr>
                <w:sz w:val="20"/>
                <w:szCs w:val="20"/>
                <w:lang w:val="en-US"/>
              </w:rPr>
            </w:pPr>
            <w:r w:rsidRPr="00EE405C">
              <w:rPr>
                <w:sz w:val="20"/>
                <w:szCs w:val="20"/>
                <w:lang w:val="en-US"/>
              </w:rPr>
              <w:t>-0.011</w:t>
            </w:r>
          </w:p>
        </w:tc>
      </w:tr>
      <w:tr w:rsidR="00554798" w:rsidRPr="00EA4E10" w14:paraId="13D4A28A" w14:textId="77777777" w:rsidTr="00CF1A36">
        <w:trPr>
          <w:trHeight w:val="312"/>
        </w:trPr>
        <w:tc>
          <w:tcPr>
            <w:tcW w:w="1699" w:type="pct"/>
            <w:tcBorders>
              <w:top w:val="nil"/>
              <w:left w:val="nil"/>
              <w:bottom w:val="nil"/>
              <w:right w:val="nil"/>
            </w:tcBorders>
            <w:shd w:val="clear" w:color="auto" w:fill="auto"/>
            <w:noWrap/>
            <w:vAlign w:val="bottom"/>
            <w:hideMark/>
          </w:tcPr>
          <w:p w14:paraId="30EACEA7" w14:textId="77777777" w:rsidR="00554798" w:rsidRPr="00EE405C" w:rsidRDefault="00554798" w:rsidP="00CF1A36">
            <w:pPr>
              <w:jc w:val="center"/>
              <w:rPr>
                <w:sz w:val="20"/>
                <w:szCs w:val="20"/>
                <w:lang w:val="en-US"/>
              </w:rPr>
            </w:pPr>
          </w:p>
        </w:tc>
        <w:tc>
          <w:tcPr>
            <w:tcW w:w="1106" w:type="pct"/>
            <w:tcBorders>
              <w:top w:val="nil"/>
              <w:left w:val="nil"/>
              <w:bottom w:val="nil"/>
              <w:right w:val="nil"/>
            </w:tcBorders>
            <w:shd w:val="clear" w:color="auto" w:fill="auto"/>
            <w:noWrap/>
            <w:vAlign w:val="bottom"/>
            <w:hideMark/>
          </w:tcPr>
          <w:p w14:paraId="3B069B4F" w14:textId="77777777" w:rsidR="00554798" w:rsidRPr="00EE405C" w:rsidRDefault="00554798" w:rsidP="00CF1A36">
            <w:pPr>
              <w:jc w:val="center"/>
              <w:rPr>
                <w:sz w:val="20"/>
                <w:szCs w:val="20"/>
                <w:lang w:val="en-US"/>
              </w:rPr>
            </w:pPr>
            <w:r w:rsidRPr="00EE405C">
              <w:rPr>
                <w:sz w:val="20"/>
                <w:szCs w:val="20"/>
                <w:lang w:val="en-US"/>
              </w:rPr>
              <w:t>(0.005)</w:t>
            </w:r>
          </w:p>
        </w:tc>
        <w:tc>
          <w:tcPr>
            <w:tcW w:w="1251" w:type="pct"/>
            <w:tcBorders>
              <w:top w:val="nil"/>
              <w:left w:val="nil"/>
              <w:bottom w:val="nil"/>
              <w:right w:val="nil"/>
            </w:tcBorders>
            <w:shd w:val="clear" w:color="auto" w:fill="auto"/>
            <w:noWrap/>
            <w:vAlign w:val="bottom"/>
            <w:hideMark/>
          </w:tcPr>
          <w:p w14:paraId="0780F9D9" w14:textId="77777777" w:rsidR="00554798" w:rsidRPr="00EE405C" w:rsidRDefault="00554798" w:rsidP="00CF1A36">
            <w:pPr>
              <w:jc w:val="center"/>
              <w:rPr>
                <w:sz w:val="20"/>
                <w:szCs w:val="20"/>
                <w:lang w:val="en-US"/>
              </w:rPr>
            </w:pPr>
            <w:r w:rsidRPr="00EE405C">
              <w:rPr>
                <w:sz w:val="20"/>
                <w:szCs w:val="20"/>
                <w:lang w:val="en-US"/>
              </w:rPr>
              <w:t>(0.007)</w:t>
            </w:r>
          </w:p>
        </w:tc>
        <w:tc>
          <w:tcPr>
            <w:tcW w:w="944" w:type="pct"/>
            <w:tcBorders>
              <w:top w:val="nil"/>
              <w:left w:val="nil"/>
              <w:bottom w:val="nil"/>
              <w:right w:val="nil"/>
            </w:tcBorders>
            <w:shd w:val="clear" w:color="auto" w:fill="auto"/>
            <w:noWrap/>
            <w:vAlign w:val="bottom"/>
            <w:hideMark/>
          </w:tcPr>
          <w:p w14:paraId="79FDACA1" w14:textId="77777777" w:rsidR="00554798" w:rsidRPr="00EE405C" w:rsidRDefault="00554798" w:rsidP="00CF1A36">
            <w:pPr>
              <w:jc w:val="center"/>
              <w:rPr>
                <w:sz w:val="20"/>
                <w:szCs w:val="20"/>
                <w:lang w:val="en-US"/>
              </w:rPr>
            </w:pPr>
            <w:r w:rsidRPr="00EE405C">
              <w:rPr>
                <w:sz w:val="20"/>
                <w:szCs w:val="20"/>
                <w:lang w:val="en-US"/>
              </w:rPr>
              <w:t>(0.009)</w:t>
            </w:r>
          </w:p>
        </w:tc>
      </w:tr>
      <w:tr w:rsidR="00554798" w:rsidRPr="00EA4E10" w14:paraId="635A3AF0" w14:textId="77777777" w:rsidTr="00CF1A36">
        <w:trPr>
          <w:trHeight w:val="312"/>
        </w:trPr>
        <w:tc>
          <w:tcPr>
            <w:tcW w:w="1699" w:type="pct"/>
            <w:tcBorders>
              <w:top w:val="nil"/>
              <w:left w:val="nil"/>
              <w:bottom w:val="nil"/>
              <w:right w:val="nil"/>
            </w:tcBorders>
            <w:shd w:val="clear" w:color="auto" w:fill="auto"/>
            <w:noWrap/>
            <w:vAlign w:val="bottom"/>
            <w:hideMark/>
          </w:tcPr>
          <w:p w14:paraId="5F6C39F5" w14:textId="77777777" w:rsidR="00554798" w:rsidRPr="00EE405C" w:rsidRDefault="00554798" w:rsidP="00CF1A36">
            <w:pPr>
              <w:jc w:val="center"/>
              <w:rPr>
                <w:sz w:val="20"/>
                <w:szCs w:val="20"/>
                <w:lang w:val="en-US"/>
              </w:rPr>
            </w:pPr>
          </w:p>
        </w:tc>
        <w:tc>
          <w:tcPr>
            <w:tcW w:w="1106" w:type="pct"/>
            <w:tcBorders>
              <w:top w:val="nil"/>
              <w:left w:val="nil"/>
              <w:bottom w:val="nil"/>
              <w:right w:val="nil"/>
            </w:tcBorders>
            <w:shd w:val="clear" w:color="auto" w:fill="auto"/>
            <w:noWrap/>
            <w:vAlign w:val="bottom"/>
            <w:hideMark/>
          </w:tcPr>
          <w:p w14:paraId="55F86430" w14:textId="77777777" w:rsidR="00554798" w:rsidRPr="00EA4E10" w:rsidRDefault="00554798" w:rsidP="00CF1A36">
            <w:pPr>
              <w:rPr>
                <w:sz w:val="20"/>
                <w:szCs w:val="20"/>
                <w:lang w:val="en-US"/>
              </w:rPr>
            </w:pPr>
          </w:p>
        </w:tc>
        <w:tc>
          <w:tcPr>
            <w:tcW w:w="1251" w:type="pct"/>
            <w:tcBorders>
              <w:top w:val="nil"/>
              <w:left w:val="nil"/>
              <w:bottom w:val="nil"/>
              <w:right w:val="nil"/>
            </w:tcBorders>
            <w:shd w:val="clear" w:color="auto" w:fill="auto"/>
            <w:noWrap/>
            <w:vAlign w:val="bottom"/>
            <w:hideMark/>
          </w:tcPr>
          <w:p w14:paraId="35286CC4" w14:textId="77777777" w:rsidR="00554798" w:rsidRPr="00EA4E10" w:rsidRDefault="00554798" w:rsidP="00CF1A36">
            <w:pPr>
              <w:jc w:val="center"/>
              <w:rPr>
                <w:sz w:val="20"/>
                <w:szCs w:val="20"/>
                <w:lang w:val="en-US"/>
              </w:rPr>
            </w:pPr>
          </w:p>
        </w:tc>
        <w:tc>
          <w:tcPr>
            <w:tcW w:w="944" w:type="pct"/>
            <w:tcBorders>
              <w:top w:val="nil"/>
              <w:left w:val="nil"/>
              <w:bottom w:val="nil"/>
              <w:right w:val="nil"/>
            </w:tcBorders>
            <w:shd w:val="clear" w:color="auto" w:fill="auto"/>
            <w:noWrap/>
            <w:vAlign w:val="bottom"/>
            <w:hideMark/>
          </w:tcPr>
          <w:p w14:paraId="6AE1612F" w14:textId="77777777" w:rsidR="00554798" w:rsidRPr="00EA4E10" w:rsidRDefault="00554798" w:rsidP="00CF1A36">
            <w:pPr>
              <w:jc w:val="center"/>
              <w:rPr>
                <w:sz w:val="20"/>
                <w:szCs w:val="20"/>
                <w:lang w:val="en-US"/>
              </w:rPr>
            </w:pPr>
          </w:p>
        </w:tc>
      </w:tr>
      <w:tr w:rsidR="00554798" w:rsidRPr="00EA4E10" w14:paraId="7BCD54C1" w14:textId="77777777" w:rsidTr="00CF1A36">
        <w:trPr>
          <w:trHeight w:val="312"/>
        </w:trPr>
        <w:tc>
          <w:tcPr>
            <w:tcW w:w="1699" w:type="pct"/>
            <w:tcBorders>
              <w:top w:val="nil"/>
              <w:left w:val="nil"/>
              <w:bottom w:val="nil"/>
              <w:right w:val="nil"/>
            </w:tcBorders>
            <w:shd w:val="clear" w:color="auto" w:fill="auto"/>
            <w:noWrap/>
            <w:vAlign w:val="center"/>
            <w:hideMark/>
          </w:tcPr>
          <w:p w14:paraId="1793F490" w14:textId="77777777" w:rsidR="00554798" w:rsidRPr="00EA4E10" w:rsidRDefault="00554798" w:rsidP="00CF1A36">
            <w:pPr>
              <w:rPr>
                <w:sz w:val="20"/>
                <w:szCs w:val="20"/>
                <w:lang w:val="en-US"/>
              </w:rPr>
            </w:pPr>
            <w:r w:rsidRPr="00EE405C">
              <w:rPr>
                <w:sz w:val="20"/>
                <w:szCs w:val="20"/>
                <w:lang w:val="en-US"/>
              </w:rPr>
              <w:t>Observations</w:t>
            </w:r>
          </w:p>
        </w:tc>
        <w:tc>
          <w:tcPr>
            <w:tcW w:w="1106" w:type="pct"/>
            <w:tcBorders>
              <w:top w:val="nil"/>
              <w:left w:val="nil"/>
              <w:bottom w:val="nil"/>
              <w:right w:val="nil"/>
            </w:tcBorders>
            <w:shd w:val="clear" w:color="auto" w:fill="auto"/>
            <w:noWrap/>
            <w:vAlign w:val="bottom"/>
            <w:hideMark/>
          </w:tcPr>
          <w:p w14:paraId="2219F6F4" w14:textId="77777777" w:rsidR="00554798" w:rsidRPr="00EE405C" w:rsidRDefault="00554798" w:rsidP="00CF1A36">
            <w:pPr>
              <w:jc w:val="center"/>
              <w:rPr>
                <w:sz w:val="20"/>
                <w:szCs w:val="20"/>
                <w:lang w:val="en-US"/>
              </w:rPr>
            </w:pPr>
            <w:r w:rsidRPr="00EE405C">
              <w:rPr>
                <w:sz w:val="20"/>
                <w:szCs w:val="20"/>
                <w:lang w:val="en-US"/>
              </w:rPr>
              <w:t>17,475</w:t>
            </w:r>
          </w:p>
        </w:tc>
        <w:tc>
          <w:tcPr>
            <w:tcW w:w="1251" w:type="pct"/>
            <w:tcBorders>
              <w:top w:val="nil"/>
              <w:left w:val="nil"/>
              <w:bottom w:val="nil"/>
              <w:right w:val="nil"/>
            </w:tcBorders>
            <w:shd w:val="clear" w:color="auto" w:fill="auto"/>
            <w:noWrap/>
            <w:vAlign w:val="bottom"/>
            <w:hideMark/>
          </w:tcPr>
          <w:p w14:paraId="5923C2C9" w14:textId="77777777" w:rsidR="00554798" w:rsidRPr="00EE405C" w:rsidRDefault="00554798" w:rsidP="00CF1A36">
            <w:pPr>
              <w:jc w:val="center"/>
              <w:rPr>
                <w:sz w:val="20"/>
                <w:szCs w:val="20"/>
                <w:lang w:val="en-US"/>
              </w:rPr>
            </w:pPr>
            <w:r w:rsidRPr="00EE405C">
              <w:rPr>
                <w:sz w:val="20"/>
                <w:szCs w:val="20"/>
                <w:lang w:val="en-US"/>
              </w:rPr>
              <w:t>43,262</w:t>
            </w:r>
          </w:p>
        </w:tc>
        <w:tc>
          <w:tcPr>
            <w:tcW w:w="944" w:type="pct"/>
            <w:tcBorders>
              <w:top w:val="nil"/>
              <w:left w:val="nil"/>
              <w:bottom w:val="nil"/>
              <w:right w:val="nil"/>
            </w:tcBorders>
            <w:shd w:val="clear" w:color="auto" w:fill="auto"/>
            <w:noWrap/>
            <w:vAlign w:val="bottom"/>
            <w:hideMark/>
          </w:tcPr>
          <w:p w14:paraId="4BF4722F" w14:textId="77777777" w:rsidR="00554798" w:rsidRPr="00EE405C" w:rsidRDefault="00554798" w:rsidP="00CF1A36">
            <w:pPr>
              <w:jc w:val="center"/>
              <w:rPr>
                <w:sz w:val="20"/>
                <w:szCs w:val="20"/>
                <w:lang w:val="en-US"/>
              </w:rPr>
            </w:pPr>
            <w:r w:rsidRPr="00EE405C">
              <w:rPr>
                <w:sz w:val="20"/>
                <w:szCs w:val="20"/>
                <w:lang w:val="en-US"/>
              </w:rPr>
              <w:t>34,562</w:t>
            </w:r>
          </w:p>
        </w:tc>
      </w:tr>
      <w:tr w:rsidR="00554798" w:rsidRPr="00EA4E10" w14:paraId="1855E54B" w14:textId="77777777" w:rsidTr="00CF1A36">
        <w:trPr>
          <w:trHeight w:val="312"/>
        </w:trPr>
        <w:tc>
          <w:tcPr>
            <w:tcW w:w="1699" w:type="pct"/>
            <w:tcBorders>
              <w:top w:val="nil"/>
              <w:left w:val="nil"/>
              <w:bottom w:val="nil"/>
              <w:right w:val="nil"/>
            </w:tcBorders>
            <w:shd w:val="clear" w:color="auto" w:fill="auto"/>
            <w:noWrap/>
            <w:vAlign w:val="center"/>
            <w:hideMark/>
          </w:tcPr>
          <w:p w14:paraId="0AE26926" w14:textId="416D3D33" w:rsidR="00554798" w:rsidRPr="00EE405C" w:rsidRDefault="00554798" w:rsidP="00CF1A36">
            <w:pPr>
              <w:rPr>
                <w:sz w:val="20"/>
                <w:szCs w:val="20"/>
                <w:lang w:val="en-US"/>
              </w:rPr>
            </w:pPr>
            <w:r w:rsidRPr="00EE405C">
              <w:rPr>
                <w:sz w:val="20"/>
                <w:szCs w:val="20"/>
                <w:lang w:val="en-US"/>
              </w:rPr>
              <w:t xml:space="preserve">Number of </w:t>
            </w:r>
            <w:r w:rsidR="00137BB1">
              <w:rPr>
                <w:sz w:val="20"/>
                <w:szCs w:val="20"/>
                <w:lang w:val="en-US"/>
              </w:rPr>
              <w:t xml:space="preserve">individuals </w:t>
            </w:r>
          </w:p>
        </w:tc>
        <w:tc>
          <w:tcPr>
            <w:tcW w:w="1106" w:type="pct"/>
            <w:tcBorders>
              <w:top w:val="nil"/>
              <w:left w:val="nil"/>
              <w:bottom w:val="nil"/>
              <w:right w:val="nil"/>
            </w:tcBorders>
            <w:shd w:val="clear" w:color="auto" w:fill="auto"/>
            <w:noWrap/>
            <w:vAlign w:val="bottom"/>
            <w:hideMark/>
          </w:tcPr>
          <w:p w14:paraId="2AE88C9B" w14:textId="77777777" w:rsidR="00554798" w:rsidRPr="00EE405C" w:rsidRDefault="00554798" w:rsidP="00CF1A36">
            <w:pPr>
              <w:jc w:val="center"/>
              <w:rPr>
                <w:sz w:val="20"/>
                <w:szCs w:val="20"/>
                <w:lang w:val="en-US"/>
              </w:rPr>
            </w:pPr>
            <w:r w:rsidRPr="00EE405C">
              <w:rPr>
                <w:sz w:val="20"/>
                <w:szCs w:val="20"/>
                <w:lang w:val="en-US"/>
              </w:rPr>
              <w:t>4,887</w:t>
            </w:r>
          </w:p>
        </w:tc>
        <w:tc>
          <w:tcPr>
            <w:tcW w:w="1251" w:type="pct"/>
            <w:tcBorders>
              <w:top w:val="nil"/>
              <w:left w:val="nil"/>
              <w:bottom w:val="nil"/>
              <w:right w:val="nil"/>
            </w:tcBorders>
            <w:shd w:val="clear" w:color="auto" w:fill="auto"/>
            <w:noWrap/>
            <w:vAlign w:val="bottom"/>
            <w:hideMark/>
          </w:tcPr>
          <w:p w14:paraId="3666D9D2" w14:textId="77777777" w:rsidR="00554798" w:rsidRPr="00EE405C" w:rsidRDefault="00554798" w:rsidP="00CF1A36">
            <w:pPr>
              <w:jc w:val="center"/>
              <w:rPr>
                <w:sz w:val="20"/>
                <w:szCs w:val="20"/>
                <w:lang w:val="en-US"/>
              </w:rPr>
            </w:pPr>
            <w:r w:rsidRPr="00EE405C">
              <w:rPr>
                <w:sz w:val="20"/>
                <w:szCs w:val="20"/>
                <w:lang w:val="en-US"/>
              </w:rPr>
              <w:t>3,398</w:t>
            </w:r>
          </w:p>
        </w:tc>
        <w:tc>
          <w:tcPr>
            <w:tcW w:w="944" w:type="pct"/>
            <w:tcBorders>
              <w:top w:val="nil"/>
              <w:left w:val="nil"/>
              <w:bottom w:val="nil"/>
              <w:right w:val="nil"/>
            </w:tcBorders>
            <w:shd w:val="clear" w:color="auto" w:fill="auto"/>
            <w:noWrap/>
            <w:vAlign w:val="bottom"/>
            <w:hideMark/>
          </w:tcPr>
          <w:p w14:paraId="22BF1A05" w14:textId="77777777" w:rsidR="00554798" w:rsidRPr="00EE405C" w:rsidRDefault="00554798" w:rsidP="00CF1A36">
            <w:pPr>
              <w:jc w:val="center"/>
              <w:rPr>
                <w:sz w:val="20"/>
                <w:szCs w:val="20"/>
                <w:lang w:val="en-US"/>
              </w:rPr>
            </w:pPr>
            <w:r w:rsidRPr="00EE405C">
              <w:rPr>
                <w:sz w:val="20"/>
                <w:szCs w:val="20"/>
                <w:lang w:val="en-US"/>
              </w:rPr>
              <w:t>2,557</w:t>
            </w:r>
          </w:p>
        </w:tc>
      </w:tr>
      <w:tr w:rsidR="00554798" w:rsidRPr="00EA4E10" w14:paraId="5D3E4F83" w14:textId="77777777" w:rsidTr="00CF1A36">
        <w:trPr>
          <w:trHeight w:val="312"/>
        </w:trPr>
        <w:tc>
          <w:tcPr>
            <w:tcW w:w="1699" w:type="pct"/>
            <w:tcBorders>
              <w:top w:val="nil"/>
              <w:left w:val="nil"/>
              <w:bottom w:val="nil"/>
              <w:right w:val="nil"/>
            </w:tcBorders>
            <w:shd w:val="clear" w:color="auto" w:fill="auto"/>
            <w:noWrap/>
            <w:vAlign w:val="center"/>
            <w:hideMark/>
          </w:tcPr>
          <w:p w14:paraId="324A3FEB" w14:textId="77777777" w:rsidR="00554798" w:rsidRPr="00EE405C" w:rsidRDefault="00554798" w:rsidP="00CF1A36">
            <w:pPr>
              <w:rPr>
                <w:sz w:val="20"/>
                <w:szCs w:val="20"/>
                <w:lang w:val="en-US"/>
              </w:rPr>
            </w:pPr>
            <w:r w:rsidRPr="00EE405C">
              <w:rPr>
                <w:sz w:val="20"/>
                <w:szCs w:val="20"/>
                <w:lang w:val="en-US"/>
              </w:rPr>
              <w:t>Controls</w:t>
            </w:r>
          </w:p>
        </w:tc>
        <w:tc>
          <w:tcPr>
            <w:tcW w:w="1106" w:type="pct"/>
            <w:tcBorders>
              <w:top w:val="nil"/>
              <w:left w:val="nil"/>
              <w:bottom w:val="nil"/>
              <w:right w:val="nil"/>
            </w:tcBorders>
            <w:shd w:val="clear" w:color="auto" w:fill="auto"/>
            <w:noWrap/>
            <w:vAlign w:val="bottom"/>
            <w:hideMark/>
          </w:tcPr>
          <w:p w14:paraId="6582F3C2" w14:textId="77777777" w:rsidR="00554798" w:rsidRPr="00EE405C" w:rsidRDefault="00554798" w:rsidP="00CF1A36">
            <w:pPr>
              <w:jc w:val="center"/>
              <w:rPr>
                <w:sz w:val="20"/>
                <w:szCs w:val="20"/>
                <w:lang w:val="en-US"/>
              </w:rPr>
            </w:pPr>
            <w:r w:rsidRPr="00EE405C">
              <w:rPr>
                <w:sz w:val="20"/>
                <w:szCs w:val="20"/>
                <w:lang w:val="en-US"/>
              </w:rPr>
              <w:t>YES</w:t>
            </w:r>
          </w:p>
        </w:tc>
        <w:tc>
          <w:tcPr>
            <w:tcW w:w="1251" w:type="pct"/>
            <w:tcBorders>
              <w:top w:val="nil"/>
              <w:left w:val="nil"/>
              <w:bottom w:val="nil"/>
              <w:right w:val="nil"/>
            </w:tcBorders>
            <w:shd w:val="clear" w:color="auto" w:fill="auto"/>
            <w:noWrap/>
            <w:vAlign w:val="bottom"/>
            <w:hideMark/>
          </w:tcPr>
          <w:p w14:paraId="6BCE4E10" w14:textId="77777777" w:rsidR="00554798" w:rsidRPr="00EE405C" w:rsidRDefault="00554798" w:rsidP="00CF1A36">
            <w:pPr>
              <w:jc w:val="center"/>
              <w:rPr>
                <w:sz w:val="20"/>
                <w:szCs w:val="20"/>
                <w:lang w:val="en-US"/>
              </w:rPr>
            </w:pPr>
            <w:r w:rsidRPr="00EE405C">
              <w:rPr>
                <w:sz w:val="20"/>
                <w:szCs w:val="20"/>
                <w:lang w:val="en-US"/>
              </w:rPr>
              <w:t>YES</w:t>
            </w:r>
          </w:p>
        </w:tc>
        <w:tc>
          <w:tcPr>
            <w:tcW w:w="944" w:type="pct"/>
            <w:tcBorders>
              <w:top w:val="nil"/>
              <w:left w:val="nil"/>
              <w:bottom w:val="nil"/>
              <w:right w:val="nil"/>
            </w:tcBorders>
            <w:shd w:val="clear" w:color="auto" w:fill="auto"/>
            <w:noWrap/>
            <w:vAlign w:val="bottom"/>
            <w:hideMark/>
          </w:tcPr>
          <w:p w14:paraId="6495ADED" w14:textId="77777777" w:rsidR="00554798" w:rsidRPr="00EE405C" w:rsidRDefault="00554798" w:rsidP="00CF1A36">
            <w:pPr>
              <w:jc w:val="center"/>
              <w:rPr>
                <w:sz w:val="20"/>
                <w:szCs w:val="20"/>
                <w:lang w:val="en-US"/>
              </w:rPr>
            </w:pPr>
            <w:r w:rsidRPr="00EE405C">
              <w:rPr>
                <w:sz w:val="20"/>
                <w:szCs w:val="20"/>
                <w:lang w:val="en-US"/>
              </w:rPr>
              <w:t>YES</w:t>
            </w:r>
          </w:p>
        </w:tc>
      </w:tr>
      <w:tr w:rsidR="00554798" w:rsidRPr="00EA4E10" w14:paraId="6A72CA81" w14:textId="77777777" w:rsidTr="00E75B23">
        <w:trPr>
          <w:trHeight w:val="312"/>
        </w:trPr>
        <w:tc>
          <w:tcPr>
            <w:tcW w:w="1699" w:type="pct"/>
            <w:tcBorders>
              <w:top w:val="nil"/>
              <w:left w:val="nil"/>
              <w:right w:val="nil"/>
            </w:tcBorders>
            <w:shd w:val="clear" w:color="auto" w:fill="auto"/>
            <w:noWrap/>
            <w:vAlign w:val="center"/>
            <w:hideMark/>
          </w:tcPr>
          <w:p w14:paraId="3A7D3C71" w14:textId="77777777" w:rsidR="00554798" w:rsidRPr="00EE405C" w:rsidRDefault="00554798" w:rsidP="00CF1A36">
            <w:pPr>
              <w:rPr>
                <w:sz w:val="20"/>
                <w:szCs w:val="20"/>
                <w:lang w:val="en-US"/>
              </w:rPr>
            </w:pPr>
            <w:r w:rsidRPr="00EE405C">
              <w:rPr>
                <w:sz w:val="20"/>
                <w:szCs w:val="20"/>
                <w:lang w:val="en-US"/>
              </w:rPr>
              <w:t>Region FE</w:t>
            </w:r>
          </w:p>
        </w:tc>
        <w:tc>
          <w:tcPr>
            <w:tcW w:w="1106" w:type="pct"/>
            <w:tcBorders>
              <w:top w:val="nil"/>
              <w:left w:val="nil"/>
              <w:right w:val="nil"/>
            </w:tcBorders>
            <w:shd w:val="clear" w:color="auto" w:fill="auto"/>
            <w:noWrap/>
            <w:vAlign w:val="bottom"/>
            <w:hideMark/>
          </w:tcPr>
          <w:p w14:paraId="71848B72" w14:textId="77777777" w:rsidR="00554798" w:rsidRPr="00EE405C" w:rsidRDefault="00554798" w:rsidP="00CF1A36">
            <w:pPr>
              <w:jc w:val="center"/>
              <w:rPr>
                <w:sz w:val="20"/>
                <w:szCs w:val="20"/>
                <w:lang w:val="en-US"/>
              </w:rPr>
            </w:pPr>
            <w:r w:rsidRPr="00EE405C">
              <w:rPr>
                <w:sz w:val="20"/>
                <w:szCs w:val="20"/>
                <w:lang w:val="en-US"/>
              </w:rPr>
              <w:t>YES</w:t>
            </w:r>
          </w:p>
        </w:tc>
        <w:tc>
          <w:tcPr>
            <w:tcW w:w="1251" w:type="pct"/>
            <w:tcBorders>
              <w:top w:val="nil"/>
              <w:left w:val="nil"/>
              <w:right w:val="nil"/>
            </w:tcBorders>
            <w:shd w:val="clear" w:color="auto" w:fill="auto"/>
            <w:noWrap/>
            <w:vAlign w:val="bottom"/>
            <w:hideMark/>
          </w:tcPr>
          <w:p w14:paraId="04E690CD" w14:textId="77777777" w:rsidR="00554798" w:rsidRPr="00EE405C" w:rsidRDefault="00554798" w:rsidP="00CF1A36">
            <w:pPr>
              <w:jc w:val="center"/>
              <w:rPr>
                <w:sz w:val="20"/>
                <w:szCs w:val="20"/>
                <w:lang w:val="en-US"/>
              </w:rPr>
            </w:pPr>
            <w:r w:rsidRPr="00EE405C">
              <w:rPr>
                <w:sz w:val="20"/>
                <w:szCs w:val="20"/>
                <w:lang w:val="en-US"/>
              </w:rPr>
              <w:t>YES</w:t>
            </w:r>
          </w:p>
        </w:tc>
        <w:tc>
          <w:tcPr>
            <w:tcW w:w="944" w:type="pct"/>
            <w:tcBorders>
              <w:top w:val="nil"/>
              <w:left w:val="nil"/>
              <w:right w:val="nil"/>
            </w:tcBorders>
            <w:shd w:val="clear" w:color="auto" w:fill="auto"/>
            <w:noWrap/>
            <w:vAlign w:val="bottom"/>
            <w:hideMark/>
          </w:tcPr>
          <w:p w14:paraId="1C4DA9AB" w14:textId="77777777" w:rsidR="00554798" w:rsidRPr="00EE405C" w:rsidRDefault="00554798" w:rsidP="00CF1A36">
            <w:pPr>
              <w:jc w:val="center"/>
              <w:rPr>
                <w:sz w:val="20"/>
                <w:szCs w:val="20"/>
                <w:lang w:val="en-US"/>
              </w:rPr>
            </w:pPr>
            <w:r w:rsidRPr="00EE405C">
              <w:rPr>
                <w:sz w:val="20"/>
                <w:szCs w:val="20"/>
                <w:lang w:val="en-US"/>
              </w:rPr>
              <w:t>YES</w:t>
            </w:r>
          </w:p>
        </w:tc>
      </w:tr>
      <w:tr w:rsidR="00554798" w:rsidRPr="00EA4E10" w14:paraId="1197AD71" w14:textId="77777777" w:rsidTr="00E75B23">
        <w:trPr>
          <w:trHeight w:val="312"/>
        </w:trPr>
        <w:tc>
          <w:tcPr>
            <w:tcW w:w="1699" w:type="pct"/>
            <w:tcBorders>
              <w:top w:val="nil"/>
              <w:left w:val="nil"/>
              <w:bottom w:val="single" w:sz="4" w:space="0" w:color="auto"/>
              <w:right w:val="nil"/>
            </w:tcBorders>
            <w:shd w:val="clear" w:color="auto" w:fill="auto"/>
            <w:noWrap/>
            <w:vAlign w:val="center"/>
            <w:hideMark/>
          </w:tcPr>
          <w:p w14:paraId="50CF9858" w14:textId="77777777" w:rsidR="00554798" w:rsidRPr="00EE405C" w:rsidRDefault="00554798" w:rsidP="00CF1A36">
            <w:pPr>
              <w:rPr>
                <w:sz w:val="20"/>
                <w:szCs w:val="20"/>
                <w:lang w:val="en-US"/>
              </w:rPr>
            </w:pPr>
            <w:r w:rsidRPr="00EE405C">
              <w:rPr>
                <w:sz w:val="20"/>
                <w:szCs w:val="20"/>
                <w:lang w:val="en-US"/>
              </w:rPr>
              <w:t>Time FE</w:t>
            </w:r>
          </w:p>
        </w:tc>
        <w:tc>
          <w:tcPr>
            <w:tcW w:w="1106" w:type="pct"/>
            <w:tcBorders>
              <w:top w:val="nil"/>
              <w:left w:val="nil"/>
              <w:bottom w:val="single" w:sz="4" w:space="0" w:color="auto"/>
              <w:right w:val="nil"/>
            </w:tcBorders>
            <w:shd w:val="clear" w:color="auto" w:fill="auto"/>
            <w:noWrap/>
            <w:vAlign w:val="bottom"/>
            <w:hideMark/>
          </w:tcPr>
          <w:p w14:paraId="47144DDF" w14:textId="77777777" w:rsidR="00554798" w:rsidRPr="00EE405C" w:rsidRDefault="00554798" w:rsidP="00CF1A36">
            <w:pPr>
              <w:jc w:val="center"/>
              <w:rPr>
                <w:sz w:val="20"/>
                <w:szCs w:val="20"/>
                <w:lang w:val="en-US"/>
              </w:rPr>
            </w:pPr>
            <w:r w:rsidRPr="00EE405C">
              <w:rPr>
                <w:sz w:val="20"/>
                <w:szCs w:val="20"/>
                <w:lang w:val="en-US"/>
              </w:rPr>
              <w:t>YES</w:t>
            </w:r>
          </w:p>
        </w:tc>
        <w:tc>
          <w:tcPr>
            <w:tcW w:w="1251" w:type="pct"/>
            <w:tcBorders>
              <w:top w:val="nil"/>
              <w:left w:val="nil"/>
              <w:bottom w:val="single" w:sz="4" w:space="0" w:color="auto"/>
              <w:right w:val="nil"/>
            </w:tcBorders>
            <w:shd w:val="clear" w:color="auto" w:fill="auto"/>
            <w:noWrap/>
            <w:vAlign w:val="bottom"/>
            <w:hideMark/>
          </w:tcPr>
          <w:p w14:paraId="70FC3F0C" w14:textId="77777777" w:rsidR="00554798" w:rsidRPr="00EE405C" w:rsidRDefault="00554798" w:rsidP="00CF1A36">
            <w:pPr>
              <w:jc w:val="center"/>
              <w:rPr>
                <w:sz w:val="20"/>
                <w:szCs w:val="20"/>
                <w:lang w:val="en-US"/>
              </w:rPr>
            </w:pPr>
            <w:r w:rsidRPr="00EE405C">
              <w:rPr>
                <w:sz w:val="20"/>
                <w:szCs w:val="20"/>
                <w:lang w:val="en-US"/>
              </w:rPr>
              <w:t>YES</w:t>
            </w:r>
          </w:p>
        </w:tc>
        <w:tc>
          <w:tcPr>
            <w:tcW w:w="944" w:type="pct"/>
            <w:tcBorders>
              <w:top w:val="nil"/>
              <w:left w:val="nil"/>
              <w:bottom w:val="single" w:sz="4" w:space="0" w:color="auto"/>
              <w:right w:val="nil"/>
            </w:tcBorders>
            <w:shd w:val="clear" w:color="auto" w:fill="auto"/>
            <w:noWrap/>
            <w:vAlign w:val="bottom"/>
            <w:hideMark/>
          </w:tcPr>
          <w:p w14:paraId="180BA3CD" w14:textId="246CC3F7" w:rsidR="00554798" w:rsidRPr="00EE405C" w:rsidRDefault="00EF0144" w:rsidP="00CF1A36">
            <w:pPr>
              <w:jc w:val="center"/>
              <w:rPr>
                <w:sz w:val="20"/>
                <w:szCs w:val="20"/>
                <w:lang w:val="en-US"/>
              </w:rPr>
            </w:pPr>
            <w:r>
              <w:rPr>
                <w:sz w:val="20"/>
                <w:szCs w:val="20"/>
                <w:lang w:val="en-US"/>
              </w:rPr>
              <w:t>YES</w:t>
            </w:r>
          </w:p>
        </w:tc>
      </w:tr>
    </w:tbl>
    <w:p w14:paraId="72107408" w14:textId="77777777" w:rsidR="00554798" w:rsidRDefault="00554798" w:rsidP="00554798">
      <w:pPr>
        <w:jc w:val="both"/>
        <w:rPr>
          <w:sz w:val="20"/>
          <w:szCs w:val="20"/>
        </w:rPr>
      </w:pPr>
    </w:p>
    <w:p w14:paraId="7C4047D2" w14:textId="6CD8FCA8" w:rsidR="00554798" w:rsidRPr="00BE4D96" w:rsidRDefault="00554798" w:rsidP="00554798">
      <w:pPr>
        <w:jc w:val="both"/>
        <w:rPr>
          <w:sz w:val="20"/>
          <w:szCs w:val="20"/>
        </w:rPr>
      </w:pPr>
      <w:r w:rsidRPr="00BE4D96">
        <w:rPr>
          <w:sz w:val="20"/>
          <w:szCs w:val="20"/>
        </w:rPr>
        <w:t xml:space="preserve">Notes: </w:t>
      </w:r>
      <w:r>
        <w:rPr>
          <w:sz w:val="20"/>
          <w:szCs w:val="20"/>
        </w:rPr>
        <w:t>OLS coefficient estimates are reported, with robust standard errors in parentheses. Standard errors are clustered at the individual-level. The BHPS data set from 1991 to 2008 is restricted to “Ever smokers” that are individuals who have been a smoker in at least one year of the survey. Smoker is a dummy that equals 1 if individual i in region r is a smoker at time t. All Big Five personality variables are standardized with a mean of 0 and a standard deviation of 1. Ban*</w:t>
      </w:r>
      <w:r w:rsidR="00EF0144" w:rsidRPr="00EE405C">
        <w:rPr>
          <w:sz w:val="20"/>
          <w:szCs w:val="20"/>
          <w:lang w:val="en-US"/>
        </w:rPr>
        <w:t>Conscientiousness</w:t>
      </w:r>
      <w:r>
        <w:rPr>
          <w:sz w:val="20"/>
          <w:szCs w:val="20"/>
        </w:rPr>
        <w:t xml:space="preserve"> </w:t>
      </w:r>
      <w:r w:rsidRPr="007850C3">
        <w:rPr>
          <w:sz w:val="20"/>
          <w:szCs w:val="20"/>
        </w:rPr>
        <w:t>is an interaction of a dummy variable ban and a standardised conscientiousness variable</w:t>
      </w:r>
      <w:r>
        <w:rPr>
          <w:sz w:val="20"/>
          <w:szCs w:val="20"/>
        </w:rPr>
        <w:t>. Ban equals one if an individual is affected by the ban depending on the time and region of interview of individual i. The ban was implemented in 04/2006 in Scotland, 04/2007 in Wales, 05/2007 in Northern Ireland and 07/2007 in England.</w:t>
      </w:r>
      <w:r w:rsidRPr="007850C3">
        <w:rPr>
          <w:sz w:val="20"/>
          <w:szCs w:val="20"/>
        </w:rPr>
        <w:t xml:space="preserve"> </w:t>
      </w:r>
      <w:r>
        <w:rPr>
          <w:sz w:val="20"/>
          <w:szCs w:val="20"/>
        </w:rPr>
        <w:t>Control variables include age, age squared, sex, marital status, educational degree, household income, number of children in the household, employment status and immigrant status as well as time and region fixed effects. The regression further controls for the remaining Big Five personality variables interacted with the ban dummy.</w:t>
      </w:r>
    </w:p>
    <w:p w14:paraId="52A1F02F" w14:textId="77777777" w:rsidR="00554798" w:rsidRDefault="00554798" w:rsidP="00390007">
      <w:pPr>
        <w:spacing w:line="360" w:lineRule="auto"/>
      </w:pPr>
    </w:p>
    <w:p w14:paraId="593D7076" w14:textId="2DB352C3" w:rsidR="00D8362B" w:rsidRDefault="00390007" w:rsidP="00E75B23">
      <w:pPr>
        <w:spacing w:line="360" w:lineRule="auto"/>
        <w:ind w:firstLine="720"/>
        <w:jc w:val="both"/>
      </w:pPr>
      <w:r>
        <w:t xml:space="preserve">Second, </w:t>
      </w:r>
      <w:r w:rsidR="00D8362B">
        <w:t xml:space="preserve">we restrict </w:t>
      </w:r>
      <w:r>
        <w:t xml:space="preserve">the sample </w:t>
      </w:r>
      <w:r w:rsidR="00D8362B">
        <w:t>to</w:t>
      </w:r>
      <w:r>
        <w:t xml:space="preserve"> </w:t>
      </w:r>
      <w:r w:rsidR="00141DDD">
        <w:t>England and Scotland</w:t>
      </w:r>
      <w:r w:rsidR="003526BB">
        <w:t xml:space="preserve"> in </w:t>
      </w:r>
      <w:r w:rsidR="00D8362B">
        <w:t xml:space="preserve">column </w:t>
      </w:r>
      <w:r w:rsidR="003526BB">
        <w:t>(2)</w:t>
      </w:r>
      <w:r w:rsidR="00D8362B">
        <w:t xml:space="preserve"> </w:t>
      </w:r>
      <w:r w:rsidR="007E7CFD">
        <w:fldChar w:fldCharType="begin"/>
      </w:r>
      <w:r w:rsidR="007E7CFD">
        <w:instrText xml:space="preserve"> REF _Ref24387618 </w:instrText>
      </w:r>
      <w:r w:rsidR="007E7CFD">
        <w:fldChar w:fldCharType="separate"/>
      </w:r>
      <w:r w:rsidR="00904D86" w:rsidRPr="00904D86">
        <w:t xml:space="preserve">Table </w:t>
      </w:r>
      <w:r w:rsidR="00904D86" w:rsidRPr="00904D86">
        <w:rPr>
          <w:noProof/>
        </w:rPr>
        <w:t>4</w:t>
      </w:r>
      <w:r w:rsidR="007E7CFD">
        <w:rPr>
          <w:noProof/>
        </w:rPr>
        <w:fldChar w:fldCharType="end"/>
      </w:r>
      <w:r w:rsidR="003526BB">
        <w:t>. As discussed, these countries are arguably better comparators</w:t>
      </w:r>
      <w:r w:rsidR="00D8362B">
        <w:t xml:space="preserve"> given they have similar trends (see Figure </w:t>
      </w:r>
      <w:r w:rsidR="00C9493F">
        <w:t>2</w:t>
      </w:r>
      <w:r w:rsidR="00D8362B">
        <w:t>)</w:t>
      </w:r>
      <w:r w:rsidR="003526BB">
        <w:t xml:space="preserve">. </w:t>
      </w:r>
      <w:r w:rsidR="00141DDD">
        <w:t xml:space="preserve"> </w:t>
      </w:r>
      <w:r w:rsidR="003526BB">
        <w:t>W</w:t>
      </w:r>
      <w:r w:rsidR="00141DDD">
        <w:t>hen restricting the sample to England and Scotland, the coefficient increases</w:t>
      </w:r>
      <w:r w:rsidR="000E15FF">
        <w:t xml:space="preserve"> </w:t>
      </w:r>
      <w:r w:rsidR="00141DDD">
        <w:t xml:space="preserve">to </w:t>
      </w:r>
      <w:r w:rsidR="000E15FF">
        <w:t>1.9</w:t>
      </w:r>
      <w:r w:rsidR="009B3F4C">
        <w:t xml:space="preserve"> per</w:t>
      </w:r>
      <w:r w:rsidR="00D8362B">
        <w:t>centage point</w:t>
      </w:r>
      <w:r w:rsidR="00141DDD">
        <w:t xml:space="preserve">. </w:t>
      </w:r>
    </w:p>
    <w:p w14:paraId="3614FC8B" w14:textId="77777777" w:rsidR="0050385D" w:rsidRDefault="0050385D" w:rsidP="003526BB">
      <w:pPr>
        <w:spacing w:line="360" w:lineRule="auto"/>
        <w:jc w:val="both"/>
      </w:pPr>
    </w:p>
    <w:p w14:paraId="0DC23E10" w14:textId="44DA72CD" w:rsidR="004F0C47" w:rsidRDefault="00D8362B" w:rsidP="00E75B23">
      <w:pPr>
        <w:spacing w:line="360" w:lineRule="auto"/>
        <w:ind w:firstLine="720"/>
        <w:jc w:val="both"/>
      </w:pPr>
      <w:r>
        <w:t xml:space="preserve">Finally, we consider a model for England only with a short time window (2003-2008). This is essentially a before and after analysis. The estimates are documented in </w:t>
      </w:r>
      <w:r w:rsidR="007E7CFD">
        <w:fldChar w:fldCharType="begin"/>
      </w:r>
      <w:r w:rsidR="007E7CFD">
        <w:instrText xml:space="preserve"> RE</w:instrText>
      </w:r>
      <w:r w:rsidR="007E7CFD">
        <w:instrText xml:space="preserve">F _Ref24387618 </w:instrText>
      </w:r>
      <w:r w:rsidR="007E7CFD">
        <w:fldChar w:fldCharType="separate"/>
      </w:r>
      <w:r w:rsidR="00904D86" w:rsidRPr="00904D86">
        <w:t xml:space="preserve">Table </w:t>
      </w:r>
      <w:r w:rsidR="00904D86" w:rsidRPr="00904D86">
        <w:rPr>
          <w:noProof/>
        </w:rPr>
        <w:t>4</w:t>
      </w:r>
      <w:r w:rsidR="007E7CFD">
        <w:rPr>
          <w:noProof/>
        </w:rPr>
        <w:fldChar w:fldCharType="end"/>
      </w:r>
      <w:r w:rsidR="00904D86">
        <w:t xml:space="preserve"> </w:t>
      </w:r>
      <w:r>
        <w:t>column</w:t>
      </w:r>
      <w:r w:rsidR="00897874">
        <w:t xml:space="preserve"> (3)</w:t>
      </w:r>
      <w:r>
        <w:t>. T</w:t>
      </w:r>
      <w:r w:rsidR="00DA0DC8">
        <w:t xml:space="preserve">he </w:t>
      </w:r>
      <w:r>
        <w:t xml:space="preserve">estimated </w:t>
      </w:r>
      <w:r w:rsidR="00DA0DC8">
        <w:t>coefficient</w:t>
      </w:r>
      <w:r>
        <w:t xml:space="preserve">s are stable, albeit the </w:t>
      </w:r>
      <w:r w:rsidR="003526BB">
        <w:t>standard errors are less precise</w:t>
      </w:r>
      <w:r w:rsidR="00544C7C">
        <w:t xml:space="preserve">. </w:t>
      </w:r>
    </w:p>
    <w:p w14:paraId="2C7DD4B8" w14:textId="77777777" w:rsidR="00E703D9" w:rsidRDefault="00E703D9" w:rsidP="00922ABE">
      <w:pPr>
        <w:pStyle w:val="Heading2"/>
      </w:pPr>
      <w:bookmarkStart w:id="6" w:name="_Toc491858222"/>
      <w:r>
        <w:lastRenderedPageBreak/>
        <w:t>Conclusion</w:t>
      </w:r>
      <w:bookmarkEnd w:id="6"/>
    </w:p>
    <w:p w14:paraId="63E625AF" w14:textId="126DF7AD" w:rsidR="006D2BC7" w:rsidRDefault="00D8362B" w:rsidP="00BC0C78">
      <w:pPr>
        <w:spacing w:line="360" w:lineRule="auto"/>
        <w:ind w:firstLine="360"/>
        <w:jc w:val="both"/>
      </w:pPr>
      <w:r>
        <w:t>Our work explores whether personality i</w:t>
      </w:r>
      <w:r w:rsidR="00BC0C78">
        <w:t>nteract</w:t>
      </w:r>
      <w:r w:rsidR="006D2BC7">
        <w:t>ed</w:t>
      </w:r>
      <w:r w:rsidR="00BC0C78">
        <w:t xml:space="preserve"> with the </w:t>
      </w:r>
      <w:r w:rsidR="006D2BC7">
        <w:t xml:space="preserve">UK </w:t>
      </w:r>
      <w:r w:rsidR="00BC0C78">
        <w:t xml:space="preserve">smoking ban in terms of how responsive an individual </w:t>
      </w:r>
      <w:r w:rsidR="006D2BC7">
        <w:t>was to quitting smoking</w:t>
      </w:r>
      <w:r w:rsidR="00BC0C78">
        <w:t xml:space="preserve">. We exploit panel data and employ numerous robustness analyses to highlight that in this regard conscientiousness is the most important of the </w:t>
      </w:r>
      <w:r w:rsidR="0050385D">
        <w:t>B</w:t>
      </w:r>
      <w:r w:rsidR="00BC0C78">
        <w:t xml:space="preserve">ig </w:t>
      </w:r>
      <w:r w:rsidR="0050385D">
        <w:t>Five</w:t>
      </w:r>
      <w:r w:rsidR="00BC0C78">
        <w:t xml:space="preserve"> personality traits, at least when it comes to the smoking bans initiated in the UK. </w:t>
      </w:r>
      <w:r w:rsidR="006D2BC7">
        <w:t xml:space="preserve">Notably, conscientiousness matters for the ‘hooked generation’ </w:t>
      </w:r>
      <w:proofErr w:type="gramStart"/>
      <w:r w:rsidR="006D2BC7">
        <w:t>i.e.</w:t>
      </w:r>
      <w:proofErr w:type="gramEnd"/>
      <w:r w:rsidR="006D2BC7">
        <w:t xml:space="preserve"> the smokers who began smoking prior to the health effects becoming known. </w:t>
      </w:r>
    </w:p>
    <w:p w14:paraId="56AAB05F" w14:textId="4788F14A" w:rsidR="00A21892" w:rsidRDefault="006D2BC7" w:rsidP="00DD134C">
      <w:pPr>
        <w:spacing w:line="360" w:lineRule="auto"/>
        <w:ind w:firstLine="360"/>
        <w:jc w:val="both"/>
      </w:pPr>
      <w:r>
        <w:t>Overall, w</w:t>
      </w:r>
      <w:r w:rsidR="00BC0C78">
        <w:t xml:space="preserve">e view our work as raising the question as to whether personalisation of health policy is an avenue worth exploring further in health policy. </w:t>
      </w:r>
      <w:r w:rsidR="00A21892" w:rsidRPr="00EA3CFD">
        <w:t xml:space="preserve">This work shows that the effectiveness of public smoking bans hinges on individual characteristics and that the public smoking </w:t>
      </w:r>
      <w:proofErr w:type="gramStart"/>
      <w:r w:rsidR="00A21892" w:rsidRPr="00EA3CFD">
        <w:t>ban</w:t>
      </w:r>
      <w:proofErr w:type="gramEnd"/>
      <w:r w:rsidR="00A21892" w:rsidRPr="00EA3CFD">
        <w:t xml:space="preserve"> potentially failed to reach individuals who are most likely to be smokers in the first place</w:t>
      </w:r>
      <w:r w:rsidR="002D2616">
        <w:t>; individuals with low levels of conscientiousness</w:t>
      </w:r>
      <w:r w:rsidR="00A21892" w:rsidRPr="00EA3CFD">
        <w:t>.</w:t>
      </w:r>
      <w:r w:rsidR="00DD134C">
        <w:t xml:space="preserve"> This conclusion is echoed by the estimates illustrated in Fig. 3 above which clearly demonstrate that the biggest effects of the ban were experienced by those on the lower end of the conscientiousness distribution, however those at the very bottom were not reached. </w:t>
      </w:r>
      <w:r w:rsidR="00A21892" w:rsidRPr="00EA3CFD">
        <w:t xml:space="preserve">This finding has important policy implications: First, tailoring smoking interventions to individuals with low </w:t>
      </w:r>
      <w:r w:rsidR="006104CC">
        <w:t xml:space="preserve">levels of </w:t>
      </w:r>
      <w:r w:rsidR="00A21892" w:rsidRPr="00EA3CFD">
        <w:t xml:space="preserve">self-control by, for example, providing stricter commitment devices may be promising to reduce overall </w:t>
      </w:r>
      <w:r w:rsidR="006104CC">
        <w:t xml:space="preserve">smoking </w:t>
      </w:r>
      <w:r w:rsidR="00A21892" w:rsidRPr="00EA3CFD">
        <w:t>prevalence. Second, addressing conscientiousness during childhood could prevent smoking initiation and potentially also has spill-over effects for other life outcomes.</w:t>
      </w:r>
      <w:r w:rsidR="0050385D">
        <w:t xml:space="preserve"> This is in line with the ‘Healthy Minds’ study by Lordan and McGuire (2019), which implemented a curriculum fostering </w:t>
      </w:r>
      <w:r w:rsidR="0050385D" w:rsidRPr="0050385D">
        <w:t xml:space="preserve">personal, social, health and economic </w:t>
      </w:r>
      <w:r w:rsidR="0050385D">
        <w:t>education</w:t>
      </w:r>
      <w:r w:rsidR="00DD134C">
        <w:t xml:space="preserve"> in UK high schools in a randomised trial.</w:t>
      </w:r>
      <w:r w:rsidR="0050385D">
        <w:t xml:space="preserve"> They found a positive and significant impact of this extended curriculum on general health, life satisfaction, physical health and behaviour; a finding that highlights that childhood soft skills interventions have the potential to improve long-term life outcomes.</w:t>
      </w:r>
    </w:p>
    <w:p w14:paraId="314CDE6C" w14:textId="6D4B408C" w:rsidR="00382FEE" w:rsidRDefault="00BC0C78" w:rsidP="00B70D17">
      <w:pPr>
        <w:spacing w:line="360" w:lineRule="auto"/>
        <w:ind w:firstLine="360"/>
        <w:jc w:val="both"/>
      </w:pPr>
      <w:r>
        <w:t>Our work also emphasises the importance of exploring heterogenous responses to smoking policies</w:t>
      </w:r>
      <w:r w:rsidR="006D2BC7">
        <w:t>, rather than focusing on average treatment effects</w:t>
      </w:r>
      <w:r>
        <w:t xml:space="preserve">. </w:t>
      </w:r>
      <w:r w:rsidR="00433C55">
        <w:t xml:space="preserve">It shows that providing information on adverse health effects of smoking through the means of a public ban </w:t>
      </w:r>
      <w:proofErr w:type="gramStart"/>
      <w:r w:rsidR="00433C55">
        <w:t>ha</w:t>
      </w:r>
      <w:r w:rsidR="004C4E41">
        <w:t>d</w:t>
      </w:r>
      <w:r w:rsidR="00433C55">
        <w:t xml:space="preserve"> an effect on</w:t>
      </w:r>
      <w:proofErr w:type="gramEnd"/>
      <w:r w:rsidR="00433C55">
        <w:t xml:space="preserve"> individuals with higher levels of conscientiousness only.</w:t>
      </w:r>
      <w:r w:rsidR="002D2616">
        <w:t xml:space="preserve"> This finding </w:t>
      </w:r>
      <w:r w:rsidR="00B70D17">
        <w:t xml:space="preserve">is, for example, potentially relevant in the context of the current debate around adverse </w:t>
      </w:r>
      <w:r w:rsidR="00B70D17">
        <w:lastRenderedPageBreak/>
        <w:t xml:space="preserve">health effects from smoking electronic cigarettes (“vaping”). </w:t>
      </w:r>
      <w:r w:rsidR="004C4E41">
        <w:t xml:space="preserve">Given our evidence, interventions aimed at reducing vaping </w:t>
      </w:r>
      <w:r w:rsidR="00B70D17">
        <w:t xml:space="preserve">and </w:t>
      </w:r>
      <w:r w:rsidR="00C26B60">
        <w:t xml:space="preserve">at </w:t>
      </w:r>
      <w:r w:rsidR="00B70D17">
        <w:t xml:space="preserve">distributing information on health costs of vaping </w:t>
      </w:r>
      <w:r w:rsidR="004C4E41">
        <w:t xml:space="preserve">may only reach conscientious individuals. </w:t>
      </w:r>
      <w:r w:rsidR="002D2616">
        <w:t xml:space="preserve"> </w:t>
      </w:r>
    </w:p>
    <w:p w14:paraId="5485DB47" w14:textId="30F04D7C" w:rsidR="007A2339" w:rsidRPr="006B5BBD" w:rsidRDefault="007A2339" w:rsidP="00EE405C">
      <w:pPr>
        <w:spacing w:line="360" w:lineRule="auto"/>
      </w:pPr>
    </w:p>
    <w:p w14:paraId="48E3265B" w14:textId="77777777" w:rsidR="0050385D" w:rsidRDefault="0050385D">
      <w:pPr>
        <w:rPr>
          <w:rFonts w:eastAsiaTheme="majorEastAsia" w:cstheme="majorBidi"/>
          <w:b/>
          <w:iCs/>
          <w:color w:val="000000" w:themeColor="text1"/>
          <w:sz w:val="28"/>
          <w:szCs w:val="20"/>
          <w:lang w:val="de-DE" w:eastAsia="en-GB"/>
        </w:rPr>
      </w:pPr>
      <w:bookmarkStart w:id="7" w:name="_Toc491858223"/>
      <w:r>
        <w:rPr>
          <w:lang w:val="de-DE"/>
        </w:rPr>
        <w:br w:type="page"/>
      </w:r>
    </w:p>
    <w:p w14:paraId="514CC0AE" w14:textId="22343BB4" w:rsidR="00BD7AE7" w:rsidRPr="00C70857" w:rsidRDefault="00BD7AE7" w:rsidP="00922ABE">
      <w:pPr>
        <w:pStyle w:val="Heading2"/>
        <w:rPr>
          <w:lang w:val="de-DE"/>
        </w:rPr>
      </w:pPr>
      <w:r w:rsidRPr="00C70857">
        <w:rPr>
          <w:lang w:val="de-DE"/>
        </w:rPr>
        <w:lastRenderedPageBreak/>
        <w:t>References</w:t>
      </w:r>
      <w:bookmarkEnd w:id="7"/>
    </w:p>
    <w:p w14:paraId="0B656384" w14:textId="77777777" w:rsidR="00A21892" w:rsidRDefault="00A21892" w:rsidP="00A21892">
      <w:pPr>
        <w:widowControl w:val="0"/>
        <w:autoSpaceDE w:val="0"/>
        <w:autoSpaceDN w:val="0"/>
        <w:adjustRightInd w:val="0"/>
        <w:ind w:left="480" w:hanging="480"/>
      </w:pPr>
      <w:r>
        <w:t xml:space="preserve">Action on Smoking and Health, 2008. Beyond smoking kills: Protecting children, reducing inequalities. Available at: http://www.ash.org.uk/beyondsmokingkills/ </w:t>
      </w:r>
      <w:r w:rsidRPr="006848F1">
        <w:rPr>
          <w:noProof/>
        </w:rPr>
        <w:t xml:space="preserve">[Accessed </w:t>
      </w:r>
      <w:r>
        <w:rPr>
          <w:noProof/>
        </w:rPr>
        <w:t>May</w:t>
      </w:r>
      <w:r w:rsidRPr="006848F1">
        <w:rPr>
          <w:noProof/>
        </w:rPr>
        <w:t xml:space="preserve"> </w:t>
      </w:r>
      <w:r>
        <w:rPr>
          <w:noProof/>
        </w:rPr>
        <w:t>30, 2018</w:t>
      </w:r>
      <w:r w:rsidRPr="006848F1">
        <w:rPr>
          <w:noProof/>
        </w:rPr>
        <w:t>]</w:t>
      </w:r>
      <w:r>
        <w:rPr>
          <w:noProof/>
        </w:rPr>
        <w:t>.</w:t>
      </w:r>
    </w:p>
    <w:p w14:paraId="4BA767CA" w14:textId="77777777" w:rsidR="00A21892" w:rsidRPr="006848F1" w:rsidRDefault="00A21892" w:rsidP="00A21892">
      <w:pPr>
        <w:widowControl w:val="0"/>
        <w:autoSpaceDE w:val="0"/>
        <w:autoSpaceDN w:val="0"/>
        <w:adjustRightInd w:val="0"/>
        <w:ind w:left="480" w:hanging="480"/>
        <w:rPr>
          <w:noProof/>
        </w:rPr>
      </w:pPr>
      <w:r>
        <w:fldChar w:fldCharType="begin" w:fldLock="1"/>
      </w:r>
      <w:r w:rsidRPr="00EE405C">
        <w:rPr>
          <w:lang w:val="en-US"/>
        </w:rPr>
        <w:instrText xml:space="preserve">ADDIN Mendeley Bibliography CSL_BIBLIOGRAPHY </w:instrText>
      </w:r>
      <w:r>
        <w:fldChar w:fldCharType="separate"/>
      </w:r>
      <w:r w:rsidRPr="00EE405C">
        <w:rPr>
          <w:noProof/>
          <w:lang w:val="en-US"/>
        </w:rPr>
        <w:t xml:space="preserve">Ah, D. Von et al., 2005. </w:t>
      </w:r>
      <w:r w:rsidRPr="006848F1">
        <w:rPr>
          <w:noProof/>
        </w:rPr>
        <w:t xml:space="preserve">Factors Related to Cigarette Smoking Initiation and Use among College Students. </w:t>
      </w:r>
      <w:r w:rsidRPr="006848F1">
        <w:rPr>
          <w:i/>
          <w:iCs/>
          <w:noProof/>
        </w:rPr>
        <w:t>Tobacco Induced Diseases</w:t>
      </w:r>
      <w:r w:rsidRPr="006848F1">
        <w:rPr>
          <w:noProof/>
        </w:rPr>
        <w:t>, 3(1), pp.27–40.</w:t>
      </w:r>
    </w:p>
    <w:p w14:paraId="704589FF"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Almlund, M. et al., 2011. Personality Psychology And Economics. </w:t>
      </w:r>
      <w:r w:rsidRPr="006848F1">
        <w:rPr>
          <w:i/>
          <w:iCs/>
          <w:noProof/>
        </w:rPr>
        <w:t>NBER Working Paper Series</w:t>
      </w:r>
      <w:r w:rsidRPr="006848F1">
        <w:rPr>
          <w:noProof/>
        </w:rPr>
        <w:t>.</w:t>
      </w:r>
    </w:p>
    <w:p w14:paraId="36CBDEC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Ameriks, J. et al., 2007. Measuring Self-Control Problems. </w:t>
      </w:r>
      <w:r w:rsidRPr="006848F1">
        <w:rPr>
          <w:i/>
          <w:iCs/>
          <w:noProof/>
        </w:rPr>
        <w:t>American Economic Association</w:t>
      </w:r>
      <w:r w:rsidRPr="006848F1">
        <w:rPr>
          <w:noProof/>
        </w:rPr>
        <w:t>.</w:t>
      </w:r>
    </w:p>
    <w:p w14:paraId="462DEB08"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Amos, A. et al., 2011. Tobacco control, inequalities in health and action at the local level in England. </w:t>
      </w:r>
      <w:r w:rsidRPr="006848F1">
        <w:rPr>
          <w:i/>
          <w:iCs/>
          <w:noProof/>
        </w:rPr>
        <w:t>Public Health Research Consortium</w:t>
      </w:r>
      <w:r w:rsidRPr="006848F1">
        <w:rPr>
          <w:noProof/>
        </w:rPr>
        <w:t>, (March).</w:t>
      </w:r>
    </w:p>
    <w:p w14:paraId="6A9E65F9"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Anger, S., Kvasnicka, M. &amp; Siedler, T., 2011. One last puff ? Public smoking bans and smoking behavior. </w:t>
      </w:r>
      <w:r w:rsidRPr="006848F1">
        <w:rPr>
          <w:i/>
          <w:iCs/>
          <w:noProof/>
        </w:rPr>
        <w:t>Journal of Health Economics</w:t>
      </w:r>
      <w:r w:rsidRPr="006848F1">
        <w:rPr>
          <w:noProof/>
        </w:rPr>
        <w:t>, 30(3), pp.591–601. Available at: http://dx.doi.org/10.1016/j.jhealeco.2011.03.003</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59BAFA04"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ASH, 2017. Key dates in the History of Anti-Tobacco Campaigning. , pp.1–82. Available at: http://ash.org.uk/information-and-resources/briefings/key-dates-in-the-history-of-anti-tobacco-campaigning/ [Accessed </w:t>
      </w:r>
      <w:r>
        <w:rPr>
          <w:noProof/>
        </w:rPr>
        <w:t>May</w:t>
      </w:r>
      <w:r w:rsidRPr="006848F1">
        <w:rPr>
          <w:noProof/>
        </w:rPr>
        <w:t xml:space="preserve"> </w:t>
      </w:r>
      <w:r>
        <w:rPr>
          <w:noProof/>
        </w:rPr>
        <w:t>30, 2018</w:t>
      </w:r>
      <w:r w:rsidRPr="006848F1">
        <w:rPr>
          <w:noProof/>
        </w:rPr>
        <w:t>].</w:t>
      </w:r>
    </w:p>
    <w:p w14:paraId="75164F41" w14:textId="77777777" w:rsidR="00A21892" w:rsidRPr="006848F1" w:rsidRDefault="00A21892" w:rsidP="00A21892">
      <w:pPr>
        <w:widowControl w:val="0"/>
        <w:autoSpaceDE w:val="0"/>
        <w:autoSpaceDN w:val="0"/>
        <w:adjustRightInd w:val="0"/>
        <w:ind w:left="480" w:hanging="480"/>
        <w:rPr>
          <w:noProof/>
        </w:rPr>
      </w:pPr>
      <w:r w:rsidRPr="00C70857">
        <w:rPr>
          <w:noProof/>
          <w:lang w:val="de-DE"/>
        </w:rPr>
        <w:t xml:space="preserve">Bartolome, C. de &amp; Irvine, I.J., 2010. </w:t>
      </w:r>
      <w:r w:rsidRPr="006848F1">
        <w:rPr>
          <w:noProof/>
        </w:rPr>
        <w:t xml:space="preserve">The Economics of Smoking Bans. </w:t>
      </w:r>
      <w:r w:rsidRPr="006848F1">
        <w:rPr>
          <w:i/>
          <w:iCs/>
          <w:noProof/>
        </w:rPr>
        <w:t>UCD GEARY INSTITUTE DISCUSSION PAPER SERIES</w:t>
      </w:r>
      <w:r w:rsidRPr="006848F1">
        <w:rPr>
          <w:noProof/>
        </w:rPr>
        <w:t>, (May).</w:t>
      </w:r>
    </w:p>
    <w:p w14:paraId="73EB6EB7"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Bauld, L., 2011. </w:t>
      </w:r>
      <w:r w:rsidRPr="006848F1">
        <w:rPr>
          <w:i/>
          <w:iCs/>
          <w:noProof/>
        </w:rPr>
        <w:t>The impact of smokefree legislation in England: Evidence Review</w:t>
      </w:r>
      <w:r w:rsidRPr="006848F1">
        <w:rPr>
          <w:noProof/>
        </w:rPr>
        <w:t>,</w:t>
      </w:r>
    </w:p>
    <w:p w14:paraId="2A03574C"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Becker, G.S. &amp; Murphy, K.M., 1988. A Theory of Rational Addiction. </w:t>
      </w:r>
      <w:r w:rsidRPr="006848F1">
        <w:rPr>
          <w:i/>
          <w:iCs/>
          <w:noProof/>
        </w:rPr>
        <w:t>Journal of Political Economy</w:t>
      </w:r>
      <w:r w:rsidRPr="006848F1">
        <w:rPr>
          <w:noProof/>
        </w:rPr>
        <w:t>, 96(4), pp.675–700.</w:t>
      </w:r>
    </w:p>
    <w:p w14:paraId="5D38B8FA"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Berman, M. et al., 2014. Estimating the cost of a smoking employee. </w:t>
      </w:r>
      <w:r w:rsidRPr="006848F1">
        <w:rPr>
          <w:i/>
          <w:iCs/>
          <w:noProof/>
        </w:rPr>
        <w:t>Tobacco Control</w:t>
      </w:r>
      <w:r w:rsidRPr="006848F1">
        <w:rPr>
          <w:noProof/>
        </w:rPr>
        <w:t>, (23), pp.428–433.</w:t>
      </w:r>
    </w:p>
    <w:p w14:paraId="641D3BC4"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Bernheim, B.D. &amp; Rangel, A., 2004. Addiction and Cue-Triggered Decision Processes. </w:t>
      </w:r>
      <w:r w:rsidRPr="006848F1">
        <w:rPr>
          <w:i/>
          <w:iCs/>
          <w:noProof/>
        </w:rPr>
        <w:t>NBER</w:t>
      </w:r>
      <w:r w:rsidRPr="006848F1">
        <w:rPr>
          <w:noProof/>
        </w:rPr>
        <w:t>, pp.0–49.</w:t>
      </w:r>
    </w:p>
    <w:p w14:paraId="508AAC16"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Boes, S., Marti, J. &amp; Maclean, J.C., 2015. The impact of smoking bans on smoking and consumer behavior: Quasi-experimental evidence from Switzerland. </w:t>
      </w:r>
      <w:r w:rsidRPr="006848F1">
        <w:rPr>
          <w:i/>
          <w:iCs/>
          <w:noProof/>
        </w:rPr>
        <w:t>Health Economics</w:t>
      </w:r>
      <w:r w:rsidRPr="006848F1">
        <w:rPr>
          <w:noProof/>
        </w:rPr>
        <w:t>, 24, pp.1502–1516.</w:t>
      </w:r>
    </w:p>
    <w:p w14:paraId="72F8B8AE"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Bogg, T. &amp; Roberts, B., 2013. The Case for Conscientiousness: Evidence and Implications for a Personality Trait Marker of Health and Longevity. </w:t>
      </w:r>
      <w:r w:rsidRPr="006848F1">
        <w:rPr>
          <w:i/>
          <w:iCs/>
          <w:noProof/>
        </w:rPr>
        <w:t>Annual Behavioural Medicine</w:t>
      </w:r>
      <w:r w:rsidRPr="006848F1">
        <w:rPr>
          <w:noProof/>
        </w:rPr>
        <w:t>, 45(3), pp.278–288.</w:t>
      </w:r>
    </w:p>
    <w:p w14:paraId="4AD1F29B"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Borghans, L. et al., 2009. Gender Differences in Risk Aversion and Ambiguity Aversion. </w:t>
      </w:r>
      <w:r w:rsidRPr="006848F1">
        <w:rPr>
          <w:i/>
          <w:iCs/>
          <w:noProof/>
        </w:rPr>
        <w:t>Journal of the European Economic Association</w:t>
      </w:r>
      <w:r w:rsidRPr="006848F1">
        <w:rPr>
          <w:noProof/>
        </w:rPr>
        <w:t>, 7(May), pp.649–658.</w:t>
      </w:r>
    </w:p>
    <w:p w14:paraId="735506D6" w14:textId="0504533D" w:rsidR="00A21892" w:rsidRDefault="00A21892" w:rsidP="00A21892">
      <w:pPr>
        <w:widowControl w:val="0"/>
        <w:autoSpaceDE w:val="0"/>
        <w:autoSpaceDN w:val="0"/>
        <w:adjustRightInd w:val="0"/>
        <w:ind w:left="480" w:hanging="480"/>
        <w:rPr>
          <w:noProof/>
        </w:rPr>
      </w:pPr>
      <w:r w:rsidRPr="006848F1">
        <w:rPr>
          <w:noProof/>
        </w:rPr>
        <w:t xml:space="preserve">Boyle, P. et al., 2004. </w:t>
      </w:r>
      <w:r w:rsidRPr="006848F1">
        <w:rPr>
          <w:i/>
          <w:iCs/>
          <w:noProof/>
        </w:rPr>
        <w:t>Tobacco: Science, policy and public health</w:t>
      </w:r>
      <w:r>
        <w:rPr>
          <w:noProof/>
        </w:rPr>
        <w:t>.</w:t>
      </w:r>
    </w:p>
    <w:p w14:paraId="11F9F460" w14:textId="69987874" w:rsidR="00A21892" w:rsidRPr="00A21892" w:rsidRDefault="00A21892" w:rsidP="00A21892">
      <w:pPr>
        <w:widowControl w:val="0"/>
        <w:autoSpaceDE w:val="0"/>
        <w:autoSpaceDN w:val="0"/>
        <w:adjustRightInd w:val="0"/>
        <w:ind w:left="480" w:hanging="480"/>
        <w:rPr>
          <w:noProof/>
        </w:rPr>
      </w:pPr>
      <w:r>
        <w:rPr>
          <w:noProof/>
        </w:rPr>
        <w:t xml:space="preserve">Brown, S. &amp; Taylor, K., 2014. </w:t>
      </w:r>
      <w:r w:rsidRPr="00A21892">
        <w:rPr>
          <w:noProof/>
        </w:rPr>
        <w:t>Household finances and the ‘Big Five’ personality traits</w:t>
      </w:r>
      <w:r>
        <w:rPr>
          <w:noProof/>
        </w:rPr>
        <w:t xml:space="preserve">. </w:t>
      </w:r>
      <w:r>
        <w:rPr>
          <w:i/>
          <w:iCs/>
          <w:noProof/>
        </w:rPr>
        <w:t xml:space="preserve">Journal of Economic Psychology, </w:t>
      </w:r>
      <w:r>
        <w:rPr>
          <w:noProof/>
        </w:rPr>
        <w:t>45, pp. 197-212.</w:t>
      </w:r>
    </w:p>
    <w:p w14:paraId="1FF43A7A"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Bruederl, J. &amp; Ludwig, V., 2011. Does a Smoking Ban Reduce Smoking ? Evidence from Germany. </w:t>
      </w:r>
      <w:r w:rsidRPr="006848F1">
        <w:rPr>
          <w:i/>
          <w:iCs/>
          <w:noProof/>
        </w:rPr>
        <w:t>Schmollers Jahrbuch</w:t>
      </w:r>
      <w:r w:rsidRPr="006848F1">
        <w:rPr>
          <w:noProof/>
        </w:rPr>
        <w:t>, (July), pp.419–429.</w:t>
      </w:r>
    </w:p>
    <w:p w14:paraId="7774222C"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Buddelmeyer, H. &amp; Wilkins, R., 2005. The Effects of Smoking Ban Regulations on Individual Smoking Rates. </w:t>
      </w:r>
      <w:r w:rsidRPr="006848F1">
        <w:rPr>
          <w:i/>
          <w:iCs/>
          <w:noProof/>
        </w:rPr>
        <w:t>IZA Discussion Paper</w:t>
      </w:r>
      <w:r w:rsidRPr="006848F1">
        <w:rPr>
          <w:noProof/>
        </w:rPr>
        <w:t>, (1737).</w:t>
      </w:r>
    </w:p>
    <w:p w14:paraId="3D4FF99B"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Buonanno, P. &amp; Ranzani, M., 2013. Thank you for not smoking : Evidence from the Italian smoking ban. </w:t>
      </w:r>
      <w:r w:rsidRPr="006848F1">
        <w:rPr>
          <w:i/>
          <w:iCs/>
          <w:noProof/>
        </w:rPr>
        <w:t>Health policy</w:t>
      </w:r>
      <w:r w:rsidRPr="006848F1">
        <w:rPr>
          <w:noProof/>
        </w:rPr>
        <w:t>, 109(2), pp.192–199. Available at: http://dx.doi.org/10.1016/j.healthpol.2012.10.009</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4027807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Celidoni, M., Pieroni, L. &amp; Salmasi, L., 2014. Side-effects of anti-smoking policies on health behaviors. Evidence from the US. </w:t>
      </w:r>
      <w:r w:rsidRPr="006848F1">
        <w:rPr>
          <w:i/>
          <w:iCs/>
          <w:noProof/>
        </w:rPr>
        <w:t>MPRA</w:t>
      </w:r>
      <w:r w:rsidRPr="006848F1">
        <w:rPr>
          <w:noProof/>
        </w:rPr>
        <w:t>.</w:t>
      </w:r>
    </w:p>
    <w:p w14:paraId="4677D77A" w14:textId="77777777" w:rsidR="00A21892" w:rsidRPr="006848F1" w:rsidRDefault="00A21892" w:rsidP="00A21892">
      <w:pPr>
        <w:widowControl w:val="0"/>
        <w:autoSpaceDE w:val="0"/>
        <w:autoSpaceDN w:val="0"/>
        <w:adjustRightInd w:val="0"/>
        <w:ind w:left="480" w:hanging="480"/>
        <w:rPr>
          <w:noProof/>
        </w:rPr>
      </w:pPr>
      <w:r w:rsidRPr="006848F1">
        <w:rPr>
          <w:noProof/>
        </w:rPr>
        <w:lastRenderedPageBreak/>
        <w:t xml:space="preserve">Chaisemartin, C. de, Geoffard, P.-Y. &amp; Le Faou, A.-L., 2011. Workplace Smoking Ban effects on unhappy smokers. </w:t>
      </w:r>
      <w:r w:rsidRPr="006848F1">
        <w:rPr>
          <w:i/>
          <w:iCs/>
          <w:noProof/>
        </w:rPr>
        <w:t>Health Economics</w:t>
      </w:r>
      <w:r w:rsidRPr="006848F1">
        <w:rPr>
          <w:noProof/>
        </w:rPr>
        <w:t>, (20), pp.1043–1055.</w:t>
      </w:r>
    </w:p>
    <w:p w14:paraId="7E924E64"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Chaloupka, F.J. &amp; Warner, K.E., 2000. The Economics of Smoking. In </w:t>
      </w:r>
      <w:r w:rsidRPr="006848F1">
        <w:rPr>
          <w:i/>
          <w:iCs/>
          <w:noProof/>
        </w:rPr>
        <w:t>Handbook of Health Economics</w:t>
      </w:r>
      <w:r w:rsidRPr="006848F1">
        <w:rPr>
          <w:noProof/>
        </w:rPr>
        <w:t>. pp. 1539–1627.</w:t>
      </w:r>
    </w:p>
    <w:p w14:paraId="4DD641D2"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Christiansen, V. &amp; Smith, S., 2012. Externality-Correcting Taxes and Regulation. </w:t>
      </w:r>
      <w:r w:rsidRPr="006848F1">
        <w:rPr>
          <w:i/>
          <w:iCs/>
          <w:noProof/>
        </w:rPr>
        <w:t>Institute for Fiscal Studies</w:t>
      </w:r>
      <w:r w:rsidRPr="006848F1">
        <w:rPr>
          <w:noProof/>
        </w:rPr>
        <w:t>, 114(2), pp.358–383.</w:t>
      </w:r>
    </w:p>
    <w:p w14:paraId="2FA7F9EB"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Cobb-Clark, D.A., Kassenboehmer, S.C. &amp; Schurer, S., 2014. The connection between diet , exercise , and locus of control. </w:t>
      </w:r>
      <w:r w:rsidRPr="006848F1">
        <w:rPr>
          <w:i/>
          <w:iCs/>
          <w:noProof/>
        </w:rPr>
        <w:t>Journal of Economic Behavior and Organization</w:t>
      </w:r>
      <w:r w:rsidRPr="006848F1">
        <w:rPr>
          <w:noProof/>
        </w:rPr>
        <w:t>, 98, pp.1–28. Available at: http://dx.doi.org/10.1016/j.jebo.2013.10.011</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5A2B8409" w14:textId="77777777" w:rsidR="00A21892" w:rsidRPr="006848F1" w:rsidRDefault="00A21892" w:rsidP="00A21892">
      <w:pPr>
        <w:widowControl w:val="0"/>
        <w:autoSpaceDE w:val="0"/>
        <w:autoSpaceDN w:val="0"/>
        <w:adjustRightInd w:val="0"/>
        <w:ind w:left="480" w:hanging="480"/>
        <w:rPr>
          <w:noProof/>
        </w:rPr>
      </w:pPr>
      <w:r w:rsidRPr="006848F1">
        <w:rPr>
          <w:noProof/>
        </w:rPr>
        <w:t>Cobb-</w:t>
      </w:r>
      <w:r>
        <w:rPr>
          <w:noProof/>
        </w:rPr>
        <w:t>C</w:t>
      </w:r>
      <w:r w:rsidRPr="006848F1">
        <w:rPr>
          <w:noProof/>
        </w:rPr>
        <w:t xml:space="preserve">lark, D.A. &amp; Schurer, S., 2012. The stability of big-five personality traits. </w:t>
      </w:r>
      <w:r w:rsidRPr="006848F1">
        <w:rPr>
          <w:i/>
          <w:iCs/>
          <w:noProof/>
        </w:rPr>
        <w:t>Economics Letters</w:t>
      </w:r>
      <w:r w:rsidRPr="006848F1">
        <w:rPr>
          <w:noProof/>
        </w:rPr>
        <w:t>, 115(1), pp.11–15. Available at: http://dx.doi.org/10.1016/j.econlet.2011.11.015</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52753B0A"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Cobb-Clark, D. &amp; Schurer, S., 2011. An economist’s perspective on the stability of locus of control. </w:t>
      </w:r>
      <w:r w:rsidRPr="006848F1">
        <w:rPr>
          <w:i/>
          <w:iCs/>
          <w:noProof/>
        </w:rPr>
        <w:t>Working Paper</w:t>
      </w:r>
      <w:r w:rsidRPr="006848F1">
        <w:rPr>
          <w:noProof/>
        </w:rPr>
        <w:t>.</w:t>
      </w:r>
    </w:p>
    <w:p w14:paraId="7666CC71"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Costa, P. &amp; McCrae, R.R., 1992. Normal personality assessment in clinical practice: The NEO Personality Inventory. </w:t>
      </w:r>
      <w:r w:rsidRPr="006848F1">
        <w:rPr>
          <w:i/>
          <w:iCs/>
          <w:noProof/>
        </w:rPr>
        <w:t>Psychological Assessment</w:t>
      </w:r>
      <w:r w:rsidRPr="006848F1">
        <w:rPr>
          <w:noProof/>
        </w:rPr>
        <w:t>.</w:t>
      </w:r>
    </w:p>
    <w:p w14:paraId="60BDF4C6" w14:textId="77777777" w:rsidR="00A21892" w:rsidRDefault="00A21892" w:rsidP="00A21892">
      <w:pPr>
        <w:widowControl w:val="0"/>
        <w:autoSpaceDE w:val="0"/>
        <w:autoSpaceDN w:val="0"/>
        <w:adjustRightInd w:val="0"/>
        <w:ind w:left="480" w:hanging="480"/>
        <w:rPr>
          <w:noProof/>
        </w:rPr>
      </w:pPr>
      <w:r w:rsidRPr="006848F1">
        <w:rPr>
          <w:noProof/>
        </w:rPr>
        <w:t xml:space="preserve">Cronbach, L., 1951. Coefficient alpha and the internal structure of tests. </w:t>
      </w:r>
      <w:r w:rsidRPr="006848F1">
        <w:rPr>
          <w:i/>
          <w:iCs/>
          <w:noProof/>
        </w:rPr>
        <w:t>Psychometrika</w:t>
      </w:r>
      <w:r w:rsidRPr="006848F1">
        <w:rPr>
          <w:noProof/>
        </w:rPr>
        <w:t>, 16(3).</w:t>
      </w:r>
    </w:p>
    <w:p w14:paraId="72643528" w14:textId="77777777" w:rsidR="00A21892" w:rsidRPr="006848F1" w:rsidRDefault="00A21892" w:rsidP="00A21892">
      <w:pPr>
        <w:widowControl w:val="0"/>
        <w:autoSpaceDE w:val="0"/>
        <w:autoSpaceDN w:val="0"/>
        <w:adjustRightInd w:val="0"/>
        <w:ind w:left="480" w:hanging="480"/>
        <w:rPr>
          <w:noProof/>
        </w:rPr>
      </w:pPr>
      <w:r w:rsidRPr="00A90B41">
        <w:rPr>
          <w:noProof/>
        </w:rPr>
        <w:t xml:space="preserve">Cuesta, M.B. and Budría, S., 2015. Income deprivation and mental well-being: The role of non-cognitive skills. </w:t>
      </w:r>
      <w:r w:rsidRPr="008F33CB">
        <w:rPr>
          <w:i/>
          <w:noProof/>
        </w:rPr>
        <w:t>Economics &amp; Human Biology</w:t>
      </w:r>
      <w:r w:rsidRPr="00A90B41">
        <w:rPr>
          <w:noProof/>
        </w:rPr>
        <w:t>, 17, pp.16-28.</w:t>
      </w:r>
    </w:p>
    <w:p w14:paraId="09582896"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Department of Health, 2011. </w:t>
      </w:r>
      <w:r w:rsidRPr="006848F1">
        <w:rPr>
          <w:i/>
          <w:iCs/>
          <w:noProof/>
        </w:rPr>
        <w:t>Post-Legislative Assessment of the Health Act 2006</w:t>
      </w:r>
      <w:r w:rsidRPr="006848F1">
        <w:rPr>
          <w:noProof/>
        </w:rPr>
        <w:t>,</w:t>
      </w:r>
    </w:p>
    <w:p w14:paraId="1619A91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Department of Health, 2017. </w:t>
      </w:r>
      <w:r w:rsidRPr="006848F1">
        <w:rPr>
          <w:i/>
          <w:iCs/>
          <w:noProof/>
        </w:rPr>
        <w:t>Towards a Smokefree Generation: A Tobacco Control Plan for England</w:t>
      </w:r>
      <w:r w:rsidRPr="006848F1">
        <w:rPr>
          <w:noProof/>
        </w:rPr>
        <w:t>,</w:t>
      </w:r>
    </w:p>
    <w:p w14:paraId="71785302" w14:textId="77777777" w:rsidR="00A21892" w:rsidRDefault="00A21892" w:rsidP="00A21892">
      <w:pPr>
        <w:widowControl w:val="0"/>
        <w:autoSpaceDE w:val="0"/>
        <w:autoSpaceDN w:val="0"/>
        <w:adjustRightInd w:val="0"/>
        <w:ind w:left="480" w:hanging="480"/>
        <w:rPr>
          <w:noProof/>
        </w:rPr>
      </w:pPr>
      <w:r w:rsidRPr="006848F1">
        <w:rPr>
          <w:noProof/>
        </w:rPr>
        <w:t xml:space="preserve">Derya, S. &amp; Pohlmeier, W., 2011. Unemployment duration and personality. </w:t>
      </w:r>
      <w:r w:rsidRPr="006848F1">
        <w:rPr>
          <w:i/>
          <w:iCs/>
          <w:noProof/>
        </w:rPr>
        <w:t>Journal of Economic Psychology</w:t>
      </w:r>
      <w:r w:rsidRPr="006848F1">
        <w:rPr>
          <w:noProof/>
        </w:rPr>
        <w:t>, 32(6), pp.980–992. Available at: http://dx.doi.org/10.1016/j.joep.2011.03.008</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30155F66" w14:textId="77777777" w:rsidR="00A21892" w:rsidRDefault="00A21892" w:rsidP="00A21892">
      <w:pPr>
        <w:widowControl w:val="0"/>
        <w:autoSpaceDE w:val="0"/>
        <w:autoSpaceDN w:val="0"/>
        <w:adjustRightInd w:val="0"/>
        <w:ind w:left="480" w:hanging="480"/>
        <w:rPr>
          <w:noProof/>
        </w:rPr>
      </w:pPr>
      <w:r>
        <w:rPr>
          <w:noProof/>
        </w:rPr>
        <w:t xml:space="preserve">Di Novi, C. &amp; Marenzi, A., 2019. The smoking epidemic across generations, genders, and educational groups: A matter of diffusion of innovations. </w:t>
      </w:r>
      <w:r w:rsidRPr="008F33CB">
        <w:rPr>
          <w:i/>
          <w:noProof/>
        </w:rPr>
        <w:t>Economics &amp; Human Biology</w:t>
      </w:r>
      <w:r>
        <w:rPr>
          <w:noProof/>
        </w:rPr>
        <w:t>, 33.</w:t>
      </w:r>
    </w:p>
    <w:p w14:paraId="3EF9A6A5" w14:textId="77777777" w:rsidR="00A21892" w:rsidRPr="006848F1" w:rsidRDefault="00A21892" w:rsidP="00A21892">
      <w:pPr>
        <w:widowControl w:val="0"/>
        <w:autoSpaceDE w:val="0"/>
        <w:autoSpaceDN w:val="0"/>
        <w:adjustRightInd w:val="0"/>
        <w:ind w:left="480" w:hanging="480"/>
        <w:rPr>
          <w:noProof/>
        </w:rPr>
      </w:pPr>
      <w:r w:rsidRPr="00EE405C">
        <w:rPr>
          <w:noProof/>
          <w:lang w:val="en-US"/>
        </w:rPr>
        <w:t xml:space="preserve">Doll, </w:t>
      </w:r>
      <w:r>
        <w:rPr>
          <w:noProof/>
          <w:lang w:val="en-US"/>
        </w:rPr>
        <w:t>R.</w:t>
      </w:r>
      <w:r w:rsidRPr="00EE405C">
        <w:rPr>
          <w:noProof/>
          <w:lang w:val="en-US"/>
        </w:rPr>
        <w:t xml:space="preserve"> &amp; </w:t>
      </w:r>
      <w:r>
        <w:rPr>
          <w:noProof/>
          <w:lang w:val="en-US"/>
        </w:rPr>
        <w:t>Hill</w:t>
      </w:r>
      <w:r w:rsidRPr="00EE405C">
        <w:rPr>
          <w:noProof/>
          <w:lang w:val="en-US"/>
        </w:rPr>
        <w:t xml:space="preserve">, </w:t>
      </w:r>
      <w:r>
        <w:rPr>
          <w:noProof/>
          <w:lang w:val="en-US"/>
        </w:rPr>
        <w:t>A.</w:t>
      </w:r>
      <w:r w:rsidRPr="00EE405C">
        <w:rPr>
          <w:noProof/>
          <w:lang w:val="en-US"/>
        </w:rPr>
        <w:t xml:space="preserve">, </w:t>
      </w:r>
      <w:r>
        <w:rPr>
          <w:noProof/>
          <w:lang w:val="en-US"/>
        </w:rPr>
        <w:t>1950</w:t>
      </w:r>
      <w:r w:rsidRPr="00EE405C">
        <w:rPr>
          <w:noProof/>
          <w:lang w:val="en-US"/>
        </w:rPr>
        <w:t xml:space="preserve">. </w:t>
      </w:r>
      <w:r>
        <w:rPr>
          <w:noProof/>
        </w:rPr>
        <w:t>Smoking and Carcinoma of the Lung</w:t>
      </w:r>
      <w:r w:rsidRPr="006848F1">
        <w:rPr>
          <w:noProof/>
        </w:rPr>
        <w:t xml:space="preserve">. </w:t>
      </w:r>
      <w:r>
        <w:rPr>
          <w:i/>
          <w:iCs/>
          <w:noProof/>
        </w:rPr>
        <w:t>British Medical Journal</w:t>
      </w:r>
      <w:r w:rsidRPr="006848F1">
        <w:rPr>
          <w:noProof/>
        </w:rPr>
        <w:t xml:space="preserve">, 2 </w:t>
      </w:r>
      <w:r>
        <w:rPr>
          <w:noProof/>
        </w:rPr>
        <w:t>(4682</w:t>
      </w:r>
      <w:r w:rsidRPr="006848F1">
        <w:rPr>
          <w:noProof/>
        </w:rPr>
        <w:t>), pp.</w:t>
      </w:r>
      <w:r>
        <w:rPr>
          <w:noProof/>
        </w:rPr>
        <w:t>739–748</w:t>
      </w:r>
      <w:r w:rsidRPr="006848F1">
        <w:rPr>
          <w:noProof/>
        </w:rPr>
        <w:t>.</w:t>
      </w:r>
    </w:p>
    <w:p w14:paraId="0A7AD293" w14:textId="77777777" w:rsidR="00A21892" w:rsidRPr="006848F1" w:rsidRDefault="00A21892" w:rsidP="00A21892">
      <w:pPr>
        <w:widowControl w:val="0"/>
        <w:autoSpaceDE w:val="0"/>
        <w:autoSpaceDN w:val="0"/>
        <w:adjustRightInd w:val="0"/>
        <w:ind w:left="480" w:hanging="480"/>
        <w:rPr>
          <w:noProof/>
        </w:rPr>
      </w:pPr>
      <w:r w:rsidRPr="00C70857">
        <w:rPr>
          <w:noProof/>
          <w:lang w:val="de-DE"/>
        </w:rPr>
        <w:t xml:space="preserve">Donnellan, M.B. &amp; Lucas, R.E., 2008. </w:t>
      </w:r>
      <w:r w:rsidRPr="006848F1">
        <w:rPr>
          <w:noProof/>
        </w:rPr>
        <w:t xml:space="preserve">Age Differences in the Big Five Across the Life Span : Evidence From Two National Samples. </w:t>
      </w:r>
      <w:r w:rsidRPr="006848F1">
        <w:rPr>
          <w:i/>
          <w:iCs/>
          <w:noProof/>
        </w:rPr>
        <w:t>Psychology and Aging</w:t>
      </w:r>
      <w:r w:rsidRPr="006848F1">
        <w:rPr>
          <w:noProof/>
        </w:rPr>
        <w:t>, 23(3), pp.558–566.</w:t>
      </w:r>
    </w:p>
    <w:p w14:paraId="24ED019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Dragone, D., Manaresi, F. &amp; Savorelli, L., 2013. Tobacco Taxes and Smoking Bans Impact Differently on Obesity and Eating Habits. </w:t>
      </w:r>
      <w:r w:rsidRPr="006848F1">
        <w:rPr>
          <w:i/>
          <w:iCs/>
          <w:noProof/>
        </w:rPr>
        <w:t>Quaderni - Working Paper</w:t>
      </w:r>
      <w:r w:rsidRPr="006848F1">
        <w:rPr>
          <w:noProof/>
        </w:rPr>
        <w:t>.</w:t>
      </w:r>
    </w:p>
    <w:p w14:paraId="3362831A"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Fletcher, J.M., Deb, P. &amp; Sindelar, J.L., 2009. Tobacco use, taxation and self-control in adolescence. </w:t>
      </w:r>
      <w:r w:rsidRPr="006848F1">
        <w:rPr>
          <w:i/>
          <w:iCs/>
          <w:noProof/>
        </w:rPr>
        <w:t>NBER</w:t>
      </w:r>
      <w:r w:rsidRPr="006848F1">
        <w:rPr>
          <w:noProof/>
        </w:rPr>
        <w:t>.</w:t>
      </w:r>
    </w:p>
    <w:p w14:paraId="654C4B58"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Fowkes, F.J.I. et al., 2008. Scottish smoke-free legislation and trends in smoking cessation. </w:t>
      </w:r>
      <w:r w:rsidRPr="006848F1">
        <w:rPr>
          <w:i/>
          <w:iCs/>
          <w:noProof/>
        </w:rPr>
        <w:t>Addiction</w:t>
      </w:r>
      <w:r w:rsidRPr="006848F1">
        <w:rPr>
          <w:noProof/>
        </w:rPr>
        <w:t>, 103(11), pp.1888–1895.</w:t>
      </w:r>
    </w:p>
    <w:p w14:paraId="3AF35313"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Frazer, K. et al., 2016. Legislative smoking bans for reducing harms from secondhand smoke exposure , smoking prevalence and tobacco consumption. </w:t>
      </w:r>
      <w:r w:rsidRPr="006848F1">
        <w:rPr>
          <w:i/>
          <w:iCs/>
          <w:noProof/>
        </w:rPr>
        <w:t>The Cochrane Database of Systematic Reviews</w:t>
      </w:r>
      <w:r w:rsidRPr="006848F1">
        <w:rPr>
          <w:noProof/>
        </w:rPr>
        <w:t>, 2(CD005992).</w:t>
      </w:r>
    </w:p>
    <w:p w14:paraId="23C6CD28"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Gruber, J. &amp; Köszegi, B., 2001. Is Addiction “Rational”? Theory and Evidence. </w:t>
      </w:r>
      <w:r w:rsidRPr="006848F1">
        <w:rPr>
          <w:i/>
          <w:iCs/>
          <w:noProof/>
        </w:rPr>
        <w:t>The Quarterly Journal of Economics</w:t>
      </w:r>
      <w:r w:rsidRPr="006848F1">
        <w:rPr>
          <w:noProof/>
        </w:rPr>
        <w:t>, 116(4), pp.1261–1303. Available at: http://qje.oxfordjournals.org/cgi/doi/10.1162/003355301753265570%5Cnhttp://www.jstor.org/stable/2696459%5Cnhttp://www.jstor.org/page/</w:t>
      </w:r>
      <w:r>
        <w:rPr>
          <w:noProof/>
        </w:rPr>
        <w:t xml:space="preserve"> </w:t>
      </w:r>
      <w:r w:rsidRPr="006848F1">
        <w:rPr>
          <w:noProof/>
        </w:rPr>
        <w:t xml:space="preserve">[Accessed </w:t>
      </w:r>
      <w:r>
        <w:rPr>
          <w:noProof/>
        </w:rPr>
        <w:t>May</w:t>
      </w:r>
      <w:r w:rsidRPr="006848F1">
        <w:rPr>
          <w:noProof/>
        </w:rPr>
        <w:t xml:space="preserve"> </w:t>
      </w:r>
      <w:r>
        <w:rPr>
          <w:noProof/>
        </w:rPr>
        <w:t xml:space="preserve">30, </w:t>
      </w:r>
      <w:r>
        <w:rPr>
          <w:noProof/>
        </w:rPr>
        <w:lastRenderedPageBreak/>
        <w:t>2018</w:t>
      </w:r>
      <w:r w:rsidRPr="006848F1">
        <w:rPr>
          <w:noProof/>
        </w:rPr>
        <w:t>].</w:t>
      </w:r>
    </w:p>
    <w:p w14:paraId="1CB9356D"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Gruber, J. &amp; Mullainathan, S., 2002. Do cigarette taxes make smokers happier? </w:t>
      </w:r>
      <w:r w:rsidRPr="006848F1">
        <w:rPr>
          <w:i/>
          <w:iCs/>
          <w:noProof/>
        </w:rPr>
        <w:t>NBER</w:t>
      </w:r>
      <w:r w:rsidRPr="006848F1">
        <w:rPr>
          <w:noProof/>
        </w:rPr>
        <w:t>.</w:t>
      </w:r>
    </w:p>
    <w:p w14:paraId="08434B6D" w14:textId="77777777" w:rsidR="00A21892" w:rsidRDefault="00A21892" w:rsidP="00A21892">
      <w:pPr>
        <w:widowControl w:val="0"/>
        <w:autoSpaceDE w:val="0"/>
        <w:autoSpaceDN w:val="0"/>
        <w:adjustRightInd w:val="0"/>
        <w:ind w:left="480" w:hanging="480"/>
        <w:rPr>
          <w:noProof/>
        </w:rPr>
      </w:pPr>
      <w:r w:rsidRPr="006848F1">
        <w:rPr>
          <w:noProof/>
        </w:rPr>
        <w:t xml:space="preserve">Hagger-Johnson, G. et al., 2012. School-related conscientiousness , alcohol drinking , and cigarette smoking in a representative sample of English school pupils. </w:t>
      </w:r>
      <w:r w:rsidRPr="006848F1">
        <w:rPr>
          <w:i/>
          <w:iCs/>
          <w:noProof/>
        </w:rPr>
        <w:t>British Journal of Health Psychology</w:t>
      </w:r>
      <w:r w:rsidRPr="006848F1">
        <w:rPr>
          <w:noProof/>
        </w:rPr>
        <w:t>, pp.644–665.</w:t>
      </w:r>
    </w:p>
    <w:p w14:paraId="18B14A40" w14:textId="77777777" w:rsidR="00A21892" w:rsidRPr="006848F1" w:rsidRDefault="00A21892" w:rsidP="00A21892">
      <w:pPr>
        <w:widowControl w:val="0"/>
        <w:autoSpaceDE w:val="0"/>
        <w:autoSpaceDN w:val="0"/>
        <w:adjustRightInd w:val="0"/>
        <w:ind w:left="480" w:hanging="480"/>
        <w:rPr>
          <w:noProof/>
        </w:rPr>
      </w:pPr>
      <w:r w:rsidRPr="007F295B">
        <w:rPr>
          <w:noProof/>
        </w:rPr>
        <w:t xml:space="preserve">Hajdu, T. and Hajdu, G., 2018. Smoking ban and health at birth: Evidence from Hungary. </w:t>
      </w:r>
      <w:r w:rsidRPr="007F295B">
        <w:rPr>
          <w:i/>
          <w:noProof/>
        </w:rPr>
        <w:t>Economics &amp; Human Biology</w:t>
      </w:r>
      <w:r w:rsidRPr="007F295B">
        <w:rPr>
          <w:noProof/>
        </w:rPr>
        <w:t>, 30, pp.37-47.</w:t>
      </w:r>
    </w:p>
    <w:p w14:paraId="647A2ED2"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Hammar, H. &amp; Carlsson, F., 2005. Smokers’ expectations to quit smoking. </w:t>
      </w:r>
      <w:r w:rsidRPr="006848F1">
        <w:rPr>
          <w:i/>
          <w:iCs/>
          <w:noProof/>
        </w:rPr>
        <w:t>Health Economics</w:t>
      </w:r>
      <w:r w:rsidRPr="006848F1">
        <w:rPr>
          <w:noProof/>
        </w:rPr>
        <w:t>, (14), pp.257–267.</w:t>
      </w:r>
    </w:p>
    <w:p w14:paraId="3E63299F"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Hargreaves, K. et al., 2010. The social context of change in tobacco consumption following the introduction of “smokefree” England legislation : A qualitative, longitudinal study. </w:t>
      </w:r>
      <w:r w:rsidRPr="006848F1">
        <w:rPr>
          <w:i/>
          <w:iCs/>
          <w:noProof/>
        </w:rPr>
        <w:t>Social Science &amp; Medicine</w:t>
      </w:r>
      <w:r w:rsidRPr="006848F1">
        <w:rPr>
          <w:noProof/>
        </w:rPr>
        <w:t>, 71(3), pp.459–466. Available at: http://dx.doi.org/10.1016/j.socscimed.2010.04.025</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7D4091D9" w14:textId="77777777" w:rsidR="00A21892" w:rsidRPr="006848F1" w:rsidRDefault="00A21892" w:rsidP="00A21892">
      <w:pPr>
        <w:widowControl w:val="0"/>
        <w:autoSpaceDE w:val="0"/>
        <w:autoSpaceDN w:val="0"/>
        <w:adjustRightInd w:val="0"/>
        <w:ind w:left="480" w:hanging="480"/>
        <w:rPr>
          <w:noProof/>
        </w:rPr>
      </w:pPr>
      <w:r w:rsidRPr="006848F1">
        <w:rPr>
          <w:noProof/>
        </w:rPr>
        <w:t>Heckman, J.J., 2007. The Economics, Technology and Neuroscience of Human Capability Formation.</w:t>
      </w:r>
    </w:p>
    <w:p w14:paraId="312830E9" w14:textId="77777777" w:rsidR="00A21892" w:rsidRPr="006848F1" w:rsidRDefault="00A21892" w:rsidP="00A21892">
      <w:pPr>
        <w:widowControl w:val="0"/>
        <w:autoSpaceDE w:val="0"/>
        <w:autoSpaceDN w:val="0"/>
        <w:adjustRightInd w:val="0"/>
        <w:ind w:left="480" w:hanging="480"/>
        <w:rPr>
          <w:noProof/>
        </w:rPr>
      </w:pPr>
      <w:r w:rsidRPr="00C70857">
        <w:rPr>
          <w:noProof/>
          <w:lang w:val="de-DE"/>
        </w:rPr>
        <w:t xml:space="preserve">Heckman, J.J. &amp; Kautz, T.D., 2013. </w:t>
      </w:r>
      <w:r w:rsidRPr="006848F1">
        <w:rPr>
          <w:noProof/>
        </w:rPr>
        <w:t xml:space="preserve">Fostering and Measuring Skills: Interventions that improve character and cognition. </w:t>
      </w:r>
      <w:r w:rsidRPr="006848F1">
        <w:rPr>
          <w:i/>
          <w:iCs/>
          <w:noProof/>
        </w:rPr>
        <w:t>NBER</w:t>
      </w:r>
      <w:r w:rsidRPr="006848F1">
        <w:rPr>
          <w:noProof/>
        </w:rPr>
        <w:t>.</w:t>
      </w:r>
    </w:p>
    <w:p w14:paraId="6DE936E1"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Heckman, J.J. &amp; Kautz, T.D., 2012. Hard Evidence on Soft Skills. </w:t>
      </w:r>
      <w:r w:rsidRPr="006848F1">
        <w:rPr>
          <w:i/>
          <w:iCs/>
          <w:noProof/>
        </w:rPr>
        <w:t>NBER</w:t>
      </w:r>
      <w:r w:rsidRPr="006848F1">
        <w:rPr>
          <w:noProof/>
        </w:rPr>
        <w:t>, (June).</w:t>
      </w:r>
    </w:p>
    <w:p w14:paraId="26EB469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Heineck, G., 2007. Does it pay to be nice ? Personality and earnings in the UK. </w:t>
      </w:r>
      <w:r w:rsidRPr="006848F1">
        <w:rPr>
          <w:i/>
          <w:iCs/>
          <w:noProof/>
        </w:rPr>
        <w:t>LASER Discussion Papers</w:t>
      </w:r>
      <w:r w:rsidRPr="006848F1">
        <w:rPr>
          <w:noProof/>
        </w:rPr>
        <w:t>, 3(3).</w:t>
      </w:r>
    </w:p>
    <w:p w14:paraId="2AFF8AE3"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Heineck, G. &amp; Anger, S., 2010. The returns to cognitive abilities and personality traits in Germany. </w:t>
      </w:r>
      <w:r w:rsidRPr="006848F1">
        <w:rPr>
          <w:i/>
          <w:iCs/>
          <w:noProof/>
        </w:rPr>
        <w:t>Labour Economics</w:t>
      </w:r>
      <w:r w:rsidRPr="006848F1">
        <w:rPr>
          <w:noProof/>
        </w:rPr>
        <w:t>, 17(3), pp.535–546. Available at: http://dx.doi.org/10.1016/j.labeco.2009.06.001</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287FE841"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Hille, A. &amp; Schupp, J., 2014. Economics of Education Review How learning a musical instrument affects the development of skills. </w:t>
      </w:r>
      <w:r w:rsidRPr="006848F1">
        <w:rPr>
          <w:i/>
          <w:iCs/>
          <w:noProof/>
        </w:rPr>
        <w:t>Economics of Education Review</w:t>
      </w:r>
      <w:r w:rsidRPr="006848F1">
        <w:rPr>
          <w:noProof/>
        </w:rPr>
        <w:t>, 44, pp.56–82.</w:t>
      </w:r>
    </w:p>
    <w:p w14:paraId="4DFDCB85"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Hinks, T. &amp; Katsoris, A., 2012. Smoking Ban and Life Satisfaction: Evidence from the UK. </w:t>
      </w:r>
      <w:r w:rsidRPr="006848F1">
        <w:rPr>
          <w:i/>
          <w:iCs/>
          <w:noProof/>
        </w:rPr>
        <w:t>Economic Issues</w:t>
      </w:r>
      <w:r w:rsidRPr="006848F1">
        <w:rPr>
          <w:noProof/>
        </w:rPr>
        <w:t>, 17, pp.23–48.</w:t>
      </w:r>
    </w:p>
    <w:p w14:paraId="1C759937"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Hsieh, C.-S. &amp; Kippersluis, H. van, 2015. Smoking Initiation: Peers and Personality. </w:t>
      </w:r>
      <w:r w:rsidRPr="006848F1">
        <w:rPr>
          <w:i/>
          <w:iCs/>
          <w:noProof/>
        </w:rPr>
        <w:t>Tinbergen Institute Discussion Paper Hans</w:t>
      </w:r>
      <w:r w:rsidRPr="006848F1">
        <w:rPr>
          <w:noProof/>
        </w:rPr>
        <w:t>, (September 15). Available at: http://ssrn.com/abstract=2724888</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66839C09" w14:textId="77777777" w:rsidR="00A21892" w:rsidRPr="006848F1" w:rsidRDefault="00A21892" w:rsidP="00A21892">
      <w:pPr>
        <w:widowControl w:val="0"/>
        <w:autoSpaceDE w:val="0"/>
        <w:autoSpaceDN w:val="0"/>
        <w:adjustRightInd w:val="0"/>
        <w:ind w:left="480" w:hanging="480"/>
        <w:rPr>
          <w:noProof/>
        </w:rPr>
      </w:pPr>
      <w:r w:rsidRPr="006848F1">
        <w:rPr>
          <w:noProof/>
        </w:rPr>
        <w:t>IfG, 2007. The Ban on Smoking in Public Places. , 79, pp.99–110. Available at: http://www.instituteforgovernment.org.uk/sites/default/files/smoking_in_public_places.pdf</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6205E2EE"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John, O.P. &amp; Srivastava, S., 1999. The Big-Five Trait Taxonomy: History, Measurement, and Theoretical Perspectives. </w:t>
      </w:r>
      <w:r w:rsidRPr="006848F1">
        <w:rPr>
          <w:i/>
          <w:iCs/>
          <w:noProof/>
        </w:rPr>
        <w:t>Handbook of personality: Theory and research</w:t>
      </w:r>
      <w:r w:rsidRPr="006848F1">
        <w:rPr>
          <w:noProof/>
        </w:rPr>
        <w:t>, (510).</w:t>
      </w:r>
    </w:p>
    <w:p w14:paraId="16DFA040"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Jones, A.M. et al., 2011. A model of the impact of smoking bans on smoking with evidence from bans in England and Scotland. </w:t>
      </w:r>
      <w:r w:rsidRPr="006848F1">
        <w:rPr>
          <w:i/>
          <w:iCs/>
          <w:noProof/>
        </w:rPr>
        <w:t>Health, Econometrics and Data Group</w:t>
      </w:r>
      <w:r w:rsidRPr="006848F1">
        <w:rPr>
          <w:noProof/>
        </w:rPr>
        <w:t>, (May).</w:t>
      </w:r>
    </w:p>
    <w:p w14:paraId="1C137E49"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Kuehnle, D. &amp; Wunder, C., 2017. The effects of smoking bans on self-assessed health: Evidence from Germany. </w:t>
      </w:r>
      <w:r w:rsidRPr="006848F1">
        <w:rPr>
          <w:i/>
          <w:iCs/>
          <w:noProof/>
        </w:rPr>
        <w:t>Health Economics</w:t>
      </w:r>
      <w:r w:rsidRPr="006848F1">
        <w:rPr>
          <w:noProof/>
        </w:rPr>
        <w:t>, 337(January 2016), pp.321–337.</w:t>
      </w:r>
    </w:p>
    <w:p w14:paraId="32E0717D"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Lader, D. &amp; Goddard, E., 2004. </w:t>
      </w:r>
      <w:r w:rsidRPr="006848F1">
        <w:rPr>
          <w:i/>
          <w:iCs/>
          <w:noProof/>
        </w:rPr>
        <w:t>Smoking-related Behaviour and Attitudes</w:t>
      </w:r>
      <w:r w:rsidRPr="006848F1">
        <w:rPr>
          <w:noProof/>
        </w:rPr>
        <w:t>,</w:t>
      </w:r>
    </w:p>
    <w:p w14:paraId="676EA060"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Leicester, A. &amp; Levell, P., 2016. Anti-Smoking Policies and Smoker Well-Being : Evidence from Britain. </w:t>
      </w:r>
      <w:r w:rsidRPr="006848F1">
        <w:rPr>
          <w:i/>
          <w:iCs/>
          <w:noProof/>
        </w:rPr>
        <w:t>Fiscal Studies</w:t>
      </w:r>
      <w:r w:rsidRPr="006848F1">
        <w:rPr>
          <w:noProof/>
        </w:rPr>
        <w:t>, 37(2), pp.224–257.</w:t>
      </w:r>
    </w:p>
    <w:p w14:paraId="27A5E036" w14:textId="0D35BCAC" w:rsidR="0050385D" w:rsidRDefault="0050385D" w:rsidP="00922ABE">
      <w:pPr>
        <w:widowControl w:val="0"/>
        <w:autoSpaceDE w:val="0"/>
        <w:autoSpaceDN w:val="0"/>
        <w:adjustRightInd w:val="0"/>
        <w:ind w:left="480" w:hanging="480"/>
        <w:rPr>
          <w:noProof/>
        </w:rPr>
      </w:pPr>
      <w:r>
        <w:rPr>
          <w:noProof/>
        </w:rPr>
        <w:t xml:space="preserve">Lordan, G. &amp; Mcguire, A., 2019. Healthy Minds: the positive impact of a new school curriculum. </w:t>
      </w:r>
      <w:r w:rsidRPr="00922ABE">
        <w:rPr>
          <w:noProof/>
        </w:rPr>
        <w:t>CentrePiece</w:t>
      </w:r>
      <w:r>
        <w:rPr>
          <w:noProof/>
        </w:rPr>
        <w:t>, 24 (1). Centre for Economic Performance, London School of Economics and Political Science, London, UK.</w:t>
      </w:r>
    </w:p>
    <w:p w14:paraId="1A0B6628" w14:textId="77777777" w:rsidR="00A21892" w:rsidRPr="006848F1" w:rsidRDefault="00A21892" w:rsidP="00A21892">
      <w:pPr>
        <w:widowControl w:val="0"/>
        <w:autoSpaceDE w:val="0"/>
        <w:autoSpaceDN w:val="0"/>
        <w:adjustRightInd w:val="0"/>
        <w:ind w:left="480" w:hanging="480"/>
        <w:rPr>
          <w:noProof/>
        </w:rPr>
      </w:pPr>
      <w:r w:rsidRPr="006848F1">
        <w:rPr>
          <w:noProof/>
        </w:rPr>
        <w:lastRenderedPageBreak/>
        <w:t xml:space="preserve">Mazzonna, F. &amp; Salari, P., 2015. Short term effects of public smoking bans on health. </w:t>
      </w:r>
      <w:r w:rsidRPr="006848F1">
        <w:rPr>
          <w:i/>
          <w:iCs/>
          <w:noProof/>
        </w:rPr>
        <w:t>IdEP Economic Papers</w:t>
      </w:r>
      <w:r w:rsidRPr="006848F1">
        <w:rPr>
          <w:noProof/>
        </w:rPr>
        <w:t>, (1409).</w:t>
      </w:r>
    </w:p>
    <w:p w14:paraId="425AD9DC"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O’Donoghue, T. &amp; Rabin, M., 1999. Doing It Now or Later. </w:t>
      </w:r>
      <w:r w:rsidRPr="006848F1">
        <w:rPr>
          <w:i/>
          <w:iCs/>
          <w:noProof/>
        </w:rPr>
        <w:t>The American Economic Review</w:t>
      </w:r>
      <w:r w:rsidRPr="006848F1">
        <w:rPr>
          <w:noProof/>
        </w:rPr>
        <w:t>, 89(1), pp.103–124.</w:t>
      </w:r>
    </w:p>
    <w:p w14:paraId="326491C8"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Odermatt, R. &amp; Stutzer, A., 2015. Smoking bans, cigarette prices and life satisfaction. </w:t>
      </w:r>
      <w:r w:rsidRPr="006848F1">
        <w:rPr>
          <w:i/>
          <w:iCs/>
          <w:noProof/>
        </w:rPr>
        <w:t>Journal of Health Economics</w:t>
      </w:r>
      <w:r w:rsidRPr="006848F1">
        <w:rPr>
          <w:noProof/>
        </w:rPr>
        <w:t>, 44, pp.176–194.</w:t>
      </w:r>
    </w:p>
    <w:p w14:paraId="57397CB9"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Office for National Statistics, 2016. </w:t>
      </w:r>
      <w:r w:rsidRPr="006848F1">
        <w:rPr>
          <w:i/>
          <w:iCs/>
          <w:noProof/>
        </w:rPr>
        <w:t>Adult smoking habits in the UK 2016</w:t>
      </w:r>
      <w:r w:rsidRPr="006848F1">
        <w:rPr>
          <w:noProof/>
        </w:rPr>
        <w:t>, Available at: http://ajph.aphapublications.org/doi/10.2105/AJPH.76.11.1337</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5372A198" w14:textId="77777777" w:rsidR="00A21892" w:rsidRPr="006848F1" w:rsidRDefault="00A21892" w:rsidP="00A21892">
      <w:pPr>
        <w:widowControl w:val="0"/>
        <w:autoSpaceDE w:val="0"/>
        <w:autoSpaceDN w:val="0"/>
        <w:adjustRightInd w:val="0"/>
        <w:ind w:left="480" w:hanging="480"/>
        <w:rPr>
          <w:noProof/>
        </w:rPr>
      </w:pPr>
      <w:r w:rsidRPr="006848F1">
        <w:rPr>
          <w:noProof/>
        </w:rPr>
        <w:t>Pluess, M. &amp; Bartley, M., 2015. Childhood conscientiousness predicts the social gradient of smoking in adulthood : a life course analysis. , pp.330–338.</w:t>
      </w:r>
    </w:p>
    <w:p w14:paraId="6FAE1CA2" w14:textId="77777777" w:rsidR="00A21892" w:rsidRPr="006848F1" w:rsidRDefault="00A21892" w:rsidP="00A21892">
      <w:pPr>
        <w:widowControl w:val="0"/>
        <w:autoSpaceDE w:val="0"/>
        <w:autoSpaceDN w:val="0"/>
        <w:adjustRightInd w:val="0"/>
        <w:ind w:left="480" w:hanging="480"/>
        <w:rPr>
          <w:noProof/>
        </w:rPr>
      </w:pPr>
      <w:r w:rsidRPr="00C70857">
        <w:rPr>
          <w:noProof/>
          <w:lang w:val="de-DE"/>
        </w:rPr>
        <w:t xml:space="preserve">Richter, D., Körtner, J.L. &amp; Saßenroth, D., 2014. </w:t>
      </w:r>
      <w:r w:rsidRPr="006848F1">
        <w:rPr>
          <w:noProof/>
        </w:rPr>
        <w:t xml:space="preserve">Personality Has Minor Effects on Panel Attrition. </w:t>
      </w:r>
      <w:r w:rsidRPr="006848F1">
        <w:rPr>
          <w:i/>
          <w:iCs/>
          <w:noProof/>
        </w:rPr>
        <w:t>SOEP papers</w:t>
      </w:r>
      <w:r w:rsidRPr="006848F1">
        <w:rPr>
          <w:noProof/>
        </w:rPr>
        <w:t>.</w:t>
      </w:r>
    </w:p>
    <w:p w14:paraId="058D5995" w14:textId="77777777" w:rsidR="00A21892" w:rsidRDefault="00A21892" w:rsidP="00A21892">
      <w:pPr>
        <w:widowControl w:val="0"/>
        <w:autoSpaceDE w:val="0"/>
        <w:autoSpaceDN w:val="0"/>
        <w:adjustRightInd w:val="0"/>
        <w:ind w:left="480" w:hanging="480"/>
        <w:rPr>
          <w:noProof/>
        </w:rPr>
      </w:pPr>
      <w:r w:rsidRPr="006848F1">
        <w:rPr>
          <w:noProof/>
        </w:rPr>
        <w:t xml:space="preserve">Roberts, B.W. &amp; DelVecchio, W.F., 2000. The rank-order consistency of personality traits from childhood to old age: A quantitative review of longitudinal studies. </w:t>
      </w:r>
      <w:r w:rsidRPr="006848F1">
        <w:rPr>
          <w:i/>
          <w:iCs/>
          <w:noProof/>
        </w:rPr>
        <w:t>Psychological Bulletin</w:t>
      </w:r>
      <w:r w:rsidRPr="006848F1">
        <w:rPr>
          <w:noProof/>
        </w:rPr>
        <w:t>, 126(1), pp.3–25. Available at: https://login.proxy.library.emory.edu/login?url=http://search.ebscohost.com/login.aspx?direct=true&amp;db=psyh&amp;AN=2000-03445-001&amp;site=ehost-live</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1AB25DCE" w14:textId="77777777" w:rsidR="00A21892" w:rsidRPr="006848F1" w:rsidRDefault="00A21892" w:rsidP="00A21892">
      <w:pPr>
        <w:widowControl w:val="0"/>
        <w:autoSpaceDE w:val="0"/>
        <w:autoSpaceDN w:val="0"/>
        <w:adjustRightInd w:val="0"/>
        <w:ind w:left="480" w:hanging="480"/>
        <w:rPr>
          <w:noProof/>
        </w:rPr>
      </w:pPr>
      <w:r>
        <w:t xml:space="preserve">Secretan, B., 2009. A review of human carcinogens - Part E: tobacco, areca nut, alcohol, coal smoke, and salted fish. </w:t>
      </w:r>
      <w:r w:rsidRPr="00EE405C">
        <w:rPr>
          <w:i/>
        </w:rPr>
        <w:t>Lancet Oncology</w:t>
      </w:r>
      <w:r>
        <w:t>, 10(11), 1033-4.</w:t>
      </w:r>
    </w:p>
    <w:p w14:paraId="47C575E9"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Smith Conway, K. &amp; Niles, D.P., 2016. Cigarette taxes, smoking- and exercise? </w:t>
      </w:r>
      <w:r w:rsidRPr="006848F1">
        <w:rPr>
          <w:i/>
          <w:iCs/>
          <w:noProof/>
        </w:rPr>
        <w:t>Health Economics</w:t>
      </w:r>
      <w:r w:rsidRPr="006848F1">
        <w:rPr>
          <w:noProof/>
        </w:rPr>
        <w:t>.</w:t>
      </w:r>
    </w:p>
    <w:p w14:paraId="7D494FD2"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Soane, E. &amp; Chmiel, N., 2005. Are risk preferences consistent ? The influence of decision domain and personality. </w:t>
      </w:r>
      <w:r w:rsidRPr="006848F1">
        <w:rPr>
          <w:i/>
          <w:iCs/>
          <w:noProof/>
        </w:rPr>
        <w:t>Personality and Individual Differences</w:t>
      </w:r>
      <w:r w:rsidRPr="006848F1">
        <w:rPr>
          <w:noProof/>
        </w:rPr>
        <w:t>, 38, pp.1781–1791.</w:t>
      </w:r>
    </w:p>
    <w:p w14:paraId="008825E0" w14:textId="77777777" w:rsidR="00A21892" w:rsidRDefault="00A21892" w:rsidP="00A21892">
      <w:pPr>
        <w:widowControl w:val="0"/>
        <w:autoSpaceDE w:val="0"/>
        <w:autoSpaceDN w:val="0"/>
        <w:adjustRightInd w:val="0"/>
        <w:ind w:left="480" w:hanging="480"/>
        <w:rPr>
          <w:noProof/>
        </w:rPr>
      </w:pPr>
      <w:r w:rsidRPr="006848F1">
        <w:rPr>
          <w:noProof/>
        </w:rPr>
        <w:t xml:space="preserve">Tavares, L.P., 2010. Who delays childbearing ? The relationships between fertility , education and personality traits. </w:t>
      </w:r>
      <w:r w:rsidRPr="006848F1">
        <w:rPr>
          <w:i/>
          <w:iCs/>
          <w:noProof/>
        </w:rPr>
        <w:t>ISER Working paper series</w:t>
      </w:r>
      <w:r w:rsidRPr="006848F1">
        <w:rPr>
          <w:noProof/>
        </w:rPr>
        <w:t>.</w:t>
      </w:r>
    </w:p>
    <w:p w14:paraId="0221BC26" w14:textId="77777777" w:rsidR="00A21892" w:rsidRPr="006848F1" w:rsidRDefault="00A21892" w:rsidP="00A21892">
      <w:pPr>
        <w:widowControl w:val="0"/>
        <w:autoSpaceDE w:val="0"/>
        <w:autoSpaceDN w:val="0"/>
        <w:adjustRightInd w:val="0"/>
        <w:ind w:left="480" w:hanging="480"/>
        <w:rPr>
          <w:noProof/>
        </w:rPr>
      </w:pPr>
      <w:r>
        <w:t xml:space="preserve">Taylor, R., Najafi, F. &amp; Dobson, A. (2007). Meta-analysis of studies of passive smoking and lung cancer: Effects of study type and continent. </w:t>
      </w:r>
      <w:r w:rsidRPr="00EE405C">
        <w:rPr>
          <w:i/>
        </w:rPr>
        <w:t>International Journal of Epidemiology</w:t>
      </w:r>
      <w:r>
        <w:t>, 36(5), 1048-59.</w:t>
      </w:r>
    </w:p>
    <w:p w14:paraId="633BB301"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Taylor, M.F. et al., 2010. BRITISH HOUSEHOLD PANEL SURVEY USER MANUAL VOLUME A INTRODUCTION , TECHNICAL REPORT AND APPENDICES. </w:t>
      </w:r>
      <w:r w:rsidRPr="006848F1">
        <w:rPr>
          <w:i/>
          <w:iCs/>
          <w:noProof/>
        </w:rPr>
        <w:t>Institute for Social and Economic Research</w:t>
      </w:r>
      <w:r w:rsidRPr="006848F1">
        <w:rPr>
          <w:noProof/>
        </w:rPr>
        <w:t>, (5151), pp.1991–2009.</w:t>
      </w:r>
    </w:p>
    <w:p w14:paraId="044F115B"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Terracciano, A. &amp; Costa, P., 2004. Smoking and the Five-Factor Model of Personality. </w:t>
      </w:r>
      <w:r w:rsidRPr="006848F1">
        <w:rPr>
          <w:i/>
          <w:iCs/>
          <w:noProof/>
        </w:rPr>
        <w:t>Addiction</w:t>
      </w:r>
      <w:r w:rsidRPr="006848F1">
        <w:rPr>
          <w:noProof/>
        </w:rPr>
        <w:t>, 99(4), pp.472–481.</w:t>
      </w:r>
    </w:p>
    <w:p w14:paraId="68598F12"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Terracciano, A. &amp; McCrae, R.R., 2006. Cross-Cultural Studies of Personality Traits and their Relevance to Psychiatry. </w:t>
      </w:r>
      <w:r w:rsidRPr="006848F1">
        <w:rPr>
          <w:i/>
          <w:iCs/>
          <w:noProof/>
        </w:rPr>
        <w:t>Epidemiol Psichiatr Soc.</w:t>
      </w:r>
      <w:r w:rsidRPr="006848F1">
        <w:rPr>
          <w:noProof/>
        </w:rPr>
        <w:t>, 15(3).</w:t>
      </w:r>
    </w:p>
    <w:p w14:paraId="4ED29C86" w14:textId="77777777" w:rsidR="00A21892" w:rsidRPr="006848F1" w:rsidRDefault="00A21892" w:rsidP="00A21892">
      <w:pPr>
        <w:widowControl w:val="0"/>
        <w:autoSpaceDE w:val="0"/>
        <w:autoSpaceDN w:val="0"/>
        <w:adjustRightInd w:val="0"/>
        <w:ind w:left="480" w:hanging="480"/>
        <w:rPr>
          <w:noProof/>
        </w:rPr>
      </w:pPr>
      <w:r w:rsidRPr="006848F1">
        <w:rPr>
          <w:noProof/>
        </w:rPr>
        <w:t xml:space="preserve">Wildman, J. &amp; Hollingsworth, B., 2013. Public smoking bans and self-assessed health : Evidence from Great Britain. </w:t>
      </w:r>
      <w:r w:rsidRPr="006848F1">
        <w:rPr>
          <w:i/>
          <w:iCs/>
          <w:noProof/>
        </w:rPr>
        <w:t>Economics Letters</w:t>
      </w:r>
      <w:r w:rsidRPr="006848F1">
        <w:rPr>
          <w:noProof/>
        </w:rPr>
        <w:t>, 118(1), pp.209–212. Available at: http://dx.doi.org/10.1016/j.econlet.2012.10.019</w:t>
      </w:r>
      <w:r>
        <w:rPr>
          <w:noProof/>
        </w:rPr>
        <w:t xml:space="preserve"> </w:t>
      </w:r>
      <w:r w:rsidRPr="006848F1">
        <w:rPr>
          <w:noProof/>
        </w:rPr>
        <w:t xml:space="preserve">[Accessed </w:t>
      </w:r>
      <w:r>
        <w:rPr>
          <w:noProof/>
        </w:rPr>
        <w:t>May</w:t>
      </w:r>
      <w:r w:rsidRPr="006848F1">
        <w:rPr>
          <w:noProof/>
        </w:rPr>
        <w:t xml:space="preserve"> </w:t>
      </w:r>
      <w:r>
        <w:rPr>
          <w:noProof/>
        </w:rPr>
        <w:t>30, 2018</w:t>
      </w:r>
      <w:r w:rsidRPr="006848F1">
        <w:rPr>
          <w:noProof/>
        </w:rPr>
        <w:t>].</w:t>
      </w:r>
    </w:p>
    <w:p w14:paraId="3B2B71C4" w14:textId="26366646" w:rsidR="006A4ACD" w:rsidRDefault="00A21892" w:rsidP="008F33CB">
      <w:r>
        <w:fldChar w:fldCharType="end"/>
      </w:r>
    </w:p>
    <w:p w14:paraId="592EE22D" w14:textId="77777777" w:rsidR="006A4ACD" w:rsidRDefault="006A4ACD" w:rsidP="006A4ACD">
      <w:pPr>
        <w:spacing w:line="360" w:lineRule="auto"/>
        <w:ind w:firstLine="720"/>
        <w:jc w:val="both"/>
      </w:pPr>
    </w:p>
    <w:p w14:paraId="66ED2827" w14:textId="77777777" w:rsidR="006A4ACD" w:rsidRDefault="006A4ACD" w:rsidP="006A4ACD">
      <w:pPr>
        <w:pStyle w:val="Caption"/>
        <w:keepNext/>
        <w:rPr>
          <w:b/>
          <w:sz w:val="24"/>
          <w:szCs w:val="24"/>
        </w:rPr>
      </w:pPr>
      <w:bookmarkStart w:id="8" w:name="_Toc491811279"/>
    </w:p>
    <w:p w14:paraId="332A4B64" w14:textId="1D5F69A4" w:rsidR="00554798" w:rsidRDefault="00554798">
      <w:pPr>
        <w:rPr>
          <w:rFonts w:cstheme="majorBidi"/>
          <w:b/>
          <w:iCs/>
          <w:color w:val="000000" w:themeColor="text1"/>
          <w:lang w:eastAsia="en-GB"/>
        </w:rPr>
      </w:pPr>
      <w:r>
        <w:rPr>
          <w:b/>
        </w:rPr>
        <w:br w:type="page"/>
      </w:r>
    </w:p>
    <w:p w14:paraId="2414FA2C" w14:textId="27AB492D" w:rsidR="00C56AE9" w:rsidRPr="008F33CB" w:rsidRDefault="00C56AE9" w:rsidP="00922ABE">
      <w:pPr>
        <w:pStyle w:val="Heading2"/>
      </w:pPr>
      <w:r>
        <w:lastRenderedPageBreak/>
        <w:t>Appendix A</w:t>
      </w:r>
    </w:p>
    <w:bookmarkEnd w:id="8"/>
    <w:p w14:paraId="16DD2246" w14:textId="47728A9F" w:rsidR="006A4ACD" w:rsidRPr="004F7A76" w:rsidRDefault="00A10555" w:rsidP="006A4ACD">
      <w:pPr>
        <w:pStyle w:val="Caption"/>
        <w:keepNext/>
        <w:rPr>
          <w:sz w:val="24"/>
          <w:szCs w:val="24"/>
        </w:rPr>
      </w:pPr>
      <w:r>
        <w:rPr>
          <w:b/>
          <w:sz w:val="24"/>
          <w:szCs w:val="24"/>
        </w:rPr>
        <w:t xml:space="preserve">Table </w:t>
      </w:r>
      <w:r w:rsidR="00C56AE9">
        <w:rPr>
          <w:b/>
          <w:sz w:val="24"/>
          <w:szCs w:val="24"/>
        </w:rPr>
        <w:t xml:space="preserve">A. </w:t>
      </w:r>
      <w:r>
        <w:rPr>
          <w:b/>
          <w:sz w:val="24"/>
          <w:szCs w:val="24"/>
        </w:rPr>
        <w:t>1</w:t>
      </w:r>
      <w:r w:rsidR="006A4ACD">
        <w:rPr>
          <w:b/>
          <w:sz w:val="24"/>
          <w:szCs w:val="24"/>
        </w:rPr>
        <w:t xml:space="preserve">: Timeline of smoking policies and information dissemination </w:t>
      </w:r>
    </w:p>
    <w:p w14:paraId="3C7899E4" w14:textId="77777777" w:rsidR="006A4ACD" w:rsidRDefault="006A4ACD" w:rsidP="006A4ACD">
      <w:pPr>
        <w:rPr>
          <w:lang w:eastAsia="en-GB"/>
        </w:rPr>
      </w:pPr>
    </w:p>
    <w:tbl>
      <w:tblPr>
        <w:tblpPr w:leftFromText="180" w:rightFromText="180" w:vertAnchor="text" w:horzAnchor="page" w:tblpX="1027" w:tblpY="202"/>
        <w:tblW w:w="8465" w:type="dxa"/>
        <w:tblLook w:val="04A0" w:firstRow="1" w:lastRow="0" w:firstColumn="1" w:lastColumn="0" w:noHBand="0" w:noVBand="1"/>
      </w:tblPr>
      <w:tblGrid>
        <w:gridCol w:w="654"/>
        <w:gridCol w:w="7811"/>
      </w:tblGrid>
      <w:tr w:rsidR="006A4ACD" w:rsidRPr="00AE0673" w14:paraId="21E3DAC3" w14:textId="77777777" w:rsidTr="00C70857">
        <w:trPr>
          <w:trHeight w:val="340"/>
        </w:trPr>
        <w:tc>
          <w:tcPr>
            <w:tcW w:w="654" w:type="dxa"/>
            <w:tcBorders>
              <w:top w:val="nil"/>
              <w:left w:val="nil"/>
              <w:bottom w:val="nil"/>
              <w:right w:val="single" w:sz="4" w:space="0" w:color="auto"/>
            </w:tcBorders>
            <w:shd w:val="clear" w:color="auto" w:fill="auto"/>
            <w:noWrap/>
            <w:vAlign w:val="bottom"/>
          </w:tcPr>
          <w:p w14:paraId="79B49E16" w14:textId="77777777" w:rsidR="006A4ACD" w:rsidRPr="00EE405C" w:rsidRDefault="006A4ACD" w:rsidP="00C70857">
            <w:pPr>
              <w:rPr>
                <w:sz w:val="20"/>
                <w:szCs w:val="20"/>
              </w:rPr>
            </w:pPr>
            <w:r w:rsidRPr="00EE405C">
              <w:rPr>
                <w:sz w:val="20"/>
                <w:szCs w:val="20"/>
              </w:rPr>
              <w:t xml:space="preserve">Year </w:t>
            </w:r>
          </w:p>
        </w:tc>
        <w:tc>
          <w:tcPr>
            <w:tcW w:w="7811" w:type="dxa"/>
            <w:tcBorders>
              <w:top w:val="nil"/>
              <w:left w:val="nil"/>
              <w:bottom w:val="nil"/>
              <w:right w:val="nil"/>
            </w:tcBorders>
            <w:shd w:val="clear" w:color="auto" w:fill="auto"/>
            <w:vAlign w:val="bottom"/>
          </w:tcPr>
          <w:p w14:paraId="21219F2A" w14:textId="77777777" w:rsidR="006A4ACD" w:rsidRPr="00EE405C" w:rsidRDefault="006A4ACD" w:rsidP="00C70857">
            <w:pPr>
              <w:rPr>
                <w:sz w:val="20"/>
                <w:szCs w:val="20"/>
              </w:rPr>
            </w:pPr>
            <w:r w:rsidRPr="00EE405C">
              <w:rPr>
                <w:sz w:val="20"/>
                <w:szCs w:val="20"/>
              </w:rPr>
              <w:t xml:space="preserve">Intervention </w:t>
            </w:r>
          </w:p>
        </w:tc>
      </w:tr>
      <w:tr w:rsidR="006A4ACD" w:rsidRPr="00AE0673" w14:paraId="3A7F87FF" w14:textId="77777777" w:rsidTr="00C70857">
        <w:trPr>
          <w:trHeight w:val="340"/>
        </w:trPr>
        <w:tc>
          <w:tcPr>
            <w:tcW w:w="654" w:type="dxa"/>
            <w:tcBorders>
              <w:top w:val="nil"/>
              <w:left w:val="nil"/>
              <w:bottom w:val="nil"/>
              <w:right w:val="single" w:sz="4" w:space="0" w:color="auto"/>
            </w:tcBorders>
            <w:shd w:val="clear" w:color="auto" w:fill="auto"/>
            <w:noWrap/>
            <w:vAlign w:val="bottom"/>
            <w:hideMark/>
          </w:tcPr>
          <w:p w14:paraId="3D4C2FC6" w14:textId="52BA21E2" w:rsidR="006A4ACD" w:rsidRPr="00EE405C" w:rsidRDefault="006A4ACD" w:rsidP="00C70857">
            <w:pPr>
              <w:rPr>
                <w:sz w:val="20"/>
                <w:szCs w:val="20"/>
              </w:rPr>
            </w:pPr>
            <w:r w:rsidRPr="00EE405C">
              <w:rPr>
                <w:sz w:val="20"/>
                <w:szCs w:val="20"/>
              </w:rPr>
              <w:t>195</w:t>
            </w:r>
            <w:r w:rsidR="00A776A3">
              <w:rPr>
                <w:sz w:val="20"/>
                <w:szCs w:val="20"/>
              </w:rPr>
              <w:t>0</w:t>
            </w:r>
          </w:p>
        </w:tc>
        <w:tc>
          <w:tcPr>
            <w:tcW w:w="7811" w:type="dxa"/>
            <w:tcBorders>
              <w:top w:val="nil"/>
              <w:left w:val="nil"/>
              <w:bottom w:val="nil"/>
              <w:right w:val="nil"/>
            </w:tcBorders>
            <w:shd w:val="clear" w:color="auto" w:fill="auto"/>
            <w:vAlign w:val="bottom"/>
            <w:hideMark/>
          </w:tcPr>
          <w:p w14:paraId="2ED19CF7" w14:textId="49B2BADC" w:rsidR="006A4ACD" w:rsidRPr="00EE405C" w:rsidRDefault="006A4ACD" w:rsidP="00EE405C">
            <w:pPr>
              <w:rPr>
                <w:sz w:val="20"/>
                <w:szCs w:val="20"/>
              </w:rPr>
            </w:pPr>
            <w:r w:rsidRPr="00EE405C">
              <w:rPr>
                <w:sz w:val="20"/>
                <w:szCs w:val="20"/>
              </w:rPr>
              <w:t xml:space="preserve">First established link between smoking &amp; lung cancer </w:t>
            </w:r>
            <w:r w:rsidR="00A776A3">
              <w:rPr>
                <w:sz w:val="20"/>
                <w:szCs w:val="20"/>
              </w:rPr>
              <w:t>(Doll &amp; Hill, 1950)</w:t>
            </w:r>
          </w:p>
        </w:tc>
      </w:tr>
      <w:tr w:rsidR="006A4ACD" w:rsidRPr="00AE0673" w14:paraId="14386732"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49911A6D" w14:textId="77777777" w:rsidR="006A4ACD" w:rsidRPr="00EE405C" w:rsidRDefault="006A4ACD" w:rsidP="00C70857">
            <w:pPr>
              <w:rPr>
                <w:color w:val="000000"/>
                <w:sz w:val="20"/>
                <w:szCs w:val="20"/>
              </w:rPr>
            </w:pPr>
            <w:r w:rsidRPr="00EE405C">
              <w:rPr>
                <w:color w:val="000000"/>
                <w:sz w:val="20"/>
                <w:szCs w:val="20"/>
              </w:rPr>
              <w:t>1965</w:t>
            </w:r>
          </w:p>
        </w:tc>
        <w:tc>
          <w:tcPr>
            <w:tcW w:w="7811" w:type="dxa"/>
            <w:tcBorders>
              <w:top w:val="nil"/>
              <w:left w:val="nil"/>
              <w:bottom w:val="nil"/>
              <w:right w:val="nil"/>
            </w:tcBorders>
            <w:shd w:val="clear" w:color="auto" w:fill="auto"/>
            <w:vAlign w:val="bottom"/>
            <w:hideMark/>
          </w:tcPr>
          <w:p w14:paraId="5EAFAACD" w14:textId="77777777" w:rsidR="006A4ACD" w:rsidRPr="00EE405C" w:rsidRDefault="006A4ACD" w:rsidP="00C70857">
            <w:pPr>
              <w:rPr>
                <w:color w:val="000000"/>
                <w:sz w:val="20"/>
                <w:szCs w:val="20"/>
              </w:rPr>
            </w:pPr>
            <w:r w:rsidRPr="00EE405C">
              <w:rPr>
                <w:color w:val="000000"/>
                <w:sz w:val="20"/>
                <w:szCs w:val="20"/>
              </w:rPr>
              <w:t>Ban on cigarette advertising in UK</w:t>
            </w:r>
          </w:p>
        </w:tc>
      </w:tr>
      <w:tr w:rsidR="006A4ACD" w:rsidRPr="00AE0673" w14:paraId="3A345443" w14:textId="77777777" w:rsidTr="00C70857">
        <w:trPr>
          <w:trHeight w:val="560"/>
        </w:trPr>
        <w:tc>
          <w:tcPr>
            <w:tcW w:w="654" w:type="dxa"/>
            <w:tcBorders>
              <w:top w:val="nil"/>
              <w:left w:val="nil"/>
              <w:bottom w:val="nil"/>
              <w:right w:val="single" w:sz="4" w:space="0" w:color="auto"/>
            </w:tcBorders>
            <w:shd w:val="clear" w:color="auto" w:fill="auto"/>
            <w:noWrap/>
            <w:vAlign w:val="center"/>
            <w:hideMark/>
          </w:tcPr>
          <w:p w14:paraId="52DBB225" w14:textId="77777777" w:rsidR="006A4ACD" w:rsidRPr="00EE405C" w:rsidRDefault="006A4ACD" w:rsidP="00C70857">
            <w:pPr>
              <w:rPr>
                <w:color w:val="000000"/>
                <w:sz w:val="20"/>
                <w:szCs w:val="20"/>
              </w:rPr>
            </w:pPr>
            <w:r w:rsidRPr="00EE405C">
              <w:rPr>
                <w:color w:val="000000"/>
                <w:sz w:val="20"/>
                <w:szCs w:val="20"/>
              </w:rPr>
              <w:t>1971</w:t>
            </w:r>
          </w:p>
        </w:tc>
        <w:tc>
          <w:tcPr>
            <w:tcW w:w="7811" w:type="dxa"/>
            <w:tcBorders>
              <w:top w:val="nil"/>
              <w:left w:val="nil"/>
              <w:bottom w:val="nil"/>
              <w:right w:val="nil"/>
            </w:tcBorders>
            <w:shd w:val="clear" w:color="auto" w:fill="auto"/>
            <w:vAlign w:val="bottom"/>
            <w:hideMark/>
          </w:tcPr>
          <w:p w14:paraId="514E0C22" w14:textId="77777777" w:rsidR="006A4ACD" w:rsidRPr="00EE405C" w:rsidRDefault="006A4ACD" w:rsidP="00C70857">
            <w:pPr>
              <w:rPr>
                <w:color w:val="000000"/>
                <w:sz w:val="20"/>
                <w:szCs w:val="20"/>
              </w:rPr>
            </w:pPr>
            <w:r w:rsidRPr="00EE405C">
              <w:rPr>
                <w:color w:val="000000"/>
                <w:sz w:val="20"/>
                <w:szCs w:val="20"/>
              </w:rPr>
              <w:t>First health warnings on cigarette packages as part of an agreement between the tobacco industry and the UK Government</w:t>
            </w:r>
          </w:p>
        </w:tc>
      </w:tr>
      <w:tr w:rsidR="006A4ACD" w:rsidRPr="00AE0673" w14:paraId="1FD16AFC"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04915500" w14:textId="77777777" w:rsidR="006A4ACD" w:rsidRPr="00EE405C" w:rsidRDefault="006A4ACD" w:rsidP="00C70857">
            <w:pPr>
              <w:rPr>
                <w:color w:val="000000"/>
                <w:sz w:val="20"/>
                <w:szCs w:val="20"/>
              </w:rPr>
            </w:pPr>
            <w:r w:rsidRPr="00EE405C">
              <w:rPr>
                <w:color w:val="000000"/>
                <w:sz w:val="20"/>
                <w:szCs w:val="20"/>
              </w:rPr>
              <w:t>1976</w:t>
            </w:r>
          </w:p>
        </w:tc>
        <w:tc>
          <w:tcPr>
            <w:tcW w:w="7811" w:type="dxa"/>
            <w:tcBorders>
              <w:top w:val="nil"/>
              <w:left w:val="nil"/>
              <w:bottom w:val="nil"/>
              <w:right w:val="nil"/>
            </w:tcBorders>
            <w:shd w:val="clear" w:color="auto" w:fill="auto"/>
            <w:vAlign w:val="bottom"/>
            <w:hideMark/>
          </w:tcPr>
          <w:p w14:paraId="56769F7D" w14:textId="77777777" w:rsidR="006A4ACD" w:rsidRPr="00EE405C" w:rsidRDefault="006A4ACD" w:rsidP="00C70857">
            <w:pPr>
              <w:rPr>
                <w:color w:val="000000"/>
                <w:sz w:val="20"/>
                <w:szCs w:val="20"/>
              </w:rPr>
            </w:pPr>
            <w:r w:rsidRPr="00EE405C">
              <w:rPr>
                <w:color w:val="000000"/>
                <w:sz w:val="20"/>
                <w:szCs w:val="20"/>
              </w:rPr>
              <w:t>Links between smoking &amp; mortality in a 20-year study by Prof. Doll and Richard Doll</w:t>
            </w:r>
          </w:p>
        </w:tc>
      </w:tr>
      <w:tr w:rsidR="006A4ACD" w:rsidRPr="00AE0673" w14:paraId="777C478A" w14:textId="77777777" w:rsidTr="00C70857">
        <w:trPr>
          <w:trHeight w:val="344"/>
        </w:trPr>
        <w:tc>
          <w:tcPr>
            <w:tcW w:w="654" w:type="dxa"/>
            <w:tcBorders>
              <w:top w:val="nil"/>
              <w:left w:val="nil"/>
              <w:bottom w:val="nil"/>
              <w:right w:val="single" w:sz="4" w:space="0" w:color="auto"/>
            </w:tcBorders>
            <w:shd w:val="clear" w:color="auto" w:fill="auto"/>
            <w:noWrap/>
            <w:vAlign w:val="bottom"/>
            <w:hideMark/>
          </w:tcPr>
          <w:p w14:paraId="40020097" w14:textId="77777777" w:rsidR="006A4ACD" w:rsidRPr="00EE405C" w:rsidRDefault="006A4ACD" w:rsidP="00C70857">
            <w:pPr>
              <w:rPr>
                <w:color w:val="000000"/>
                <w:sz w:val="20"/>
                <w:szCs w:val="20"/>
              </w:rPr>
            </w:pPr>
            <w:r w:rsidRPr="00EE405C">
              <w:rPr>
                <w:color w:val="000000"/>
                <w:sz w:val="20"/>
                <w:szCs w:val="20"/>
              </w:rPr>
              <w:t>1984</w:t>
            </w:r>
          </w:p>
        </w:tc>
        <w:tc>
          <w:tcPr>
            <w:tcW w:w="7811" w:type="dxa"/>
            <w:tcBorders>
              <w:top w:val="nil"/>
              <w:left w:val="nil"/>
              <w:bottom w:val="nil"/>
              <w:right w:val="nil"/>
            </w:tcBorders>
            <w:shd w:val="clear" w:color="auto" w:fill="auto"/>
            <w:vAlign w:val="bottom"/>
            <w:hideMark/>
          </w:tcPr>
          <w:p w14:paraId="27DD7FCB" w14:textId="77777777" w:rsidR="006A4ACD" w:rsidRPr="00EE405C" w:rsidRDefault="006A4ACD" w:rsidP="00C70857">
            <w:pPr>
              <w:rPr>
                <w:color w:val="000000"/>
                <w:sz w:val="20"/>
                <w:szCs w:val="20"/>
              </w:rPr>
            </w:pPr>
            <w:r w:rsidRPr="00EE405C">
              <w:rPr>
                <w:color w:val="000000"/>
                <w:sz w:val="20"/>
                <w:szCs w:val="20"/>
              </w:rPr>
              <w:t>Smoking ban on London Underground</w:t>
            </w:r>
          </w:p>
        </w:tc>
      </w:tr>
      <w:tr w:rsidR="006A4ACD" w:rsidRPr="00AE0673" w14:paraId="6A7F2D0E" w14:textId="77777777" w:rsidTr="00C70857">
        <w:trPr>
          <w:trHeight w:val="354"/>
        </w:trPr>
        <w:tc>
          <w:tcPr>
            <w:tcW w:w="654" w:type="dxa"/>
            <w:tcBorders>
              <w:top w:val="nil"/>
              <w:left w:val="nil"/>
              <w:bottom w:val="nil"/>
              <w:right w:val="single" w:sz="4" w:space="0" w:color="auto"/>
            </w:tcBorders>
            <w:shd w:val="clear" w:color="auto" w:fill="auto"/>
            <w:noWrap/>
            <w:vAlign w:val="bottom"/>
            <w:hideMark/>
          </w:tcPr>
          <w:p w14:paraId="75D16D32" w14:textId="77777777" w:rsidR="006A4ACD" w:rsidRPr="00EE405C" w:rsidRDefault="006A4ACD" w:rsidP="00C70857">
            <w:pPr>
              <w:rPr>
                <w:color w:val="000000"/>
                <w:sz w:val="20"/>
                <w:szCs w:val="20"/>
              </w:rPr>
            </w:pPr>
            <w:r w:rsidRPr="00EE405C">
              <w:rPr>
                <w:color w:val="000000"/>
                <w:sz w:val="20"/>
                <w:szCs w:val="20"/>
              </w:rPr>
              <w:t>1986</w:t>
            </w:r>
          </w:p>
        </w:tc>
        <w:tc>
          <w:tcPr>
            <w:tcW w:w="7811" w:type="dxa"/>
            <w:tcBorders>
              <w:top w:val="nil"/>
              <w:left w:val="nil"/>
              <w:bottom w:val="nil"/>
              <w:right w:val="nil"/>
            </w:tcBorders>
            <w:shd w:val="clear" w:color="auto" w:fill="auto"/>
            <w:vAlign w:val="bottom"/>
            <w:hideMark/>
          </w:tcPr>
          <w:p w14:paraId="7E56FEF0" w14:textId="77777777" w:rsidR="006A4ACD" w:rsidRPr="00EE405C" w:rsidRDefault="006A4ACD" w:rsidP="00C70857">
            <w:pPr>
              <w:rPr>
                <w:color w:val="000000"/>
                <w:sz w:val="20"/>
                <w:szCs w:val="20"/>
              </w:rPr>
            </w:pPr>
            <w:r w:rsidRPr="00EE405C">
              <w:rPr>
                <w:color w:val="000000"/>
                <w:sz w:val="20"/>
                <w:szCs w:val="20"/>
              </w:rPr>
              <w:t>Ban on advertising in cinemas &amp; Health Warnings</w:t>
            </w:r>
          </w:p>
        </w:tc>
      </w:tr>
      <w:tr w:rsidR="006A4ACD" w:rsidRPr="00AE0673" w14:paraId="3B55AC3E" w14:textId="77777777" w:rsidTr="00C70857">
        <w:trPr>
          <w:trHeight w:val="560"/>
        </w:trPr>
        <w:tc>
          <w:tcPr>
            <w:tcW w:w="654" w:type="dxa"/>
            <w:tcBorders>
              <w:top w:val="nil"/>
              <w:left w:val="nil"/>
              <w:bottom w:val="nil"/>
              <w:right w:val="single" w:sz="4" w:space="0" w:color="auto"/>
            </w:tcBorders>
            <w:shd w:val="clear" w:color="auto" w:fill="auto"/>
            <w:noWrap/>
            <w:vAlign w:val="center"/>
            <w:hideMark/>
          </w:tcPr>
          <w:p w14:paraId="2BF05345" w14:textId="77777777" w:rsidR="006A4ACD" w:rsidRPr="00EE405C" w:rsidRDefault="006A4ACD" w:rsidP="00C70857">
            <w:pPr>
              <w:rPr>
                <w:color w:val="000000"/>
                <w:sz w:val="20"/>
                <w:szCs w:val="20"/>
              </w:rPr>
            </w:pPr>
            <w:r w:rsidRPr="00EE405C">
              <w:rPr>
                <w:color w:val="000000"/>
                <w:sz w:val="20"/>
                <w:szCs w:val="20"/>
              </w:rPr>
              <w:t>1988</w:t>
            </w:r>
          </w:p>
        </w:tc>
        <w:tc>
          <w:tcPr>
            <w:tcW w:w="7811" w:type="dxa"/>
            <w:tcBorders>
              <w:top w:val="nil"/>
              <w:left w:val="nil"/>
              <w:bottom w:val="nil"/>
              <w:right w:val="nil"/>
            </w:tcBorders>
            <w:shd w:val="clear" w:color="auto" w:fill="auto"/>
            <w:vAlign w:val="bottom"/>
            <w:hideMark/>
          </w:tcPr>
          <w:p w14:paraId="3DB74819" w14:textId="77777777" w:rsidR="006A4ACD" w:rsidRPr="00EE405C" w:rsidRDefault="006A4ACD" w:rsidP="00C70857">
            <w:pPr>
              <w:rPr>
                <w:color w:val="000000"/>
                <w:sz w:val="20"/>
                <w:szCs w:val="20"/>
              </w:rPr>
            </w:pPr>
            <w:r w:rsidRPr="00EE405C">
              <w:rPr>
                <w:color w:val="000000"/>
                <w:sz w:val="20"/>
                <w:szCs w:val="20"/>
              </w:rPr>
              <w:t>Link between second-hand smoke &amp; lung cancer: 10%-30% Higher risk of lung cancer when being exposed to second-hand smoke</w:t>
            </w:r>
          </w:p>
        </w:tc>
      </w:tr>
      <w:tr w:rsidR="006A4ACD" w:rsidRPr="00AE0673" w14:paraId="01CFE840" w14:textId="77777777" w:rsidTr="00C70857">
        <w:trPr>
          <w:trHeight w:val="560"/>
        </w:trPr>
        <w:tc>
          <w:tcPr>
            <w:tcW w:w="654" w:type="dxa"/>
            <w:tcBorders>
              <w:top w:val="nil"/>
              <w:left w:val="nil"/>
              <w:bottom w:val="nil"/>
              <w:right w:val="single" w:sz="4" w:space="0" w:color="auto"/>
            </w:tcBorders>
            <w:shd w:val="clear" w:color="auto" w:fill="auto"/>
            <w:noWrap/>
            <w:vAlign w:val="center"/>
            <w:hideMark/>
          </w:tcPr>
          <w:p w14:paraId="60BD9319" w14:textId="77777777" w:rsidR="006A4ACD" w:rsidRPr="00EE405C" w:rsidRDefault="006A4ACD" w:rsidP="00C70857">
            <w:pPr>
              <w:rPr>
                <w:color w:val="000000"/>
                <w:sz w:val="20"/>
                <w:szCs w:val="20"/>
              </w:rPr>
            </w:pPr>
            <w:r w:rsidRPr="00EE405C">
              <w:rPr>
                <w:color w:val="000000"/>
                <w:sz w:val="20"/>
                <w:szCs w:val="20"/>
              </w:rPr>
              <w:t>1993</w:t>
            </w:r>
          </w:p>
        </w:tc>
        <w:tc>
          <w:tcPr>
            <w:tcW w:w="7811" w:type="dxa"/>
            <w:tcBorders>
              <w:top w:val="nil"/>
              <w:left w:val="nil"/>
              <w:bottom w:val="nil"/>
              <w:right w:val="nil"/>
            </w:tcBorders>
            <w:shd w:val="clear" w:color="auto" w:fill="auto"/>
            <w:vAlign w:val="bottom"/>
            <w:hideMark/>
          </w:tcPr>
          <w:p w14:paraId="63C11859" w14:textId="77777777" w:rsidR="006A4ACD" w:rsidRPr="00EE405C" w:rsidRDefault="006A4ACD" w:rsidP="00C70857">
            <w:pPr>
              <w:rPr>
                <w:color w:val="000000"/>
                <w:sz w:val="20"/>
                <w:szCs w:val="20"/>
              </w:rPr>
            </w:pPr>
            <w:proofErr w:type="gramStart"/>
            <w:r w:rsidRPr="00EE405C">
              <w:rPr>
                <w:color w:val="000000"/>
                <w:sz w:val="20"/>
                <w:szCs w:val="20"/>
              </w:rPr>
              <w:t>Researcher</w:t>
            </w:r>
            <w:proofErr w:type="gramEnd"/>
            <w:r w:rsidRPr="00EE405C">
              <w:rPr>
                <w:color w:val="000000"/>
                <w:sz w:val="20"/>
                <w:szCs w:val="20"/>
              </w:rPr>
              <w:t xml:space="preserve"> find that smokers are three times more likely to die in middle-age than non-smoker</w:t>
            </w:r>
          </w:p>
        </w:tc>
      </w:tr>
      <w:tr w:rsidR="006A4ACD" w:rsidRPr="00AE0673" w14:paraId="3C2F8BAA" w14:textId="77777777" w:rsidTr="00C70857">
        <w:trPr>
          <w:trHeight w:val="220"/>
        </w:trPr>
        <w:tc>
          <w:tcPr>
            <w:tcW w:w="654" w:type="dxa"/>
            <w:tcBorders>
              <w:top w:val="nil"/>
              <w:left w:val="nil"/>
              <w:bottom w:val="nil"/>
              <w:right w:val="single" w:sz="4" w:space="0" w:color="auto"/>
            </w:tcBorders>
            <w:shd w:val="clear" w:color="auto" w:fill="auto"/>
            <w:noWrap/>
            <w:vAlign w:val="bottom"/>
            <w:hideMark/>
          </w:tcPr>
          <w:p w14:paraId="200D9187" w14:textId="77777777" w:rsidR="006A4ACD" w:rsidRPr="00EE405C" w:rsidRDefault="006A4ACD" w:rsidP="00C70857">
            <w:pPr>
              <w:rPr>
                <w:color w:val="000000"/>
                <w:sz w:val="20"/>
                <w:szCs w:val="20"/>
              </w:rPr>
            </w:pPr>
            <w:r w:rsidRPr="00EE405C">
              <w:rPr>
                <w:color w:val="000000"/>
                <w:sz w:val="20"/>
                <w:szCs w:val="20"/>
              </w:rPr>
              <w:t>1998</w:t>
            </w:r>
          </w:p>
        </w:tc>
        <w:tc>
          <w:tcPr>
            <w:tcW w:w="7811" w:type="dxa"/>
            <w:tcBorders>
              <w:top w:val="nil"/>
              <w:left w:val="nil"/>
              <w:bottom w:val="nil"/>
              <w:right w:val="nil"/>
            </w:tcBorders>
            <w:shd w:val="clear" w:color="auto" w:fill="auto"/>
            <w:vAlign w:val="bottom"/>
            <w:hideMark/>
          </w:tcPr>
          <w:p w14:paraId="4394BD50" w14:textId="77777777" w:rsidR="006A4ACD" w:rsidRPr="00EE405C" w:rsidRDefault="006A4ACD" w:rsidP="00C70857">
            <w:pPr>
              <w:rPr>
                <w:color w:val="000000"/>
                <w:sz w:val="20"/>
                <w:szCs w:val="20"/>
              </w:rPr>
            </w:pPr>
            <w:r w:rsidRPr="00EE405C">
              <w:rPr>
                <w:color w:val="000000"/>
                <w:sz w:val="20"/>
                <w:szCs w:val="20"/>
              </w:rPr>
              <w:t>Government disclaims second-hand smoke to be cause of lung cancer and heart diseases</w:t>
            </w:r>
          </w:p>
        </w:tc>
      </w:tr>
      <w:tr w:rsidR="006A4ACD" w:rsidRPr="00AE0673" w14:paraId="643962F2" w14:textId="77777777" w:rsidTr="00C70857">
        <w:trPr>
          <w:trHeight w:val="560"/>
        </w:trPr>
        <w:tc>
          <w:tcPr>
            <w:tcW w:w="654" w:type="dxa"/>
            <w:tcBorders>
              <w:top w:val="nil"/>
              <w:left w:val="nil"/>
              <w:bottom w:val="nil"/>
              <w:right w:val="single" w:sz="4" w:space="0" w:color="auto"/>
            </w:tcBorders>
            <w:shd w:val="clear" w:color="auto" w:fill="auto"/>
            <w:noWrap/>
            <w:vAlign w:val="center"/>
            <w:hideMark/>
          </w:tcPr>
          <w:p w14:paraId="070DDE4A" w14:textId="77777777" w:rsidR="006A4ACD" w:rsidRPr="00EE405C" w:rsidRDefault="006A4ACD" w:rsidP="00C70857">
            <w:pPr>
              <w:rPr>
                <w:color w:val="000000"/>
                <w:sz w:val="20"/>
                <w:szCs w:val="20"/>
              </w:rPr>
            </w:pPr>
            <w:r w:rsidRPr="00EE405C">
              <w:rPr>
                <w:color w:val="000000"/>
                <w:sz w:val="20"/>
                <w:szCs w:val="20"/>
              </w:rPr>
              <w:t>2000</w:t>
            </w:r>
          </w:p>
        </w:tc>
        <w:tc>
          <w:tcPr>
            <w:tcW w:w="7811" w:type="dxa"/>
            <w:tcBorders>
              <w:top w:val="nil"/>
              <w:left w:val="nil"/>
              <w:bottom w:val="nil"/>
              <w:right w:val="nil"/>
            </w:tcBorders>
            <w:shd w:val="clear" w:color="auto" w:fill="auto"/>
            <w:vAlign w:val="bottom"/>
            <w:hideMark/>
          </w:tcPr>
          <w:p w14:paraId="3A157514" w14:textId="77777777" w:rsidR="006A4ACD" w:rsidRPr="00EE405C" w:rsidRDefault="006A4ACD" w:rsidP="00C70857">
            <w:pPr>
              <w:rPr>
                <w:color w:val="000000"/>
                <w:sz w:val="20"/>
                <w:szCs w:val="20"/>
              </w:rPr>
            </w:pPr>
            <w:r w:rsidRPr="00EE405C">
              <w:rPr>
                <w:color w:val="000000"/>
                <w:sz w:val="20"/>
                <w:szCs w:val="20"/>
              </w:rPr>
              <w:t>Court case against Philip Morris and RJ Reynolds even though smoker had started smoking after appearance of health warnings on cigarette packs</w:t>
            </w:r>
          </w:p>
        </w:tc>
      </w:tr>
      <w:tr w:rsidR="006A4ACD" w:rsidRPr="00AE0673" w14:paraId="271F0E0E"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0895C039" w14:textId="77777777" w:rsidR="006A4ACD" w:rsidRPr="00EE405C" w:rsidRDefault="006A4ACD" w:rsidP="00C70857">
            <w:pPr>
              <w:rPr>
                <w:color w:val="000000"/>
                <w:sz w:val="20"/>
                <w:szCs w:val="20"/>
              </w:rPr>
            </w:pPr>
            <w:r w:rsidRPr="00EE405C">
              <w:rPr>
                <w:color w:val="000000"/>
                <w:sz w:val="20"/>
                <w:szCs w:val="20"/>
              </w:rPr>
              <w:t>2001</w:t>
            </w:r>
          </w:p>
        </w:tc>
        <w:tc>
          <w:tcPr>
            <w:tcW w:w="7811" w:type="dxa"/>
            <w:tcBorders>
              <w:top w:val="nil"/>
              <w:left w:val="nil"/>
              <w:bottom w:val="nil"/>
              <w:right w:val="nil"/>
            </w:tcBorders>
            <w:shd w:val="clear" w:color="auto" w:fill="auto"/>
            <w:vAlign w:val="bottom"/>
            <w:hideMark/>
          </w:tcPr>
          <w:p w14:paraId="73FC0A2B" w14:textId="77777777" w:rsidR="006A4ACD" w:rsidRPr="00EE405C" w:rsidRDefault="006A4ACD" w:rsidP="00C70857">
            <w:pPr>
              <w:rPr>
                <w:color w:val="000000"/>
                <w:sz w:val="20"/>
                <w:szCs w:val="20"/>
              </w:rPr>
            </w:pPr>
            <w:r w:rsidRPr="00EE405C">
              <w:rPr>
                <w:color w:val="000000"/>
                <w:sz w:val="20"/>
                <w:szCs w:val="20"/>
              </w:rPr>
              <w:t>EU Directive for more warnings on tobacco packs</w:t>
            </w:r>
          </w:p>
        </w:tc>
      </w:tr>
      <w:tr w:rsidR="006A4ACD" w:rsidRPr="00AE0673" w14:paraId="7AC72B09"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6D6B016E" w14:textId="77777777" w:rsidR="006A4ACD" w:rsidRPr="00EE405C" w:rsidRDefault="006A4ACD" w:rsidP="00C70857">
            <w:pPr>
              <w:rPr>
                <w:color w:val="000000"/>
                <w:sz w:val="20"/>
                <w:szCs w:val="20"/>
              </w:rPr>
            </w:pPr>
            <w:r w:rsidRPr="00EE405C">
              <w:rPr>
                <w:color w:val="000000"/>
                <w:sz w:val="20"/>
                <w:szCs w:val="20"/>
              </w:rPr>
              <w:t>2002</w:t>
            </w:r>
          </w:p>
        </w:tc>
        <w:tc>
          <w:tcPr>
            <w:tcW w:w="7811" w:type="dxa"/>
            <w:tcBorders>
              <w:top w:val="nil"/>
              <w:left w:val="nil"/>
              <w:bottom w:val="nil"/>
              <w:right w:val="nil"/>
            </w:tcBorders>
            <w:shd w:val="clear" w:color="auto" w:fill="auto"/>
            <w:vAlign w:val="bottom"/>
            <w:hideMark/>
          </w:tcPr>
          <w:p w14:paraId="3D22CAB4" w14:textId="77777777" w:rsidR="006A4ACD" w:rsidRPr="00EE405C" w:rsidRDefault="006A4ACD" w:rsidP="00C70857">
            <w:pPr>
              <w:rPr>
                <w:color w:val="000000"/>
                <w:sz w:val="20"/>
                <w:szCs w:val="20"/>
              </w:rPr>
            </w:pPr>
            <w:r w:rsidRPr="00EE405C">
              <w:rPr>
                <w:color w:val="000000"/>
                <w:sz w:val="20"/>
                <w:szCs w:val="20"/>
              </w:rPr>
              <w:t>First call for ban in public places by British Medical Association</w:t>
            </w:r>
          </w:p>
        </w:tc>
      </w:tr>
      <w:tr w:rsidR="006A4ACD" w:rsidRPr="00AE0673" w14:paraId="40C381EB"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45CAFBB2" w14:textId="77777777" w:rsidR="006A4ACD" w:rsidRPr="00EE405C" w:rsidRDefault="006A4ACD" w:rsidP="00C70857">
            <w:pPr>
              <w:rPr>
                <w:color w:val="000000"/>
                <w:sz w:val="20"/>
                <w:szCs w:val="20"/>
              </w:rPr>
            </w:pPr>
            <w:r w:rsidRPr="00EE405C">
              <w:rPr>
                <w:color w:val="000000"/>
                <w:sz w:val="20"/>
                <w:szCs w:val="20"/>
              </w:rPr>
              <w:t>2005</w:t>
            </w:r>
          </w:p>
        </w:tc>
        <w:tc>
          <w:tcPr>
            <w:tcW w:w="7811" w:type="dxa"/>
            <w:tcBorders>
              <w:top w:val="nil"/>
              <w:left w:val="nil"/>
              <w:bottom w:val="nil"/>
              <w:right w:val="nil"/>
            </w:tcBorders>
            <w:shd w:val="clear" w:color="auto" w:fill="auto"/>
            <w:vAlign w:val="bottom"/>
            <w:hideMark/>
          </w:tcPr>
          <w:p w14:paraId="1726A638" w14:textId="77777777" w:rsidR="006A4ACD" w:rsidRPr="00EE405C" w:rsidRDefault="006A4ACD" w:rsidP="00C70857">
            <w:pPr>
              <w:rPr>
                <w:color w:val="000000"/>
                <w:sz w:val="20"/>
                <w:szCs w:val="20"/>
              </w:rPr>
            </w:pPr>
            <w:r w:rsidRPr="00EE405C">
              <w:rPr>
                <w:color w:val="000000"/>
                <w:sz w:val="20"/>
                <w:szCs w:val="20"/>
              </w:rPr>
              <w:t>Increased information about adverse health impacts of second-hand smoking</w:t>
            </w:r>
          </w:p>
        </w:tc>
      </w:tr>
      <w:tr w:rsidR="006A4ACD" w:rsidRPr="00AE0673" w14:paraId="5A69C4BD" w14:textId="77777777" w:rsidTr="00C70857">
        <w:trPr>
          <w:trHeight w:val="560"/>
        </w:trPr>
        <w:tc>
          <w:tcPr>
            <w:tcW w:w="654" w:type="dxa"/>
            <w:tcBorders>
              <w:top w:val="nil"/>
              <w:left w:val="nil"/>
              <w:bottom w:val="nil"/>
              <w:right w:val="single" w:sz="4" w:space="0" w:color="auto"/>
            </w:tcBorders>
            <w:shd w:val="clear" w:color="auto" w:fill="auto"/>
            <w:noWrap/>
            <w:vAlign w:val="center"/>
            <w:hideMark/>
          </w:tcPr>
          <w:p w14:paraId="275BEA77" w14:textId="77777777" w:rsidR="006A4ACD" w:rsidRPr="00EE405C" w:rsidRDefault="006A4ACD" w:rsidP="00C70857">
            <w:pPr>
              <w:rPr>
                <w:color w:val="000000"/>
                <w:sz w:val="20"/>
                <w:szCs w:val="20"/>
              </w:rPr>
            </w:pPr>
            <w:r w:rsidRPr="00EE405C">
              <w:rPr>
                <w:color w:val="000000"/>
                <w:sz w:val="20"/>
                <w:szCs w:val="20"/>
              </w:rPr>
              <w:t>2005</w:t>
            </w:r>
          </w:p>
        </w:tc>
        <w:tc>
          <w:tcPr>
            <w:tcW w:w="7811" w:type="dxa"/>
            <w:tcBorders>
              <w:top w:val="nil"/>
              <w:left w:val="nil"/>
              <w:bottom w:val="nil"/>
              <w:right w:val="nil"/>
            </w:tcBorders>
            <w:shd w:val="clear" w:color="auto" w:fill="auto"/>
            <w:vAlign w:val="bottom"/>
            <w:hideMark/>
          </w:tcPr>
          <w:p w14:paraId="0C3EA5C2" w14:textId="77777777" w:rsidR="006A4ACD" w:rsidRPr="00EE405C" w:rsidRDefault="006A4ACD" w:rsidP="00C70857">
            <w:pPr>
              <w:rPr>
                <w:color w:val="000000"/>
                <w:sz w:val="20"/>
                <w:szCs w:val="20"/>
              </w:rPr>
            </w:pPr>
            <w:r w:rsidRPr="00EE405C">
              <w:rPr>
                <w:color w:val="000000"/>
                <w:sz w:val="20"/>
                <w:szCs w:val="20"/>
              </w:rPr>
              <w:t>Northern Ireland agrees to implement a ban in 2007 whilst a ban in England is delayed at Cabinet level</w:t>
            </w:r>
          </w:p>
        </w:tc>
      </w:tr>
      <w:tr w:rsidR="006A4ACD" w:rsidRPr="00AE0673" w14:paraId="4B2213AD"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26AD6885" w14:textId="77777777" w:rsidR="006A4ACD" w:rsidRPr="00EE405C" w:rsidRDefault="006A4ACD" w:rsidP="00C70857">
            <w:pPr>
              <w:rPr>
                <w:color w:val="000000"/>
                <w:sz w:val="20"/>
                <w:szCs w:val="20"/>
              </w:rPr>
            </w:pPr>
            <w:r w:rsidRPr="00EE405C">
              <w:rPr>
                <w:color w:val="000000"/>
                <w:sz w:val="20"/>
                <w:szCs w:val="20"/>
              </w:rPr>
              <w:t>2006</w:t>
            </w:r>
          </w:p>
        </w:tc>
        <w:tc>
          <w:tcPr>
            <w:tcW w:w="7811" w:type="dxa"/>
            <w:tcBorders>
              <w:top w:val="nil"/>
              <w:left w:val="nil"/>
              <w:bottom w:val="nil"/>
              <w:right w:val="nil"/>
            </w:tcBorders>
            <w:shd w:val="clear" w:color="auto" w:fill="auto"/>
            <w:vAlign w:val="bottom"/>
            <w:hideMark/>
          </w:tcPr>
          <w:p w14:paraId="658F7255" w14:textId="77777777" w:rsidR="006A4ACD" w:rsidRPr="00EE405C" w:rsidRDefault="006A4ACD" w:rsidP="00C70857">
            <w:pPr>
              <w:rPr>
                <w:color w:val="000000"/>
                <w:sz w:val="20"/>
                <w:szCs w:val="20"/>
              </w:rPr>
            </w:pPr>
            <w:r w:rsidRPr="00EE405C">
              <w:rPr>
                <w:color w:val="000000"/>
                <w:sz w:val="20"/>
                <w:szCs w:val="20"/>
              </w:rPr>
              <w:t>Ban on smoking in public places in Scotland</w:t>
            </w:r>
          </w:p>
        </w:tc>
      </w:tr>
      <w:tr w:rsidR="006A4ACD" w:rsidRPr="00AE0673" w14:paraId="587A42A4" w14:textId="77777777" w:rsidTr="00C70857">
        <w:trPr>
          <w:trHeight w:val="358"/>
        </w:trPr>
        <w:tc>
          <w:tcPr>
            <w:tcW w:w="654" w:type="dxa"/>
            <w:tcBorders>
              <w:top w:val="nil"/>
              <w:left w:val="nil"/>
              <w:bottom w:val="nil"/>
              <w:right w:val="single" w:sz="4" w:space="0" w:color="auto"/>
            </w:tcBorders>
            <w:shd w:val="clear" w:color="auto" w:fill="auto"/>
            <w:noWrap/>
            <w:vAlign w:val="bottom"/>
            <w:hideMark/>
          </w:tcPr>
          <w:p w14:paraId="7559A3CB" w14:textId="77777777" w:rsidR="006A4ACD" w:rsidRPr="00EE405C" w:rsidRDefault="006A4ACD" w:rsidP="00C70857">
            <w:pPr>
              <w:rPr>
                <w:color w:val="000000"/>
                <w:sz w:val="20"/>
                <w:szCs w:val="20"/>
              </w:rPr>
            </w:pPr>
            <w:r w:rsidRPr="00EE405C">
              <w:rPr>
                <w:color w:val="000000"/>
                <w:sz w:val="20"/>
                <w:szCs w:val="20"/>
              </w:rPr>
              <w:t>2007</w:t>
            </w:r>
          </w:p>
        </w:tc>
        <w:tc>
          <w:tcPr>
            <w:tcW w:w="7811" w:type="dxa"/>
            <w:tcBorders>
              <w:top w:val="nil"/>
              <w:left w:val="nil"/>
              <w:bottom w:val="nil"/>
              <w:right w:val="nil"/>
            </w:tcBorders>
            <w:shd w:val="clear" w:color="auto" w:fill="auto"/>
            <w:vAlign w:val="bottom"/>
            <w:hideMark/>
          </w:tcPr>
          <w:p w14:paraId="0AED9BAF" w14:textId="77777777" w:rsidR="006A4ACD" w:rsidRPr="00EE405C" w:rsidRDefault="006A4ACD" w:rsidP="00C70857">
            <w:pPr>
              <w:rPr>
                <w:color w:val="000000"/>
                <w:sz w:val="20"/>
                <w:szCs w:val="20"/>
              </w:rPr>
            </w:pPr>
            <w:r w:rsidRPr="00EE405C">
              <w:rPr>
                <w:color w:val="000000"/>
                <w:sz w:val="20"/>
                <w:szCs w:val="20"/>
              </w:rPr>
              <w:t>Ban on smoking in public places in England, Wales and Northern Ireland</w:t>
            </w:r>
          </w:p>
        </w:tc>
      </w:tr>
      <w:tr w:rsidR="006A4ACD" w:rsidRPr="00AE0673" w14:paraId="4C6D21B2"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655B8503" w14:textId="77777777" w:rsidR="006A4ACD" w:rsidRPr="00EE405C" w:rsidRDefault="006A4ACD" w:rsidP="00C70857">
            <w:pPr>
              <w:rPr>
                <w:color w:val="000000"/>
                <w:sz w:val="20"/>
                <w:szCs w:val="20"/>
              </w:rPr>
            </w:pPr>
            <w:r w:rsidRPr="00EE405C">
              <w:rPr>
                <w:color w:val="000000"/>
                <w:sz w:val="20"/>
                <w:szCs w:val="20"/>
              </w:rPr>
              <w:t>2008</w:t>
            </w:r>
          </w:p>
        </w:tc>
        <w:tc>
          <w:tcPr>
            <w:tcW w:w="7811" w:type="dxa"/>
            <w:tcBorders>
              <w:top w:val="nil"/>
              <w:left w:val="nil"/>
              <w:bottom w:val="nil"/>
              <w:right w:val="nil"/>
            </w:tcBorders>
            <w:shd w:val="clear" w:color="auto" w:fill="auto"/>
            <w:vAlign w:val="bottom"/>
            <w:hideMark/>
          </w:tcPr>
          <w:p w14:paraId="030AB277" w14:textId="77777777" w:rsidR="006A4ACD" w:rsidRPr="00EE405C" w:rsidRDefault="006A4ACD" w:rsidP="00C70857">
            <w:pPr>
              <w:rPr>
                <w:color w:val="000000"/>
                <w:sz w:val="20"/>
                <w:szCs w:val="20"/>
              </w:rPr>
            </w:pPr>
            <w:r w:rsidRPr="00EE405C">
              <w:rPr>
                <w:color w:val="000000"/>
                <w:sz w:val="20"/>
                <w:szCs w:val="20"/>
              </w:rPr>
              <w:t>Pictorial Health warnings required on tobacco packages</w:t>
            </w:r>
          </w:p>
        </w:tc>
      </w:tr>
      <w:tr w:rsidR="006A4ACD" w:rsidRPr="00AE0673" w14:paraId="01E2FB69"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11B298CA" w14:textId="77777777" w:rsidR="006A4ACD" w:rsidRPr="00EE405C" w:rsidRDefault="006A4ACD" w:rsidP="00C70857">
            <w:pPr>
              <w:rPr>
                <w:color w:val="000000"/>
                <w:sz w:val="20"/>
                <w:szCs w:val="20"/>
              </w:rPr>
            </w:pPr>
            <w:r w:rsidRPr="00EE405C">
              <w:rPr>
                <w:color w:val="000000"/>
                <w:sz w:val="20"/>
                <w:szCs w:val="20"/>
              </w:rPr>
              <w:t>2011</w:t>
            </w:r>
          </w:p>
        </w:tc>
        <w:tc>
          <w:tcPr>
            <w:tcW w:w="7811" w:type="dxa"/>
            <w:tcBorders>
              <w:top w:val="nil"/>
              <w:left w:val="nil"/>
              <w:bottom w:val="nil"/>
              <w:right w:val="nil"/>
            </w:tcBorders>
            <w:shd w:val="clear" w:color="auto" w:fill="auto"/>
            <w:vAlign w:val="bottom"/>
            <w:hideMark/>
          </w:tcPr>
          <w:p w14:paraId="0B9C2FD0" w14:textId="77777777" w:rsidR="006A4ACD" w:rsidRPr="00EE405C" w:rsidRDefault="006A4ACD" w:rsidP="00C70857">
            <w:pPr>
              <w:rPr>
                <w:color w:val="000000"/>
                <w:sz w:val="20"/>
                <w:szCs w:val="20"/>
              </w:rPr>
            </w:pPr>
            <w:r w:rsidRPr="00EE405C">
              <w:rPr>
                <w:color w:val="000000"/>
                <w:sz w:val="20"/>
                <w:szCs w:val="20"/>
              </w:rPr>
              <w:t>Tobacco product display ban all over UK</w:t>
            </w:r>
          </w:p>
        </w:tc>
      </w:tr>
      <w:tr w:rsidR="006A4ACD" w:rsidRPr="00AE0673" w14:paraId="3F350638"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7BD38B23" w14:textId="77777777" w:rsidR="006A4ACD" w:rsidRPr="00EE405C" w:rsidRDefault="006A4ACD" w:rsidP="00C70857">
            <w:pPr>
              <w:rPr>
                <w:color w:val="000000"/>
                <w:sz w:val="20"/>
                <w:szCs w:val="20"/>
              </w:rPr>
            </w:pPr>
            <w:r w:rsidRPr="00EE405C">
              <w:rPr>
                <w:color w:val="000000"/>
                <w:sz w:val="20"/>
                <w:szCs w:val="20"/>
              </w:rPr>
              <w:t>2011</w:t>
            </w:r>
          </w:p>
        </w:tc>
        <w:tc>
          <w:tcPr>
            <w:tcW w:w="7811" w:type="dxa"/>
            <w:tcBorders>
              <w:top w:val="nil"/>
              <w:left w:val="nil"/>
              <w:bottom w:val="nil"/>
              <w:right w:val="nil"/>
            </w:tcBorders>
            <w:shd w:val="clear" w:color="auto" w:fill="auto"/>
            <w:vAlign w:val="bottom"/>
            <w:hideMark/>
          </w:tcPr>
          <w:p w14:paraId="7D8DAD0F" w14:textId="77777777" w:rsidR="006A4ACD" w:rsidRPr="00EE405C" w:rsidRDefault="006A4ACD" w:rsidP="00C70857">
            <w:pPr>
              <w:rPr>
                <w:color w:val="000000"/>
                <w:sz w:val="20"/>
                <w:szCs w:val="20"/>
              </w:rPr>
            </w:pPr>
            <w:r w:rsidRPr="00EE405C">
              <w:rPr>
                <w:color w:val="000000"/>
                <w:sz w:val="20"/>
                <w:szCs w:val="20"/>
              </w:rPr>
              <w:t>Ban on sales from vending machines all over UK</w:t>
            </w:r>
          </w:p>
        </w:tc>
      </w:tr>
      <w:tr w:rsidR="006A4ACD" w:rsidRPr="00AE0673" w14:paraId="760F86DE" w14:textId="77777777" w:rsidTr="00C70857">
        <w:trPr>
          <w:trHeight w:val="320"/>
        </w:trPr>
        <w:tc>
          <w:tcPr>
            <w:tcW w:w="654" w:type="dxa"/>
            <w:tcBorders>
              <w:top w:val="nil"/>
              <w:left w:val="nil"/>
              <w:bottom w:val="nil"/>
              <w:right w:val="single" w:sz="4" w:space="0" w:color="auto"/>
            </w:tcBorders>
            <w:shd w:val="clear" w:color="auto" w:fill="auto"/>
            <w:noWrap/>
            <w:vAlign w:val="bottom"/>
            <w:hideMark/>
          </w:tcPr>
          <w:p w14:paraId="703C703A" w14:textId="77777777" w:rsidR="006A4ACD" w:rsidRPr="00EE405C" w:rsidRDefault="006A4ACD" w:rsidP="00C70857">
            <w:pPr>
              <w:rPr>
                <w:color w:val="000000"/>
                <w:sz w:val="20"/>
                <w:szCs w:val="20"/>
              </w:rPr>
            </w:pPr>
            <w:r w:rsidRPr="00EE405C">
              <w:rPr>
                <w:color w:val="000000"/>
                <w:sz w:val="20"/>
                <w:szCs w:val="20"/>
              </w:rPr>
              <w:t>2016</w:t>
            </w:r>
          </w:p>
        </w:tc>
        <w:tc>
          <w:tcPr>
            <w:tcW w:w="7811" w:type="dxa"/>
            <w:tcBorders>
              <w:top w:val="nil"/>
              <w:left w:val="nil"/>
              <w:bottom w:val="nil"/>
              <w:right w:val="nil"/>
            </w:tcBorders>
            <w:shd w:val="clear" w:color="auto" w:fill="auto"/>
            <w:vAlign w:val="bottom"/>
            <w:hideMark/>
          </w:tcPr>
          <w:p w14:paraId="59AA51C3" w14:textId="77777777" w:rsidR="006A4ACD" w:rsidRPr="00EE405C" w:rsidRDefault="006A4ACD" w:rsidP="00C70857">
            <w:pPr>
              <w:rPr>
                <w:color w:val="000000"/>
                <w:sz w:val="20"/>
                <w:szCs w:val="20"/>
              </w:rPr>
            </w:pPr>
            <w:r w:rsidRPr="00EE405C">
              <w:rPr>
                <w:color w:val="000000"/>
                <w:sz w:val="20"/>
                <w:szCs w:val="20"/>
              </w:rPr>
              <w:t>Introduction of Plain Packaging in UK</w:t>
            </w:r>
          </w:p>
        </w:tc>
      </w:tr>
    </w:tbl>
    <w:p w14:paraId="4CB5FB78" w14:textId="77777777" w:rsidR="006A4ACD" w:rsidRDefault="006A4ACD" w:rsidP="006A4ACD">
      <w:pPr>
        <w:rPr>
          <w:lang w:eastAsia="en-GB"/>
        </w:rPr>
      </w:pPr>
    </w:p>
    <w:p w14:paraId="7C7CF824" w14:textId="77777777" w:rsidR="006A4ACD" w:rsidRPr="008E494C" w:rsidRDefault="006A4ACD" w:rsidP="006A4ACD">
      <w:pPr>
        <w:rPr>
          <w:lang w:eastAsia="en-GB"/>
        </w:rPr>
      </w:pPr>
    </w:p>
    <w:p w14:paraId="61487D34" w14:textId="77777777" w:rsidR="006A4ACD" w:rsidRPr="00ED6C4B" w:rsidRDefault="006A4ACD" w:rsidP="006A4ACD"/>
    <w:p w14:paraId="34F8251C" w14:textId="77777777" w:rsidR="006A4ACD" w:rsidRDefault="006A4ACD" w:rsidP="006A4ACD"/>
    <w:p w14:paraId="2EB46842" w14:textId="77777777" w:rsidR="006A4ACD" w:rsidRDefault="006A4ACD" w:rsidP="006A4ACD"/>
    <w:p w14:paraId="5A107195" w14:textId="77777777" w:rsidR="006A4ACD" w:rsidRDefault="006A4ACD" w:rsidP="006A4ACD"/>
    <w:p w14:paraId="43E25784" w14:textId="77777777" w:rsidR="006A4ACD" w:rsidRDefault="006A4ACD" w:rsidP="006A4ACD"/>
    <w:p w14:paraId="5D443C7E" w14:textId="77777777" w:rsidR="006A4ACD" w:rsidRDefault="006A4ACD" w:rsidP="006A4ACD"/>
    <w:p w14:paraId="1DD189F0" w14:textId="77777777" w:rsidR="006A4ACD" w:rsidRDefault="006A4ACD" w:rsidP="006A4ACD"/>
    <w:p w14:paraId="0AA57FB4" w14:textId="77777777" w:rsidR="006A4ACD" w:rsidRDefault="006A4ACD" w:rsidP="006A4ACD"/>
    <w:p w14:paraId="0A20C2C2" w14:textId="77777777" w:rsidR="006A4ACD" w:rsidRDefault="006A4ACD" w:rsidP="006A4ACD"/>
    <w:p w14:paraId="25DC3FF4" w14:textId="77777777" w:rsidR="006A4ACD" w:rsidRDefault="006A4ACD" w:rsidP="006A4ACD"/>
    <w:p w14:paraId="0D8E4551" w14:textId="77777777" w:rsidR="006A4ACD" w:rsidRDefault="006A4ACD" w:rsidP="006A4ACD"/>
    <w:p w14:paraId="2605E774" w14:textId="77777777" w:rsidR="006A4ACD" w:rsidRDefault="006A4ACD" w:rsidP="006A4ACD"/>
    <w:p w14:paraId="4B8D1B5E" w14:textId="77777777" w:rsidR="006A4ACD" w:rsidRDefault="006A4ACD" w:rsidP="006A4ACD"/>
    <w:p w14:paraId="7F5FB0E6" w14:textId="77777777" w:rsidR="006A4ACD" w:rsidRDefault="006A4ACD" w:rsidP="006A4ACD"/>
    <w:p w14:paraId="151259E6" w14:textId="77777777" w:rsidR="006A4ACD" w:rsidRDefault="006A4ACD" w:rsidP="006A4ACD"/>
    <w:p w14:paraId="7C0F8738" w14:textId="77777777" w:rsidR="006A4ACD" w:rsidRDefault="006A4ACD" w:rsidP="006A4ACD"/>
    <w:p w14:paraId="7AC37829" w14:textId="77777777" w:rsidR="006A4ACD" w:rsidRDefault="006A4ACD" w:rsidP="006A4ACD"/>
    <w:p w14:paraId="37E5B0CF" w14:textId="77777777" w:rsidR="006A4ACD" w:rsidRDefault="006A4ACD" w:rsidP="006A4ACD"/>
    <w:p w14:paraId="01BCCF0B" w14:textId="77777777" w:rsidR="006A4ACD" w:rsidRDefault="006A4ACD" w:rsidP="006A4ACD"/>
    <w:p w14:paraId="435F844E" w14:textId="77777777" w:rsidR="006A4ACD" w:rsidRDefault="006A4ACD" w:rsidP="006A4ACD"/>
    <w:p w14:paraId="42637DBA" w14:textId="77777777" w:rsidR="006A4ACD" w:rsidRDefault="006A4ACD" w:rsidP="006A4ACD"/>
    <w:p w14:paraId="7DDB2DCC" w14:textId="77777777" w:rsidR="006A4ACD" w:rsidRDefault="006A4ACD" w:rsidP="006A4ACD"/>
    <w:p w14:paraId="5C78D428" w14:textId="77777777" w:rsidR="006A4ACD" w:rsidRDefault="006A4ACD" w:rsidP="006A4ACD"/>
    <w:p w14:paraId="226FF5D9" w14:textId="77777777" w:rsidR="006A4ACD" w:rsidRDefault="006A4ACD" w:rsidP="006A4ACD"/>
    <w:p w14:paraId="3C374E37" w14:textId="77777777" w:rsidR="006A4ACD" w:rsidRDefault="006A4ACD" w:rsidP="006A4ACD"/>
    <w:p w14:paraId="30C0594A" w14:textId="77777777" w:rsidR="006A4ACD" w:rsidRDefault="006A4ACD" w:rsidP="006A4ACD"/>
    <w:p w14:paraId="5E2E4665" w14:textId="77777777" w:rsidR="006A4ACD" w:rsidRDefault="006A4ACD" w:rsidP="006A4ACD"/>
    <w:p w14:paraId="304F7AB7" w14:textId="77777777" w:rsidR="006A4ACD" w:rsidRDefault="006A4ACD" w:rsidP="006A4ACD"/>
    <w:p w14:paraId="74239924" w14:textId="6511147D" w:rsidR="006A4ACD" w:rsidRDefault="006A4ACD" w:rsidP="006A4ACD"/>
    <w:p w14:paraId="5B4BE1A1" w14:textId="452DDD72" w:rsidR="00F9036D" w:rsidRPr="00EE405C" w:rsidRDefault="00F9036D" w:rsidP="006A4ACD">
      <w:pPr>
        <w:rPr>
          <w:sz w:val="20"/>
          <w:szCs w:val="20"/>
        </w:rPr>
      </w:pPr>
      <w:r w:rsidRPr="00EE405C">
        <w:rPr>
          <w:sz w:val="20"/>
          <w:szCs w:val="20"/>
        </w:rPr>
        <w:t>Notes:</w:t>
      </w:r>
      <w:r>
        <w:rPr>
          <w:sz w:val="20"/>
          <w:szCs w:val="20"/>
        </w:rPr>
        <w:t xml:space="preserve"> The source for this table stems from </w:t>
      </w:r>
      <w:r w:rsidRPr="00F9036D">
        <w:rPr>
          <w:sz w:val="20"/>
          <w:szCs w:val="20"/>
        </w:rPr>
        <w:t>Action on Smoking and Health (2017): "Key dates in the History of Anti-Tobacco Campaigning"</w:t>
      </w:r>
      <w:r>
        <w:rPr>
          <w:sz w:val="20"/>
          <w:szCs w:val="20"/>
        </w:rPr>
        <w:t>.</w:t>
      </w:r>
    </w:p>
    <w:p w14:paraId="14B6F20B" w14:textId="77777777" w:rsidR="006A4ACD" w:rsidRDefault="006A4ACD" w:rsidP="006A4ACD"/>
    <w:p w14:paraId="49703C21" w14:textId="77777777" w:rsidR="006A4ACD" w:rsidRDefault="006A4ACD" w:rsidP="006A4ACD"/>
    <w:p w14:paraId="71BF974D" w14:textId="77777777" w:rsidR="006A4ACD" w:rsidRDefault="006A4ACD" w:rsidP="006A4ACD"/>
    <w:p w14:paraId="5E1C5297" w14:textId="77777777" w:rsidR="006A4ACD" w:rsidRDefault="006A4ACD" w:rsidP="006A4ACD"/>
    <w:p w14:paraId="7F99612A" w14:textId="77777777" w:rsidR="006A4ACD" w:rsidRDefault="006A4ACD" w:rsidP="006A4ACD"/>
    <w:p w14:paraId="3A318131" w14:textId="77777777" w:rsidR="006A4ACD" w:rsidRDefault="006A4ACD" w:rsidP="006A4ACD"/>
    <w:p w14:paraId="1836153C" w14:textId="77777777" w:rsidR="006A4ACD" w:rsidRDefault="006A4ACD" w:rsidP="006A4ACD"/>
    <w:p w14:paraId="6DD96FDE" w14:textId="77777777" w:rsidR="006A4ACD" w:rsidRDefault="006A4ACD" w:rsidP="006A4ACD"/>
    <w:p w14:paraId="722726EE" w14:textId="77777777" w:rsidR="006A4ACD" w:rsidRDefault="006A4ACD" w:rsidP="006A4ACD"/>
    <w:p w14:paraId="7E3E20C9" w14:textId="77777777" w:rsidR="005F22C3" w:rsidRPr="007C207B" w:rsidRDefault="005F22C3" w:rsidP="007C207B">
      <w:pPr>
        <w:rPr>
          <w:sz w:val="20"/>
          <w:szCs w:val="20"/>
        </w:rPr>
      </w:pPr>
    </w:p>
    <w:sectPr w:rsidR="005F22C3" w:rsidRPr="007C207B" w:rsidSect="00DC183C">
      <w:pgSz w:w="11906" w:h="16838" w:code="9"/>
      <w:pgMar w:top="1701" w:right="1701" w:bottom="1701"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54DB" w14:textId="77777777" w:rsidR="007E7CFD" w:rsidRDefault="007E7CFD" w:rsidP="00E538CF">
      <w:r>
        <w:separator/>
      </w:r>
    </w:p>
  </w:endnote>
  <w:endnote w:type="continuationSeparator" w:id="0">
    <w:p w14:paraId="10028900" w14:textId="77777777" w:rsidR="007E7CFD" w:rsidRDefault="007E7CFD" w:rsidP="00E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167436"/>
      <w:docPartObj>
        <w:docPartGallery w:val="Page Numbers (Bottom of Page)"/>
        <w:docPartUnique/>
      </w:docPartObj>
    </w:sdtPr>
    <w:sdtEndPr>
      <w:rPr>
        <w:rStyle w:val="PageNumber"/>
      </w:rPr>
    </w:sdtEndPr>
    <w:sdtContent>
      <w:p w14:paraId="0EB76309" w14:textId="574463D9" w:rsidR="006542E4" w:rsidRDefault="006542E4" w:rsidP="00AE71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0B407" w14:textId="77777777" w:rsidR="006542E4" w:rsidRDefault="006542E4" w:rsidP="00F060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3615661"/>
      <w:docPartObj>
        <w:docPartGallery w:val="Page Numbers (Bottom of Page)"/>
        <w:docPartUnique/>
      </w:docPartObj>
    </w:sdtPr>
    <w:sdtEndPr>
      <w:rPr>
        <w:rStyle w:val="PageNumber"/>
      </w:rPr>
    </w:sdtEndPr>
    <w:sdtContent>
      <w:p w14:paraId="4114CE60" w14:textId="6711C31B" w:rsidR="006542E4" w:rsidRDefault="006542E4" w:rsidP="00AE71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CFDE1E" w14:textId="60BB1040" w:rsidR="006542E4" w:rsidRDefault="006542E4" w:rsidP="00335A94">
    <w:pPr>
      <w:pStyle w:val="Footer"/>
      <w:ind w:right="360"/>
    </w:pPr>
  </w:p>
  <w:p w14:paraId="0388E74A" w14:textId="77777777" w:rsidR="006542E4" w:rsidRDefault="0065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5F87" w14:textId="77777777" w:rsidR="007E7CFD" w:rsidRDefault="007E7CFD" w:rsidP="00E538CF">
      <w:r>
        <w:separator/>
      </w:r>
    </w:p>
  </w:footnote>
  <w:footnote w:type="continuationSeparator" w:id="0">
    <w:p w14:paraId="28097F65" w14:textId="77777777" w:rsidR="007E7CFD" w:rsidRDefault="007E7CFD" w:rsidP="00E538CF">
      <w:r>
        <w:continuationSeparator/>
      </w:r>
    </w:p>
  </w:footnote>
  <w:footnote w:id="1">
    <w:p w14:paraId="5EE8BA2F" w14:textId="2A4F701F" w:rsidR="006542E4" w:rsidRPr="002025D4" w:rsidRDefault="006542E4" w:rsidP="002025D4">
      <w:pPr>
        <w:ind w:firstLine="360"/>
        <w:jc w:val="both"/>
        <w:rPr>
          <w:sz w:val="20"/>
          <w:szCs w:val="20"/>
        </w:rPr>
      </w:pPr>
      <w:r w:rsidRPr="002025D4">
        <w:rPr>
          <w:rStyle w:val="FootnoteReference"/>
          <w:sz w:val="20"/>
          <w:szCs w:val="20"/>
        </w:rPr>
        <w:footnoteRef/>
      </w:r>
      <w:r w:rsidRPr="002025D4">
        <w:rPr>
          <w:sz w:val="20"/>
          <w:szCs w:val="20"/>
        </w:rPr>
        <w:t xml:space="preserve"> </w:t>
      </w:r>
      <w:r w:rsidRPr="002025D4">
        <w:rPr>
          <w:color w:val="000000" w:themeColor="text1"/>
          <w:sz w:val="20"/>
          <w:szCs w:val="20"/>
        </w:rPr>
        <w:t xml:space="preserve">Evidence from Italy suggests that the public smoking ban reduced smoking prevalence and cigarette consumption </w:t>
      </w:r>
      <w:r w:rsidRPr="002025D4">
        <w:rPr>
          <w:color w:val="000000" w:themeColor="text1"/>
          <w:sz w:val="20"/>
          <w:szCs w:val="20"/>
        </w:rPr>
        <w:fldChar w:fldCharType="begin" w:fldLock="1"/>
      </w:r>
      <w:r w:rsidRPr="002025D4">
        <w:rPr>
          <w:color w:val="000000" w:themeColor="text1"/>
          <w:sz w:val="20"/>
          <w:szCs w:val="20"/>
        </w:rPr>
        <w:instrText>ADDIN CSL_CITATION { "citationItems" : [ { "id" : "ITEM-1", "itemData" : { "DOI" : "10.1016/j.healthpol.2012.10.009", "ISSN" : "0168-8510", "author" : [ { "dropping-particle" : "", "family" : "Buonanno", "given" : "Paolo", "non-dropping-particle" : "", "parse-names" : false, "suffix" : "" }, { "dropping-particle" : "", "family" : "Ranzani", "given" : "Marco", "non-dropping-particle" : "", "parse-names" : false, "suffix" : "" } ], "container-title" : "Health policy", "id" : "ITEM-1", "issue" : "2", "issued" : { "date-parts" : [ [ "2013" ] ] }, "page" : "192-199", "publisher" : "Elsevier Ireland Ltd", "title" : "Thank you for not smoking : Evidence from the Italian smoking ban", "type" : "article-journal", "volume" : "109" }, "uris" : [ "http://www.mendeley.com/documents/?uuid=4840bf11-9af4-433d-8566-51eaeb930c98" ] } ], "mendeley" : { "formattedCitation" : "(Buonanno &amp; Ranzani 2013)", "plainTextFormattedCitation" : "(Buonanno &amp; Ranzani 2013)", "previouslyFormattedCitation" : "(Buonanno &amp; Ranzani 2013)" }, "properties" : { "noteIndex" : 0 }, "schema" : "https://github.com/citation-style-language/schema/raw/master/csl-citation.json" }</w:instrText>
      </w:r>
      <w:r w:rsidRPr="002025D4">
        <w:rPr>
          <w:color w:val="000000" w:themeColor="text1"/>
          <w:sz w:val="20"/>
          <w:szCs w:val="20"/>
        </w:rPr>
        <w:fldChar w:fldCharType="separate"/>
      </w:r>
      <w:r w:rsidRPr="002025D4">
        <w:rPr>
          <w:noProof/>
          <w:color w:val="000000" w:themeColor="text1"/>
          <w:sz w:val="20"/>
          <w:szCs w:val="20"/>
        </w:rPr>
        <w:t>(Buonanno &amp; Ranzani 2013)</w:t>
      </w:r>
      <w:r w:rsidRPr="002025D4">
        <w:rPr>
          <w:color w:val="000000" w:themeColor="text1"/>
          <w:sz w:val="20"/>
          <w:szCs w:val="20"/>
        </w:rPr>
        <w:fldChar w:fldCharType="end"/>
      </w:r>
      <w:r w:rsidRPr="002025D4">
        <w:rPr>
          <w:color w:val="000000" w:themeColor="text1"/>
          <w:sz w:val="20"/>
          <w:szCs w:val="20"/>
        </w:rPr>
        <w:t xml:space="preserve">. </w:t>
      </w:r>
      <w:r>
        <w:rPr>
          <w:color w:val="000000" w:themeColor="text1"/>
          <w:sz w:val="20"/>
          <w:szCs w:val="20"/>
        </w:rPr>
        <w:t xml:space="preserve">Using a difference-in-differences model Hajdu and Hajdu (2018) find that the smoking ban in Hungary improved health at birth with a  larger effect for children of parents with low educational attainment. </w:t>
      </w:r>
      <w:r w:rsidRPr="002025D4">
        <w:rPr>
          <w:sz w:val="20"/>
          <w:szCs w:val="20"/>
        </w:rPr>
        <w:t xml:space="preserve">In a choice experiment, </w:t>
      </w:r>
      <w:r w:rsidRPr="002025D4">
        <w:rPr>
          <w:sz w:val="20"/>
          <w:szCs w:val="20"/>
        </w:rPr>
        <w:fldChar w:fldCharType="begin" w:fldLock="1"/>
      </w:r>
      <w:r w:rsidRPr="002025D4">
        <w:rPr>
          <w:sz w:val="20"/>
          <w:szCs w:val="20"/>
        </w:rPr>
        <w:instrText>ADDIN CSL_CITATION { "citationItems" : [ { "id" : "ITEM-1", "itemData" : { "DOI" : "10.1002/hec.923", "author" : [ { "dropping-particle" : "", "family" : "Hammar", "given" : "Henrik", "non-dropping-particle" : "", "parse-names" : false, "suffix" : "" }, { "dropping-particle" : "", "family" : "Carlsson", "given" : "Fredrik", "non-dropping-particle" : "", "parse-names" : false, "suffix" : "" } ], "container-title" : "Health Economics", "id" : "ITEM-1", "issue" : "14", "issued" : { "date-parts" : [ [ "2005" ] ] }, "page" : "257-267", "title" : "Smokers\u2019 expectations to quit smoking", "type" : "article-journal" }, "uris" : [ "http://www.mendeley.com/documents/?uuid=eb15d9bc-1ed4-4d3d-befc-7cfbaca4c250" ] } ], "mendeley" : { "formattedCitation" : "(Hammar &amp; Carlsson 2005)", "manualFormatting" : "Hammar &amp; Carlsson (2005)", "plainTextFormattedCitation" : "(Hammar &amp; Carlsson 2005)", "previouslyFormattedCitation" : "(Hammar &amp; Carlsson 2005)" }, "properties" : { "noteIndex" : 0 }, "schema" : "https://github.com/citation-style-language/schema/raw/master/csl-citation.json" }</w:instrText>
      </w:r>
      <w:r w:rsidRPr="002025D4">
        <w:rPr>
          <w:sz w:val="20"/>
          <w:szCs w:val="20"/>
        </w:rPr>
        <w:fldChar w:fldCharType="separate"/>
      </w:r>
      <w:r w:rsidRPr="002025D4">
        <w:rPr>
          <w:noProof/>
          <w:sz w:val="20"/>
          <w:szCs w:val="20"/>
        </w:rPr>
        <w:t>Hammar &amp; Carlsson (2005)</w:t>
      </w:r>
      <w:r w:rsidRPr="002025D4">
        <w:rPr>
          <w:sz w:val="20"/>
          <w:szCs w:val="20"/>
        </w:rPr>
        <w:fldChar w:fldCharType="end"/>
      </w:r>
      <w:r w:rsidRPr="002025D4">
        <w:rPr>
          <w:sz w:val="20"/>
          <w:szCs w:val="20"/>
        </w:rPr>
        <w:t xml:space="preserve"> find that smokers who intend to give up smoking are particularly likely to quit smoking after a public smoking ban. </w:t>
      </w:r>
      <w:r>
        <w:rPr>
          <w:color w:val="000000" w:themeColor="text1"/>
          <w:sz w:val="20"/>
          <w:szCs w:val="20"/>
        </w:rPr>
        <w:t xml:space="preserve"> For both</w:t>
      </w:r>
      <w:r w:rsidRPr="002025D4">
        <w:rPr>
          <w:color w:val="000000" w:themeColor="text1"/>
          <w:sz w:val="20"/>
          <w:szCs w:val="20"/>
        </w:rPr>
        <w:t xml:space="preserve"> Germany and the UK, evidence suggests that smoking bans affected consumption of different subgroups only: Heavy smokers and younger smokers in the UK and frequent restaurant visitors in Germany </w:t>
      </w:r>
      <w:r w:rsidRPr="002025D4">
        <w:rPr>
          <w:color w:val="000000" w:themeColor="text1"/>
          <w:sz w:val="20"/>
          <w:szCs w:val="20"/>
        </w:rPr>
        <w:fldChar w:fldCharType="begin" w:fldLock="1"/>
      </w:r>
      <w:r w:rsidRPr="002025D4">
        <w:rPr>
          <w:color w:val="000000" w:themeColor="text1"/>
          <w:sz w:val="20"/>
          <w:szCs w:val="20"/>
        </w:rPr>
        <w:instrText>ADDIN CSL_CITATION { "citationItems" : [ { "id" : "ITEM-1", "itemData" : { "DOI" : "10.1016/j.jhealeco.2011.03.003", "ISSN" : "0167-6296", "author" : [ { "dropping-particle" : "", "family" : "Anger", "given" : "Silke", "non-dropping-particle" : "", "parse-names" : false, "suffix" : "" }, { "dropping-particle" : "", "family" : "Kvasnicka", "given" : "Michael", "non-dropping-particle" : "", "parse-names" : false, "suffix" : "" }, { "dropping-particle" : "", "family" : "Siedler", "given" : "Thomas", "non-dropping-particle" : "", "parse-names" : false, "suffix" : "" } ], "container-title" : "Journal of Health Economics", "id" : "ITEM-1", "issue" : "3", "issued" : { "date-parts" : [ [ "2011" ] ] }, "page" : "591-601", "publisher" : "Elsevier B.V.", "title" : "One last puff ? Public smoking bans and smoking behavior", "type" : "article-journal", "volume" : "30" }, "uris" : [ "http://www.mendeley.com/documents/?uuid=2dd118ff-1634-47eb-a726-f7ef701a6638" ] }, { "id" : "ITEM-2", "itemData" : { "author" : [ { "dropping-particle" : "", "family" : "Jones", "given" : "Andrew M", "non-dropping-particle" : "", "parse-names" : false, "suffix" : "" }, { "dropping-particle" : "", "family" : "Laporte", "given" : "Audrey", "non-dropping-particle" : "", "parse-names" : false, "suffix" : "" }, { "dropping-particle" : "", "family" : "Rice", "given" : "Nigel", "non-dropping-particle" : "", "parse-names" : false, "suffix" : "" }, { "dropping-particle" : "", "family" : "Zucchelli", "given" : "Eugenio", "non-dropping-particle" : "", "parse-names" : false, "suffix" : "" } ], "container-title" : "Health, Econometrics and Data Group", "id" : "ITEM-2", "issue" : "May", "issued" : { "date-parts" : [ [ "2011" ] ] }, "title" : "A model of the impact of smoking bans on smoking with evidence from bans in England and Scotland", "type" : "article-journal" }, "uris" : [ "http://www.mendeley.com/documents/?uuid=6dddb2ac-86f2-4831-9695-354625ee455e" ] } ], "mendeley" : { "formattedCitation" : "(Anger et al. 2011; Jones et al. 2011)", "plainTextFormattedCitation" : "(Anger et al. 2011; Jones et al. 2011)", "previouslyFormattedCitation" : "(Anger et al. 2011; Jones et al. 2011)" }, "properties" : { "noteIndex" : 0 }, "schema" : "https://github.com/citation-style-language/schema/raw/master/csl-citation.json" }</w:instrText>
      </w:r>
      <w:r w:rsidRPr="002025D4">
        <w:rPr>
          <w:color w:val="000000" w:themeColor="text1"/>
          <w:sz w:val="20"/>
          <w:szCs w:val="20"/>
        </w:rPr>
        <w:fldChar w:fldCharType="separate"/>
      </w:r>
      <w:r w:rsidRPr="002025D4">
        <w:rPr>
          <w:noProof/>
          <w:color w:val="000000" w:themeColor="text1"/>
          <w:sz w:val="20"/>
          <w:szCs w:val="20"/>
        </w:rPr>
        <w:t>(Anger et al. 2011; Jones et al. 2011)</w:t>
      </w:r>
      <w:r w:rsidRPr="002025D4">
        <w:rPr>
          <w:color w:val="000000" w:themeColor="text1"/>
          <w:sz w:val="20"/>
          <w:szCs w:val="20"/>
        </w:rPr>
        <w:fldChar w:fldCharType="end"/>
      </w:r>
      <w:r w:rsidRPr="002025D4">
        <w:rPr>
          <w:color w:val="000000" w:themeColor="text1"/>
          <w:sz w:val="20"/>
          <w:szCs w:val="20"/>
        </w:rPr>
        <w:t>.</w:t>
      </w:r>
    </w:p>
  </w:footnote>
  <w:footnote w:id="2">
    <w:p w14:paraId="493B7CBD" w14:textId="71CDBB86" w:rsidR="006542E4" w:rsidRDefault="006542E4">
      <w:pPr>
        <w:pStyle w:val="FootnoteText"/>
      </w:pPr>
      <w:r>
        <w:rPr>
          <w:rStyle w:val="FootnoteReference"/>
        </w:rPr>
        <w:footnoteRef/>
      </w:r>
      <w:r>
        <w:t xml:space="preserve"> Elsewhere, The Big Five have been shown to predict important life outcomes, such as mortality </w:t>
      </w:r>
      <w:r>
        <w:fldChar w:fldCharType="begin" w:fldLock="1"/>
      </w:r>
      <w:r>
        <w:instrText>ADDIN CSL_CITATION { "citationItems" : [ { "id" : "ITEM-1", "itemData" : { "DOI" : "10.1136/jech-2014-204263", "author" : [ { "dropping-particle" : "", "family" : "Pluess", "given" : "Michael", "non-dropping-particle" : "", "parse-names" : false, "suffix" : "" }, { "dropping-particle" : "", "family" : "Bartley", "given" : "Mel", "non-dropping-particle" : "", "parse-names" : false, "suffix" : "" } ], "id" : "ITEM-1", "issued" : { "date-parts" : [ [ "2015" ] ] }, "page" : "330-338", "title" : "Childhood conscientiousness predicts the social gradient of smoking in adulthood : a life course analysis", "type" : "article-journal" }, "uris" : [ "http://www.mendeley.com/documents/?uuid=41a44842-0471-427a-b5f2-eea925ea6d05" ] } ], "mendeley" : { "formattedCitation" : "(Pluess &amp; Bartley 2015)", "plainTextFormattedCitation" : "(Pluess &amp; Bartley 2015)", "previouslyFormattedCitation" : "(Pluess &amp; Bartley 2015)" }, "properties" : { "noteIndex" : 0 }, "schema" : "https://github.com/citation-style-language/schema/raw/master/csl-citation.json" }</w:instrText>
      </w:r>
      <w:r>
        <w:fldChar w:fldCharType="separate"/>
      </w:r>
      <w:r w:rsidRPr="000E2C66">
        <w:rPr>
          <w:noProof/>
        </w:rPr>
        <w:t>(Pluess &amp; Bartley 2015)</w:t>
      </w:r>
      <w:r>
        <w:fldChar w:fldCharType="end"/>
      </w:r>
      <w:r>
        <w:t xml:space="preserve">, labour market outcomes including wages and unemployment spells </w:t>
      </w:r>
      <w:r>
        <w:fldChar w:fldCharType="begin" w:fldLock="1"/>
      </w:r>
      <w:r>
        <w:instrText>ADDIN CSL_CITATION { "citationItems" : [ { "id" : "ITEM-1", "itemData" : { "DOI" : "10.1016/j.labeco.2009.06.001", "ISSN" : "0927-5371", "author" : [ { "dropping-particle" : "", "family" : "Heineck", "given" : "Guido", "non-dropping-particle" : "", "parse-names" : false, "suffix" : "" }, { "dropping-particle" : "", "family" : "Anger", "given" : "Silke", "non-dropping-particle" : "", "parse-names" : false, "suffix" : "" } ], "container-title" : "Labour Economics", "id" : "ITEM-1", "issue" : "3", "issued" : { "date-parts" : [ [ "2010" ] ] }, "page" : "535-546", "publisher" : "Elsevier B.V.", "title" : "The returns to cognitive abilities and personality traits in Germany", "type" : "article-journal", "volume" : "17" }, "uris" : [ "http://www.mendeley.com/documents/?uuid=2144f222-1197-4bdd-936f-68e6906d3429" ] }, { "id" : "ITEM-2", "itemData" : { "DOI" : "10.1016/j.joep.2011.03.008", "ISSN" : "0167-4870", "author" : [ { "dropping-particle" : "", "family" : "Derya", "given" : "Selver", "non-dropping-particle" : "", "parse-names" : false, "suffix" : "" }, { "dropping-particle" : "", "family" : "Pohlmeier", "given" : "Winfried", "non-dropping-particle" : "", "parse-names" : false, "suffix" : "" } ], "container-title" : "Journal of Economic Psychology", "id" : "ITEM-2", "issue" : "6", "issued" : { "date-parts" : [ [ "2011" ] ] }, "page" : "980-992", "publisher" : "Elsevier B.V.", "title" : "Unemployment duration and personality", "type" : "article-journal", "volume" : "32" }, "uris" : [ "http://www.mendeley.com/documents/?uuid=75270598-2e3d-4e51-984b-d8fdaf4da49e" ] } ], "mendeley" : { "formattedCitation" : "(Heineck &amp; Anger 2010; Derya &amp; Pohlmeier 2011)", "plainTextFormattedCitation" : "(Heineck &amp; Anger 2010; Derya &amp; Pohlmeier 2011)", "previouslyFormattedCitation" : "(Heineck &amp; Anger 2010; Derya &amp; Pohlmeier 2011)" }, "properties" : { "noteIndex" : 0 }, "schema" : "https://github.com/citation-style-language/schema/raw/master/csl-citation.json" }</w:instrText>
      </w:r>
      <w:r>
        <w:fldChar w:fldCharType="separate"/>
      </w:r>
      <w:r w:rsidRPr="00525DD9">
        <w:rPr>
          <w:noProof/>
        </w:rPr>
        <w:t>(Heineck &amp; Anger 2010; Derya &amp; Pohlmeier 2011)</w:t>
      </w:r>
      <w:r>
        <w:fldChar w:fldCharType="end"/>
      </w:r>
      <w:r>
        <w:t xml:space="preserve">, income deprivation (Cuesta and </w:t>
      </w:r>
      <w:r w:rsidRPr="00A90B41">
        <w:t>Budría</w:t>
      </w:r>
      <w:r>
        <w:t xml:space="preserve"> 2015) and education </w:t>
      </w:r>
      <w:r>
        <w:fldChar w:fldCharType="begin" w:fldLock="1"/>
      </w:r>
      <w:r>
        <w:instrText>ADDIN CSL_CITATION { "citationItems" : [ { "id" : "ITEM-1", "itemData" : { "DOI" : "10.1007/s13398-014-0173-7.2", "ISBN" : "9780874216561", "ISSN" : "1467-9280", "PMID" : "25052830", "author" : [ { "dropping-particle" : "", "family" : "Almlund", "given" : "Mathilde", "non-dropping-particle" : "", "parse-names" : false, "suffix" : "" }, { "dropping-particle" : "", "family" : "Duckworth", "given" : "Angela Lee", "non-dropping-particle" : "", "parse-names" : false, "suffix" : "" }, { "dropping-particle" : "", "family" : "Heckman", "given" : "James J", "non-dropping-particle" : "", "parse-names" : false, "suffix" : "" }, { "dropping-particle" : "", "family" : "Kautz", "given" : "Tim D", "non-dropping-particle" : "", "parse-names" : false, "suffix" : "" } ], "container-title" : "NBER Working Paper Series", "id" : "ITEM-1", "issued" : { "date-parts" : [ [ "2011" ] ] }, "title" : "Personality Psychology And Economics", "type" : "article-journal" }, "uris" : [ "http://www.mendeley.com/documents/?uuid=b32e7296-513d-471d-bfe8-49cb93ab741b" ] } ], "mendeley" : { "formattedCitation" : "(Almlund et al. 2011)", "plainTextFormattedCitation" : "(Almlund et al. 2011)", "previouslyFormattedCitation" : "(Almlund et al. 2011)" }, "properties" : { "noteIndex" : 0 }, "schema" : "https://github.com/citation-style-language/schema/raw/master/csl-citation.json" }</w:instrText>
      </w:r>
      <w:r>
        <w:fldChar w:fldCharType="separate"/>
      </w:r>
      <w:r w:rsidRPr="009B27B1">
        <w:rPr>
          <w:noProof/>
        </w:rPr>
        <w:t>(Almlund et al. 2011)</w:t>
      </w:r>
      <w:r>
        <w:fldChar w:fldCharType="end"/>
      </w:r>
      <w:r>
        <w:t>.</w:t>
      </w:r>
    </w:p>
  </w:footnote>
  <w:footnote w:id="3">
    <w:p w14:paraId="1BA1327A" w14:textId="2B912FB4" w:rsidR="006542E4" w:rsidRPr="00C24ADE" w:rsidRDefault="006542E4">
      <w:pPr>
        <w:pStyle w:val="FootnoteText"/>
        <w:rPr>
          <w:lang w:val="en-US"/>
        </w:rPr>
      </w:pPr>
      <w:r>
        <w:rPr>
          <w:rStyle w:val="FootnoteReference"/>
        </w:rPr>
        <w:footnoteRef/>
      </w:r>
      <w:r>
        <w:t xml:space="preserve"> The panel data set is unbalanced due to attrition. Attrition was, however, low with yearly attrition of 5 per cent </w:t>
      </w:r>
      <w:r>
        <w:fldChar w:fldCharType="begin" w:fldLock="1"/>
      </w:r>
      <w:r>
        <w:instrText>ADDIN CSL_CITATION { "citationItems" : [ { "id" : "ITEM-1", "itemData" : { "DOI" : "10.1037/a0012897", "author" : [ { "dropping-particle" : "", "family" : "Donnellan", "given" : "M Brent", "non-dropping-particle" : "", "parse-names" : false, "suffix" : "" }, { "dropping-particle" : "", "family" : "Lucas", "given" : "Richard E", "non-dropping-particle" : "", "parse-names" : false, "suffix" : "" } ], "container-title" : "Psychology and Aging", "id" : "ITEM-1", "issue" : "3", "issued" : { "date-parts" : [ [ "2008" ] ] }, "page" : "558-566", "title" : "Age Differences in the Big Five Across the Life Span : Evidence From Two National Samples", "type" : "article-journal", "volume" : "23" }, "uris" : [ "http://www.mendeley.com/documents/?uuid=0657bc21-9400-4dc9-a053-35067453c195" ] } ], "mendeley" : { "formattedCitation" : "(Donnellan &amp; Lucas 2008)", "plainTextFormattedCitation" : "(Donnellan &amp; Lucas 2008)", "previouslyFormattedCitation" : "(Donnellan &amp; Lucas 2008)" }, "properties" : { "noteIndex" : 0 }, "schema" : "https://github.com/citation-style-language/schema/raw/master/csl-citation.json" }</w:instrText>
      </w:r>
      <w:r>
        <w:fldChar w:fldCharType="separate"/>
      </w:r>
      <w:r w:rsidRPr="000651BF">
        <w:rPr>
          <w:noProof/>
        </w:rPr>
        <w:t>(Donnellan &amp; Lucas 2008)</w:t>
      </w:r>
      <w:r>
        <w:fldChar w:fldCharType="end"/>
      </w:r>
      <w:r>
        <w:t>. Individuals for whom the year of interview was missing were dropped.</w:t>
      </w:r>
    </w:p>
  </w:footnote>
  <w:footnote w:id="4">
    <w:p w14:paraId="383A1DB0" w14:textId="4E166608" w:rsidR="006542E4" w:rsidRDefault="006542E4">
      <w:pPr>
        <w:pStyle w:val="FootnoteText"/>
      </w:pPr>
      <w:r>
        <w:rPr>
          <w:rStyle w:val="FootnoteReference"/>
        </w:rPr>
        <w:footnoteRef/>
      </w:r>
      <w:r>
        <w:t xml:space="preserve"> Elsewhere, The Big Five have been shown to predict important life outcomes, such as mortality </w:t>
      </w:r>
      <w:r>
        <w:fldChar w:fldCharType="begin" w:fldLock="1"/>
      </w:r>
      <w:r>
        <w:instrText>ADDIN CSL_CITATION { "citationItems" : [ { "id" : "ITEM-1", "itemData" : { "DOI" : "10.1136/jech-2014-204263", "author" : [ { "dropping-particle" : "", "family" : "Pluess", "given" : "Michael", "non-dropping-particle" : "", "parse-names" : false, "suffix" : "" }, { "dropping-particle" : "", "family" : "Bartley", "given" : "Mel", "non-dropping-particle" : "", "parse-names" : false, "suffix" : "" } ], "id" : "ITEM-1", "issued" : { "date-parts" : [ [ "2015" ] ] }, "page" : "330-338", "title" : "Childhood conscientiousness predicts the social gradient of smoking in adulthood : a life course analysis", "type" : "article-journal" }, "uris" : [ "http://www.mendeley.com/documents/?uuid=41a44842-0471-427a-b5f2-eea925ea6d05" ] } ], "mendeley" : { "formattedCitation" : "(Pluess &amp; Bartley 2015)", "plainTextFormattedCitation" : "(Pluess &amp; Bartley 2015)", "previouslyFormattedCitation" : "(Pluess &amp; Bartley 2015)" }, "properties" : { "noteIndex" : 0 }, "schema" : "https://github.com/citation-style-language/schema/raw/master/csl-citation.json" }</w:instrText>
      </w:r>
      <w:r>
        <w:fldChar w:fldCharType="separate"/>
      </w:r>
      <w:r w:rsidRPr="000E2C66">
        <w:rPr>
          <w:noProof/>
        </w:rPr>
        <w:t>(Pluess &amp; Bartley 2015)</w:t>
      </w:r>
      <w:r>
        <w:fldChar w:fldCharType="end"/>
      </w:r>
      <w:r>
        <w:t xml:space="preserve">, labour market outcomes including wages and unemployment spells </w:t>
      </w:r>
      <w:r>
        <w:fldChar w:fldCharType="begin" w:fldLock="1"/>
      </w:r>
      <w:r>
        <w:instrText>ADDIN CSL_CITATION { "citationItems" : [ { "id" : "ITEM-1", "itemData" : { "DOI" : "10.1016/j.labeco.2009.06.001", "ISSN" : "0927-5371", "author" : [ { "dropping-particle" : "", "family" : "Heineck", "given" : "Guido", "non-dropping-particle" : "", "parse-names" : false, "suffix" : "" }, { "dropping-particle" : "", "family" : "Anger", "given" : "Silke", "non-dropping-particle" : "", "parse-names" : false, "suffix" : "" } ], "container-title" : "Labour Economics", "id" : "ITEM-1", "issue" : "3", "issued" : { "date-parts" : [ [ "2010" ] ] }, "page" : "535-546", "publisher" : "Elsevier B.V.", "title" : "The returns to cognitive abilities and personality traits in Germany", "type" : "article-journal", "volume" : "17" }, "uris" : [ "http://www.mendeley.com/documents/?uuid=2144f222-1197-4bdd-936f-68e6906d3429" ] }, { "id" : "ITEM-2", "itemData" : { "DOI" : "10.1016/j.joep.2011.03.008", "ISSN" : "0167-4870", "author" : [ { "dropping-particle" : "", "family" : "Derya", "given" : "Selver", "non-dropping-particle" : "", "parse-names" : false, "suffix" : "" }, { "dropping-particle" : "", "family" : "Pohlmeier", "given" : "Winfried", "non-dropping-particle" : "", "parse-names" : false, "suffix" : "" } ], "container-title" : "Journal of Economic Psychology", "id" : "ITEM-2", "issue" : "6", "issued" : { "date-parts" : [ [ "2011" ] ] }, "page" : "980-992", "publisher" : "Elsevier B.V.", "title" : "Unemployment duration and personality", "type" : "article-journal", "volume" : "32" }, "uris" : [ "http://www.mendeley.com/documents/?uuid=75270598-2e3d-4e51-984b-d8fdaf4da49e" ] } ], "mendeley" : { "formattedCitation" : "(Heineck &amp; Anger 2010; Derya &amp; Pohlmeier 2011)", "plainTextFormattedCitation" : "(Heineck &amp; Anger 2010; Derya &amp; Pohlmeier 2011)", "previouslyFormattedCitation" : "(Heineck &amp; Anger 2010; Derya &amp; Pohlmeier 2011)" }, "properties" : { "noteIndex" : 0 }, "schema" : "https://github.com/citation-style-language/schema/raw/master/csl-citation.json" }</w:instrText>
      </w:r>
      <w:r>
        <w:fldChar w:fldCharType="separate"/>
      </w:r>
      <w:r w:rsidRPr="00525DD9">
        <w:rPr>
          <w:noProof/>
        </w:rPr>
        <w:t>(Heineck &amp; Anger 2010; Derya &amp; Pohlmeier 2011)</w:t>
      </w:r>
      <w:r>
        <w:fldChar w:fldCharType="end"/>
      </w:r>
      <w:r>
        <w:t xml:space="preserve"> and education </w:t>
      </w:r>
      <w:r>
        <w:fldChar w:fldCharType="begin" w:fldLock="1"/>
      </w:r>
      <w:r>
        <w:instrText>ADDIN CSL_CITATION { "citationItems" : [ { "id" : "ITEM-1", "itemData" : { "DOI" : "10.1007/s13398-014-0173-7.2", "ISBN" : "9780874216561", "ISSN" : "1467-9280", "PMID" : "25052830", "author" : [ { "dropping-particle" : "", "family" : "Almlund", "given" : "Mathilde", "non-dropping-particle" : "", "parse-names" : false, "suffix" : "" }, { "dropping-particle" : "", "family" : "Duckworth", "given" : "Angela Lee", "non-dropping-particle" : "", "parse-names" : false, "suffix" : "" }, { "dropping-particle" : "", "family" : "Heckman", "given" : "James J", "non-dropping-particle" : "", "parse-names" : false, "suffix" : "" }, { "dropping-particle" : "", "family" : "Kautz", "given" : "Tim D", "non-dropping-particle" : "", "parse-names" : false, "suffix" : "" } ], "container-title" : "NBER Working Paper Series", "id" : "ITEM-1", "issued" : { "date-parts" : [ [ "2011" ] ] }, "title" : "Personality Psychology And Economics", "type" : "article-journal" }, "uris" : [ "http://www.mendeley.com/documents/?uuid=b32e7296-513d-471d-bfe8-49cb93ab741b" ] } ], "mendeley" : { "formattedCitation" : "(Almlund et al. 2011)", "plainTextFormattedCitation" : "(Almlund et al. 2011)", "previouslyFormattedCitation" : "(Almlund et al. 2011)" }, "properties" : { "noteIndex" : 0 }, "schema" : "https://github.com/citation-style-language/schema/raw/master/csl-citation.json" }</w:instrText>
      </w:r>
      <w:r>
        <w:fldChar w:fldCharType="separate"/>
      </w:r>
      <w:r w:rsidRPr="009B27B1">
        <w:rPr>
          <w:noProof/>
        </w:rPr>
        <w:t>(Almlund et al. 2011)</w:t>
      </w:r>
      <w:r>
        <w:fldChar w:fldCharType="end"/>
      </w:r>
      <w:r>
        <w:t>.</w:t>
      </w:r>
    </w:p>
  </w:footnote>
  <w:footnote w:id="5">
    <w:p w14:paraId="3F51B4A3" w14:textId="5C48FB4C" w:rsidR="006542E4" w:rsidRDefault="006542E4">
      <w:pPr>
        <w:pStyle w:val="FootnoteText"/>
      </w:pPr>
      <w:r>
        <w:rPr>
          <w:rStyle w:val="FootnoteReference"/>
        </w:rPr>
        <w:footnoteRef/>
      </w:r>
      <w:r>
        <w:t xml:space="preserve"> See Appendix A Table A.</w:t>
      </w:r>
      <w:r w:rsidR="00F22C3C">
        <w:t xml:space="preserve">4 </w:t>
      </w:r>
      <w:r>
        <w:t xml:space="preserve"> for the list of questions asked in the BHPS to define each  personality trait.</w:t>
      </w:r>
    </w:p>
  </w:footnote>
  <w:footnote w:id="6">
    <w:p w14:paraId="4ADDFD39" w14:textId="60977B72" w:rsidR="006542E4" w:rsidRPr="00C24ADE" w:rsidRDefault="006542E4">
      <w:pPr>
        <w:pStyle w:val="FootnoteText"/>
        <w:rPr>
          <w:lang w:val="en-US"/>
        </w:rPr>
      </w:pPr>
      <w:r>
        <w:rPr>
          <w:rStyle w:val="FootnoteReference"/>
        </w:rPr>
        <w:footnoteRef/>
      </w:r>
      <w:r>
        <w:t xml:space="preserve"> Reversely asked variables were back coded.</w:t>
      </w:r>
    </w:p>
  </w:footnote>
  <w:footnote w:id="7">
    <w:p w14:paraId="03E85D87" w14:textId="26690B72" w:rsidR="006542E4" w:rsidRDefault="006542E4">
      <w:pPr>
        <w:pStyle w:val="FootnoteText"/>
      </w:pPr>
      <w:r>
        <w:rPr>
          <w:rStyle w:val="FootnoteReference"/>
        </w:rPr>
        <w:footnoteRef/>
      </w:r>
      <w:r>
        <w:t xml:space="preserve"> Table A.2 in appendix A provides a more detailed list of summary statistics. Table A.2 in appendix A </w:t>
      </w:r>
      <w:r w:rsidR="00F22C3C">
        <w:t xml:space="preserve">also </w:t>
      </w:r>
      <w:r>
        <w:t>shows personality traits and smoking statistics for each of the three generations.</w:t>
      </w:r>
    </w:p>
  </w:footnote>
  <w:footnote w:id="8">
    <w:p w14:paraId="3796F2B1" w14:textId="4579367D" w:rsidR="006542E4" w:rsidRPr="0044641A" w:rsidRDefault="006542E4">
      <w:pPr>
        <w:pStyle w:val="FootnoteText"/>
        <w:rPr>
          <w:lang w:val="en-US"/>
        </w:rPr>
      </w:pPr>
      <w:r>
        <w:rPr>
          <w:rStyle w:val="FootnoteReference"/>
        </w:rPr>
        <w:footnoteRef/>
      </w:r>
      <w:r>
        <w:t xml:space="preserve"> </w:t>
      </w:r>
      <w:r>
        <w:rPr>
          <w:lang w:val="en-US"/>
        </w:rPr>
        <w:t xml:space="preserve">A dummy indicating whether a person is employed and zero otherwise </w:t>
      </w:r>
    </w:p>
  </w:footnote>
  <w:footnote w:id="9">
    <w:p w14:paraId="61C293B2" w14:textId="3D113875" w:rsidR="006542E4" w:rsidRPr="0044641A" w:rsidRDefault="006542E4">
      <w:pPr>
        <w:pStyle w:val="FootnoteText"/>
        <w:rPr>
          <w:lang w:val="en-US"/>
        </w:rPr>
      </w:pPr>
      <w:r>
        <w:rPr>
          <w:rStyle w:val="FootnoteReference"/>
        </w:rPr>
        <w:footnoteRef/>
      </w:r>
      <w:r>
        <w:t xml:space="preserve"> </w:t>
      </w:r>
      <w:r>
        <w:rPr>
          <w:lang w:val="en-US"/>
        </w:rPr>
        <w:t xml:space="preserve">Categories are married, never married and </w:t>
      </w:r>
      <w:r>
        <w:rPr>
          <w:color w:val="000000"/>
        </w:rPr>
        <w:t>Divorced/Separated/Widowed</w:t>
      </w:r>
    </w:p>
  </w:footnote>
  <w:footnote w:id="10">
    <w:p w14:paraId="13359C79" w14:textId="588490AE" w:rsidR="006542E4" w:rsidRDefault="006542E4">
      <w:pPr>
        <w:pStyle w:val="FootnoteText"/>
      </w:pPr>
      <w:r>
        <w:rPr>
          <w:rStyle w:val="FootnoteReference"/>
        </w:rPr>
        <w:footnoteRef/>
      </w:r>
      <w:r>
        <w:t xml:space="preserve"> Further we note additional robustness in appendix B. First, in Table B.4 we restrict the sample to the working age population as personality types have been shown to be most stable at that age (Cobb-Clark and </w:t>
      </w:r>
      <w:r>
        <w:t>Schurer, 2012). We note that the main effect becomes not significant, which is not surprising, given that Table 3 already highlighted that the main effects of the conscientiousness*ban variable was through the hooked generation, with Table 2 indicating that those who are conscientious in younger cohorts are less likely to smoke in the first place, In Table B</w:t>
      </w:r>
      <w:r w:rsidR="00380B4D">
        <w:t>.</w:t>
      </w:r>
      <w:r>
        <w:t xml:space="preserve">5 we follow Brown and Taylor (2014) and regress each personality trait on a polynomial of age and use the standardised residual for the further analysis to account for the potential influence of personality at the time it was recorded. Our overall conclusions from Table 3 are very robust to this additional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5D76" w14:textId="652EB666" w:rsidR="006542E4" w:rsidRDefault="006542E4" w:rsidP="000E2811">
    <w:pPr>
      <w:pStyle w:val="Header"/>
      <w:tabs>
        <w:tab w:val="clear" w:pos="9026"/>
        <w:tab w:val="right" w:pos="86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DD"/>
    <w:multiLevelType w:val="multilevel"/>
    <w:tmpl w:val="2FDA2986"/>
    <w:lvl w:ilvl="0">
      <w:start w:val="1"/>
      <w:numFmt w:val="decimal"/>
      <w:lvlText w:val="%1."/>
      <w:lvlJc w:val="left"/>
      <w:pPr>
        <w:ind w:left="360" w:hanging="360"/>
      </w:pPr>
      <w:rPr>
        <w:rFonts w:hint="default"/>
      </w:r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82918B0"/>
    <w:multiLevelType w:val="hybridMultilevel"/>
    <w:tmpl w:val="795C5DD2"/>
    <w:lvl w:ilvl="0" w:tplc="61C6797E">
      <w:numFmt w:val="bullet"/>
      <w:lvlText w:val=""/>
      <w:lvlJc w:val="left"/>
      <w:pPr>
        <w:ind w:left="720" w:hanging="360"/>
      </w:pPr>
      <w:rPr>
        <w:rFonts w:ascii="Symbol" w:eastAsia="Times New Roman" w:hAnsi="Symbol"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33B11"/>
    <w:multiLevelType w:val="hybridMultilevel"/>
    <w:tmpl w:val="8D3808A8"/>
    <w:lvl w:ilvl="0" w:tplc="2DE659C0">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65F32"/>
    <w:multiLevelType w:val="hybridMultilevel"/>
    <w:tmpl w:val="F984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A1E9A"/>
    <w:multiLevelType w:val="hybridMultilevel"/>
    <w:tmpl w:val="1BAAB418"/>
    <w:lvl w:ilvl="0" w:tplc="A4B40ADC">
      <w:start w:val="1"/>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D1F64"/>
    <w:multiLevelType w:val="hybridMultilevel"/>
    <w:tmpl w:val="784C63F2"/>
    <w:lvl w:ilvl="0" w:tplc="92322564">
      <w:start w:val="2005"/>
      <w:numFmt w:val="bullet"/>
      <w:lvlText w:val="-"/>
      <w:lvlJc w:val="left"/>
      <w:pPr>
        <w:ind w:left="720" w:hanging="360"/>
      </w:pPr>
      <w:rPr>
        <w:rFonts w:ascii="Calibri" w:eastAsiaTheme="minorEastAsia" w:hAnsi="Calibri"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A033F"/>
    <w:multiLevelType w:val="hybridMultilevel"/>
    <w:tmpl w:val="71A4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3022"/>
    <w:multiLevelType w:val="hybridMultilevel"/>
    <w:tmpl w:val="349A7400"/>
    <w:lvl w:ilvl="0" w:tplc="2D8EED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E6A9E"/>
    <w:multiLevelType w:val="multilevel"/>
    <w:tmpl w:val="539A8C6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5E1877F1"/>
    <w:multiLevelType w:val="hybridMultilevel"/>
    <w:tmpl w:val="39E08E50"/>
    <w:lvl w:ilvl="0" w:tplc="ADE81808">
      <w:start w:val="1"/>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04B71"/>
    <w:multiLevelType w:val="hybridMultilevel"/>
    <w:tmpl w:val="8DEE72FA"/>
    <w:lvl w:ilvl="0" w:tplc="2ABA7A7C">
      <w:start w:val="1"/>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E1B91"/>
    <w:multiLevelType w:val="hybridMultilevel"/>
    <w:tmpl w:val="9DCAF70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C713C1"/>
    <w:multiLevelType w:val="hybridMultilevel"/>
    <w:tmpl w:val="42A05F70"/>
    <w:lvl w:ilvl="0" w:tplc="5D981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92139"/>
    <w:multiLevelType w:val="multilevel"/>
    <w:tmpl w:val="539A8C6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0"/>
  </w:num>
  <w:num w:numId="2">
    <w:abstractNumId w:val="5"/>
  </w:num>
  <w:num w:numId="3">
    <w:abstractNumId w:val="13"/>
  </w:num>
  <w:num w:numId="4">
    <w:abstractNumId w:val="8"/>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2"/>
  </w:num>
  <w:num w:numId="13">
    <w:abstractNumId w:val="7"/>
  </w:num>
  <w:num w:numId="14">
    <w:abstractNumId w:val="0"/>
  </w:num>
  <w:num w:numId="15">
    <w:abstractNumId w:val="0"/>
  </w:num>
  <w:num w:numId="16">
    <w:abstractNumId w:val="11"/>
  </w:num>
  <w:num w:numId="17">
    <w:abstractNumId w:val="4"/>
  </w:num>
  <w:num w:numId="18">
    <w:abstractNumId w:val="9"/>
  </w:num>
  <w:num w:numId="19">
    <w:abstractNumId w:val="10"/>
  </w:num>
  <w:num w:numId="20">
    <w:abstractNumId w:val="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0C"/>
    <w:rsid w:val="0000071A"/>
    <w:rsid w:val="00002217"/>
    <w:rsid w:val="00003AC6"/>
    <w:rsid w:val="00004179"/>
    <w:rsid w:val="000044D2"/>
    <w:rsid w:val="000047AA"/>
    <w:rsid w:val="00004FF7"/>
    <w:rsid w:val="00006E20"/>
    <w:rsid w:val="00007352"/>
    <w:rsid w:val="00007B68"/>
    <w:rsid w:val="00007CD4"/>
    <w:rsid w:val="00010458"/>
    <w:rsid w:val="00010717"/>
    <w:rsid w:val="00012D85"/>
    <w:rsid w:val="00014027"/>
    <w:rsid w:val="00014F5A"/>
    <w:rsid w:val="00021715"/>
    <w:rsid w:val="00021807"/>
    <w:rsid w:val="00022F46"/>
    <w:rsid w:val="00023986"/>
    <w:rsid w:val="00024086"/>
    <w:rsid w:val="00025182"/>
    <w:rsid w:val="000270AE"/>
    <w:rsid w:val="000325C8"/>
    <w:rsid w:val="000327A5"/>
    <w:rsid w:val="000344E6"/>
    <w:rsid w:val="000355C4"/>
    <w:rsid w:val="0003572E"/>
    <w:rsid w:val="00037295"/>
    <w:rsid w:val="00042331"/>
    <w:rsid w:val="00042689"/>
    <w:rsid w:val="0004302E"/>
    <w:rsid w:val="0004357A"/>
    <w:rsid w:val="00043B7C"/>
    <w:rsid w:val="00043EC4"/>
    <w:rsid w:val="0004418C"/>
    <w:rsid w:val="00044441"/>
    <w:rsid w:val="00044953"/>
    <w:rsid w:val="000453CD"/>
    <w:rsid w:val="00045E1D"/>
    <w:rsid w:val="00046F28"/>
    <w:rsid w:val="00047DC6"/>
    <w:rsid w:val="00050671"/>
    <w:rsid w:val="0005163E"/>
    <w:rsid w:val="00051C64"/>
    <w:rsid w:val="00052E5C"/>
    <w:rsid w:val="00053C5F"/>
    <w:rsid w:val="00054435"/>
    <w:rsid w:val="00055CE3"/>
    <w:rsid w:val="0005752A"/>
    <w:rsid w:val="000579C3"/>
    <w:rsid w:val="00057A81"/>
    <w:rsid w:val="00057EF6"/>
    <w:rsid w:val="00057F56"/>
    <w:rsid w:val="00060C3E"/>
    <w:rsid w:val="00061EDD"/>
    <w:rsid w:val="00062340"/>
    <w:rsid w:val="00062C20"/>
    <w:rsid w:val="00063503"/>
    <w:rsid w:val="0006389C"/>
    <w:rsid w:val="000651BF"/>
    <w:rsid w:val="00065F33"/>
    <w:rsid w:val="00074032"/>
    <w:rsid w:val="00074517"/>
    <w:rsid w:val="00074DB1"/>
    <w:rsid w:val="00076397"/>
    <w:rsid w:val="00082774"/>
    <w:rsid w:val="00082BB5"/>
    <w:rsid w:val="00083091"/>
    <w:rsid w:val="00087893"/>
    <w:rsid w:val="000913B1"/>
    <w:rsid w:val="0009280D"/>
    <w:rsid w:val="0009447E"/>
    <w:rsid w:val="00094E3E"/>
    <w:rsid w:val="00096939"/>
    <w:rsid w:val="0009759D"/>
    <w:rsid w:val="000A037B"/>
    <w:rsid w:val="000A0DCA"/>
    <w:rsid w:val="000A0F39"/>
    <w:rsid w:val="000A14E4"/>
    <w:rsid w:val="000A25FC"/>
    <w:rsid w:val="000A3B57"/>
    <w:rsid w:val="000A4743"/>
    <w:rsid w:val="000B107F"/>
    <w:rsid w:val="000B1E55"/>
    <w:rsid w:val="000B4C46"/>
    <w:rsid w:val="000B5806"/>
    <w:rsid w:val="000B6027"/>
    <w:rsid w:val="000B65A8"/>
    <w:rsid w:val="000C07A4"/>
    <w:rsid w:val="000C0C78"/>
    <w:rsid w:val="000C1A97"/>
    <w:rsid w:val="000C31F9"/>
    <w:rsid w:val="000C3261"/>
    <w:rsid w:val="000C4879"/>
    <w:rsid w:val="000C4E39"/>
    <w:rsid w:val="000C59F1"/>
    <w:rsid w:val="000C78E8"/>
    <w:rsid w:val="000D10D3"/>
    <w:rsid w:val="000D3491"/>
    <w:rsid w:val="000D3E3D"/>
    <w:rsid w:val="000D3F07"/>
    <w:rsid w:val="000D6DA1"/>
    <w:rsid w:val="000D70F3"/>
    <w:rsid w:val="000D7EFB"/>
    <w:rsid w:val="000E127D"/>
    <w:rsid w:val="000E15FF"/>
    <w:rsid w:val="000E165F"/>
    <w:rsid w:val="000E23F2"/>
    <w:rsid w:val="000E2811"/>
    <w:rsid w:val="000E2C66"/>
    <w:rsid w:val="000E3559"/>
    <w:rsid w:val="000E7301"/>
    <w:rsid w:val="000F0A25"/>
    <w:rsid w:val="000F1EF2"/>
    <w:rsid w:val="000F5DD3"/>
    <w:rsid w:val="000F6D45"/>
    <w:rsid w:val="001000B8"/>
    <w:rsid w:val="00101028"/>
    <w:rsid w:val="00104154"/>
    <w:rsid w:val="00106757"/>
    <w:rsid w:val="00106B7C"/>
    <w:rsid w:val="00110C3F"/>
    <w:rsid w:val="0011200A"/>
    <w:rsid w:val="0011247A"/>
    <w:rsid w:val="00112A46"/>
    <w:rsid w:val="00112AD7"/>
    <w:rsid w:val="001135BA"/>
    <w:rsid w:val="0011366F"/>
    <w:rsid w:val="00113828"/>
    <w:rsid w:val="00115809"/>
    <w:rsid w:val="001158F5"/>
    <w:rsid w:val="00116230"/>
    <w:rsid w:val="001169C5"/>
    <w:rsid w:val="00120314"/>
    <w:rsid w:val="001203D8"/>
    <w:rsid w:val="0012062C"/>
    <w:rsid w:val="00120CB1"/>
    <w:rsid w:val="00125A97"/>
    <w:rsid w:val="00126678"/>
    <w:rsid w:val="001270DB"/>
    <w:rsid w:val="00133FBF"/>
    <w:rsid w:val="001349E3"/>
    <w:rsid w:val="001371AD"/>
    <w:rsid w:val="00137BB1"/>
    <w:rsid w:val="00140338"/>
    <w:rsid w:val="00140F99"/>
    <w:rsid w:val="00141DDD"/>
    <w:rsid w:val="0014228F"/>
    <w:rsid w:val="00143E14"/>
    <w:rsid w:val="001446FA"/>
    <w:rsid w:val="00147EAE"/>
    <w:rsid w:val="00150C75"/>
    <w:rsid w:val="00151B94"/>
    <w:rsid w:val="00151E73"/>
    <w:rsid w:val="00153E2A"/>
    <w:rsid w:val="00156212"/>
    <w:rsid w:val="00161324"/>
    <w:rsid w:val="00161596"/>
    <w:rsid w:val="0016281E"/>
    <w:rsid w:val="00162CB9"/>
    <w:rsid w:val="00165C2D"/>
    <w:rsid w:val="00166189"/>
    <w:rsid w:val="00167229"/>
    <w:rsid w:val="00167CFD"/>
    <w:rsid w:val="00167E1D"/>
    <w:rsid w:val="00172AF4"/>
    <w:rsid w:val="00172DB1"/>
    <w:rsid w:val="00172F38"/>
    <w:rsid w:val="00173B82"/>
    <w:rsid w:val="00174D1A"/>
    <w:rsid w:val="00176FCC"/>
    <w:rsid w:val="00177CD7"/>
    <w:rsid w:val="001849BD"/>
    <w:rsid w:val="001876F5"/>
    <w:rsid w:val="0019062D"/>
    <w:rsid w:val="001919AB"/>
    <w:rsid w:val="0019302C"/>
    <w:rsid w:val="001941D6"/>
    <w:rsid w:val="00194B84"/>
    <w:rsid w:val="00195E60"/>
    <w:rsid w:val="001976D6"/>
    <w:rsid w:val="001A079F"/>
    <w:rsid w:val="001A0CE3"/>
    <w:rsid w:val="001A0D29"/>
    <w:rsid w:val="001A0F1D"/>
    <w:rsid w:val="001A26AA"/>
    <w:rsid w:val="001A294C"/>
    <w:rsid w:val="001A44DF"/>
    <w:rsid w:val="001A6176"/>
    <w:rsid w:val="001A6932"/>
    <w:rsid w:val="001A7D3C"/>
    <w:rsid w:val="001B2D25"/>
    <w:rsid w:val="001B2DBA"/>
    <w:rsid w:val="001B2F0F"/>
    <w:rsid w:val="001B54D2"/>
    <w:rsid w:val="001B6FAF"/>
    <w:rsid w:val="001B7041"/>
    <w:rsid w:val="001B735B"/>
    <w:rsid w:val="001B7394"/>
    <w:rsid w:val="001B73D0"/>
    <w:rsid w:val="001B79F5"/>
    <w:rsid w:val="001B7BD2"/>
    <w:rsid w:val="001C4E3A"/>
    <w:rsid w:val="001C541F"/>
    <w:rsid w:val="001C730D"/>
    <w:rsid w:val="001C798C"/>
    <w:rsid w:val="001D080F"/>
    <w:rsid w:val="001D0974"/>
    <w:rsid w:val="001D1016"/>
    <w:rsid w:val="001D159C"/>
    <w:rsid w:val="001D16B0"/>
    <w:rsid w:val="001D235E"/>
    <w:rsid w:val="001D300A"/>
    <w:rsid w:val="001D61D6"/>
    <w:rsid w:val="001D63EA"/>
    <w:rsid w:val="001D64DB"/>
    <w:rsid w:val="001D702D"/>
    <w:rsid w:val="001E28CB"/>
    <w:rsid w:val="001E32B3"/>
    <w:rsid w:val="001E4A33"/>
    <w:rsid w:val="001E56F6"/>
    <w:rsid w:val="001E59F0"/>
    <w:rsid w:val="001E7F28"/>
    <w:rsid w:val="001F0835"/>
    <w:rsid w:val="001F3321"/>
    <w:rsid w:val="001F3E3C"/>
    <w:rsid w:val="001F3FED"/>
    <w:rsid w:val="001F437C"/>
    <w:rsid w:val="001F52C6"/>
    <w:rsid w:val="001F588C"/>
    <w:rsid w:val="001F636B"/>
    <w:rsid w:val="001F6FE9"/>
    <w:rsid w:val="001F72C5"/>
    <w:rsid w:val="00200332"/>
    <w:rsid w:val="002020D1"/>
    <w:rsid w:val="002025D4"/>
    <w:rsid w:val="0020399E"/>
    <w:rsid w:val="00203C3F"/>
    <w:rsid w:val="00204D12"/>
    <w:rsid w:val="00205BFA"/>
    <w:rsid w:val="00205C20"/>
    <w:rsid w:val="00210838"/>
    <w:rsid w:val="002110DF"/>
    <w:rsid w:val="00213E56"/>
    <w:rsid w:val="0021559A"/>
    <w:rsid w:val="00217E65"/>
    <w:rsid w:val="00223F68"/>
    <w:rsid w:val="002245F4"/>
    <w:rsid w:val="0022521F"/>
    <w:rsid w:val="002257F6"/>
    <w:rsid w:val="00226380"/>
    <w:rsid w:val="002263D2"/>
    <w:rsid w:val="00226880"/>
    <w:rsid w:val="002268EB"/>
    <w:rsid w:val="00231C2F"/>
    <w:rsid w:val="00231FC3"/>
    <w:rsid w:val="00232E4A"/>
    <w:rsid w:val="00233F4E"/>
    <w:rsid w:val="00240622"/>
    <w:rsid w:val="00241836"/>
    <w:rsid w:val="00245D96"/>
    <w:rsid w:val="00245E18"/>
    <w:rsid w:val="00250C61"/>
    <w:rsid w:val="00251969"/>
    <w:rsid w:val="00251DE9"/>
    <w:rsid w:val="0025329D"/>
    <w:rsid w:val="00254ADF"/>
    <w:rsid w:val="00256989"/>
    <w:rsid w:val="00257870"/>
    <w:rsid w:val="002578D7"/>
    <w:rsid w:val="00257D1F"/>
    <w:rsid w:val="002602B6"/>
    <w:rsid w:val="0026105C"/>
    <w:rsid w:val="002641F5"/>
    <w:rsid w:val="00264754"/>
    <w:rsid w:val="00265226"/>
    <w:rsid w:val="002655EF"/>
    <w:rsid w:val="00265E60"/>
    <w:rsid w:val="00266104"/>
    <w:rsid w:val="00267B53"/>
    <w:rsid w:val="002727B8"/>
    <w:rsid w:val="00273413"/>
    <w:rsid w:val="002739ED"/>
    <w:rsid w:val="00276B1D"/>
    <w:rsid w:val="00276E6D"/>
    <w:rsid w:val="00277A48"/>
    <w:rsid w:val="00277A7A"/>
    <w:rsid w:val="00280031"/>
    <w:rsid w:val="002812D1"/>
    <w:rsid w:val="002813ED"/>
    <w:rsid w:val="002814F0"/>
    <w:rsid w:val="0028245A"/>
    <w:rsid w:val="002828B1"/>
    <w:rsid w:val="00282BF1"/>
    <w:rsid w:val="002839DB"/>
    <w:rsid w:val="00285261"/>
    <w:rsid w:val="002859A8"/>
    <w:rsid w:val="00287566"/>
    <w:rsid w:val="00287D61"/>
    <w:rsid w:val="00290881"/>
    <w:rsid w:val="00290D28"/>
    <w:rsid w:val="0029485B"/>
    <w:rsid w:val="00294EA3"/>
    <w:rsid w:val="00297331"/>
    <w:rsid w:val="002979B8"/>
    <w:rsid w:val="002A0D8B"/>
    <w:rsid w:val="002A0DCA"/>
    <w:rsid w:val="002A1DB3"/>
    <w:rsid w:val="002A24C9"/>
    <w:rsid w:val="002A2FA8"/>
    <w:rsid w:val="002A306D"/>
    <w:rsid w:val="002A535C"/>
    <w:rsid w:val="002A5F20"/>
    <w:rsid w:val="002A7267"/>
    <w:rsid w:val="002A74DD"/>
    <w:rsid w:val="002B075B"/>
    <w:rsid w:val="002B0AAC"/>
    <w:rsid w:val="002B3217"/>
    <w:rsid w:val="002B3B80"/>
    <w:rsid w:val="002B492A"/>
    <w:rsid w:val="002B5403"/>
    <w:rsid w:val="002B617D"/>
    <w:rsid w:val="002B7FC3"/>
    <w:rsid w:val="002C0EBB"/>
    <w:rsid w:val="002C2EF3"/>
    <w:rsid w:val="002C42FE"/>
    <w:rsid w:val="002C53F0"/>
    <w:rsid w:val="002C61A0"/>
    <w:rsid w:val="002D210D"/>
    <w:rsid w:val="002D2449"/>
    <w:rsid w:val="002D2616"/>
    <w:rsid w:val="002D2B24"/>
    <w:rsid w:val="002D445F"/>
    <w:rsid w:val="002D44E1"/>
    <w:rsid w:val="002D465F"/>
    <w:rsid w:val="002D5949"/>
    <w:rsid w:val="002D659E"/>
    <w:rsid w:val="002E175B"/>
    <w:rsid w:val="002E1839"/>
    <w:rsid w:val="002E37DE"/>
    <w:rsid w:val="002E4547"/>
    <w:rsid w:val="002E483F"/>
    <w:rsid w:val="002E5066"/>
    <w:rsid w:val="002E5341"/>
    <w:rsid w:val="002E7D3F"/>
    <w:rsid w:val="002F062F"/>
    <w:rsid w:val="002F08B1"/>
    <w:rsid w:val="002F48F6"/>
    <w:rsid w:val="00301746"/>
    <w:rsid w:val="00303195"/>
    <w:rsid w:val="003038D7"/>
    <w:rsid w:val="00303CBD"/>
    <w:rsid w:val="0030456E"/>
    <w:rsid w:val="00304ABD"/>
    <w:rsid w:val="00304AE2"/>
    <w:rsid w:val="003055E1"/>
    <w:rsid w:val="00305645"/>
    <w:rsid w:val="00306B53"/>
    <w:rsid w:val="003075C0"/>
    <w:rsid w:val="00307B76"/>
    <w:rsid w:val="0031010A"/>
    <w:rsid w:val="003101D4"/>
    <w:rsid w:val="003109D2"/>
    <w:rsid w:val="00312966"/>
    <w:rsid w:val="00314966"/>
    <w:rsid w:val="00315908"/>
    <w:rsid w:val="00317298"/>
    <w:rsid w:val="00324FBA"/>
    <w:rsid w:val="0032625A"/>
    <w:rsid w:val="00326988"/>
    <w:rsid w:val="00333748"/>
    <w:rsid w:val="0033450A"/>
    <w:rsid w:val="00334E63"/>
    <w:rsid w:val="00334F82"/>
    <w:rsid w:val="00335864"/>
    <w:rsid w:val="00335A94"/>
    <w:rsid w:val="00336847"/>
    <w:rsid w:val="00337C62"/>
    <w:rsid w:val="00337F54"/>
    <w:rsid w:val="00346704"/>
    <w:rsid w:val="00347700"/>
    <w:rsid w:val="003526BB"/>
    <w:rsid w:val="00353145"/>
    <w:rsid w:val="00354593"/>
    <w:rsid w:val="00354C9C"/>
    <w:rsid w:val="0035547A"/>
    <w:rsid w:val="0035557B"/>
    <w:rsid w:val="00356C40"/>
    <w:rsid w:val="00360A24"/>
    <w:rsid w:val="00360A97"/>
    <w:rsid w:val="00362A02"/>
    <w:rsid w:val="00364235"/>
    <w:rsid w:val="00365514"/>
    <w:rsid w:val="00365961"/>
    <w:rsid w:val="0036774A"/>
    <w:rsid w:val="00370891"/>
    <w:rsid w:val="003713B0"/>
    <w:rsid w:val="003716D3"/>
    <w:rsid w:val="00374257"/>
    <w:rsid w:val="00376098"/>
    <w:rsid w:val="0037771A"/>
    <w:rsid w:val="00377EE4"/>
    <w:rsid w:val="003805EF"/>
    <w:rsid w:val="00380B4D"/>
    <w:rsid w:val="003822C8"/>
    <w:rsid w:val="0038241B"/>
    <w:rsid w:val="0038254F"/>
    <w:rsid w:val="003826A3"/>
    <w:rsid w:val="00382FEE"/>
    <w:rsid w:val="00383056"/>
    <w:rsid w:val="00384681"/>
    <w:rsid w:val="00385B29"/>
    <w:rsid w:val="00390007"/>
    <w:rsid w:val="00391D6B"/>
    <w:rsid w:val="00392C40"/>
    <w:rsid w:val="00392EEF"/>
    <w:rsid w:val="003932CC"/>
    <w:rsid w:val="00393822"/>
    <w:rsid w:val="00393CE7"/>
    <w:rsid w:val="00394201"/>
    <w:rsid w:val="00395E29"/>
    <w:rsid w:val="00395F2D"/>
    <w:rsid w:val="003A23C7"/>
    <w:rsid w:val="003A3805"/>
    <w:rsid w:val="003A416A"/>
    <w:rsid w:val="003A59E4"/>
    <w:rsid w:val="003A5C76"/>
    <w:rsid w:val="003A664F"/>
    <w:rsid w:val="003A6AB0"/>
    <w:rsid w:val="003B0683"/>
    <w:rsid w:val="003B1C11"/>
    <w:rsid w:val="003B31F0"/>
    <w:rsid w:val="003B4590"/>
    <w:rsid w:val="003B45D4"/>
    <w:rsid w:val="003B48A0"/>
    <w:rsid w:val="003B4A1D"/>
    <w:rsid w:val="003B4D03"/>
    <w:rsid w:val="003B5284"/>
    <w:rsid w:val="003B7D0B"/>
    <w:rsid w:val="003C077C"/>
    <w:rsid w:val="003C0A1E"/>
    <w:rsid w:val="003C1D03"/>
    <w:rsid w:val="003C20E0"/>
    <w:rsid w:val="003C2A70"/>
    <w:rsid w:val="003C3FD5"/>
    <w:rsid w:val="003C43E8"/>
    <w:rsid w:val="003C588E"/>
    <w:rsid w:val="003C5E84"/>
    <w:rsid w:val="003C65C1"/>
    <w:rsid w:val="003D1A55"/>
    <w:rsid w:val="003D347C"/>
    <w:rsid w:val="003D3582"/>
    <w:rsid w:val="003D3EC1"/>
    <w:rsid w:val="003D3EC8"/>
    <w:rsid w:val="003D7B97"/>
    <w:rsid w:val="003E1B7F"/>
    <w:rsid w:val="003E1C2A"/>
    <w:rsid w:val="003E24A1"/>
    <w:rsid w:val="003E3343"/>
    <w:rsid w:val="003E59C5"/>
    <w:rsid w:val="003E5F39"/>
    <w:rsid w:val="003E6F0C"/>
    <w:rsid w:val="003F091D"/>
    <w:rsid w:val="003F118D"/>
    <w:rsid w:val="003F2325"/>
    <w:rsid w:val="003F2499"/>
    <w:rsid w:val="003F2F98"/>
    <w:rsid w:val="003F3DE1"/>
    <w:rsid w:val="003F48B8"/>
    <w:rsid w:val="003F61FF"/>
    <w:rsid w:val="003F76EC"/>
    <w:rsid w:val="004003C9"/>
    <w:rsid w:val="0040051D"/>
    <w:rsid w:val="0040070E"/>
    <w:rsid w:val="0040081A"/>
    <w:rsid w:val="00401125"/>
    <w:rsid w:val="00403AA3"/>
    <w:rsid w:val="00403F9A"/>
    <w:rsid w:val="00407245"/>
    <w:rsid w:val="00412359"/>
    <w:rsid w:val="00413054"/>
    <w:rsid w:val="004136D5"/>
    <w:rsid w:val="0041430E"/>
    <w:rsid w:val="004156B6"/>
    <w:rsid w:val="00421044"/>
    <w:rsid w:val="00421234"/>
    <w:rsid w:val="00423293"/>
    <w:rsid w:val="00423301"/>
    <w:rsid w:val="004234E7"/>
    <w:rsid w:val="00423B09"/>
    <w:rsid w:val="00426B51"/>
    <w:rsid w:val="00426B7A"/>
    <w:rsid w:val="00433A9D"/>
    <w:rsid w:val="00433C55"/>
    <w:rsid w:val="0043778A"/>
    <w:rsid w:val="00437BBF"/>
    <w:rsid w:val="0044129E"/>
    <w:rsid w:val="00443AB4"/>
    <w:rsid w:val="00444A27"/>
    <w:rsid w:val="0044641A"/>
    <w:rsid w:val="00447074"/>
    <w:rsid w:val="004470DD"/>
    <w:rsid w:val="00450A9D"/>
    <w:rsid w:val="00453F74"/>
    <w:rsid w:val="0045514E"/>
    <w:rsid w:val="004553A5"/>
    <w:rsid w:val="00456504"/>
    <w:rsid w:val="004574D2"/>
    <w:rsid w:val="00457652"/>
    <w:rsid w:val="0046032A"/>
    <w:rsid w:val="0046280B"/>
    <w:rsid w:val="0046482D"/>
    <w:rsid w:val="00464CDC"/>
    <w:rsid w:val="004662F1"/>
    <w:rsid w:val="0046772B"/>
    <w:rsid w:val="00472175"/>
    <w:rsid w:val="004722F2"/>
    <w:rsid w:val="00472514"/>
    <w:rsid w:val="004743CE"/>
    <w:rsid w:val="00474B7C"/>
    <w:rsid w:val="00475EA2"/>
    <w:rsid w:val="00477E8F"/>
    <w:rsid w:val="00480133"/>
    <w:rsid w:val="0048048E"/>
    <w:rsid w:val="00480DC9"/>
    <w:rsid w:val="00480F5C"/>
    <w:rsid w:val="00482334"/>
    <w:rsid w:val="00482AD5"/>
    <w:rsid w:val="00483FA5"/>
    <w:rsid w:val="004840BC"/>
    <w:rsid w:val="00484E80"/>
    <w:rsid w:val="004853B5"/>
    <w:rsid w:val="004854C5"/>
    <w:rsid w:val="00485CE6"/>
    <w:rsid w:val="004861BD"/>
    <w:rsid w:val="0048760C"/>
    <w:rsid w:val="00487CFD"/>
    <w:rsid w:val="00487EA7"/>
    <w:rsid w:val="00491633"/>
    <w:rsid w:val="00495FF1"/>
    <w:rsid w:val="004A0CFE"/>
    <w:rsid w:val="004A1101"/>
    <w:rsid w:val="004A1CEA"/>
    <w:rsid w:val="004A2250"/>
    <w:rsid w:val="004A6D82"/>
    <w:rsid w:val="004A752A"/>
    <w:rsid w:val="004B0AC0"/>
    <w:rsid w:val="004B14AE"/>
    <w:rsid w:val="004B20E5"/>
    <w:rsid w:val="004B305A"/>
    <w:rsid w:val="004B3CF2"/>
    <w:rsid w:val="004B3ECC"/>
    <w:rsid w:val="004B6A77"/>
    <w:rsid w:val="004B7379"/>
    <w:rsid w:val="004B7E3B"/>
    <w:rsid w:val="004C0562"/>
    <w:rsid w:val="004C1476"/>
    <w:rsid w:val="004C4E41"/>
    <w:rsid w:val="004C6902"/>
    <w:rsid w:val="004C717B"/>
    <w:rsid w:val="004C7F8D"/>
    <w:rsid w:val="004D0766"/>
    <w:rsid w:val="004D164D"/>
    <w:rsid w:val="004D174C"/>
    <w:rsid w:val="004D2C43"/>
    <w:rsid w:val="004D2DF0"/>
    <w:rsid w:val="004D354B"/>
    <w:rsid w:val="004D5153"/>
    <w:rsid w:val="004D5B49"/>
    <w:rsid w:val="004D5CE9"/>
    <w:rsid w:val="004D690B"/>
    <w:rsid w:val="004D6944"/>
    <w:rsid w:val="004D6D8B"/>
    <w:rsid w:val="004E2C83"/>
    <w:rsid w:val="004E3D0B"/>
    <w:rsid w:val="004E7A6D"/>
    <w:rsid w:val="004F01C5"/>
    <w:rsid w:val="004F0C47"/>
    <w:rsid w:val="004F2772"/>
    <w:rsid w:val="004F28DA"/>
    <w:rsid w:val="004F2BBA"/>
    <w:rsid w:val="004F332A"/>
    <w:rsid w:val="004F5A18"/>
    <w:rsid w:val="004F7332"/>
    <w:rsid w:val="004F7770"/>
    <w:rsid w:val="004F7A76"/>
    <w:rsid w:val="005029F6"/>
    <w:rsid w:val="0050385D"/>
    <w:rsid w:val="00504243"/>
    <w:rsid w:val="00505B4D"/>
    <w:rsid w:val="00505D56"/>
    <w:rsid w:val="00510380"/>
    <w:rsid w:val="0051052F"/>
    <w:rsid w:val="005107B7"/>
    <w:rsid w:val="005113A3"/>
    <w:rsid w:val="00513B32"/>
    <w:rsid w:val="0051647C"/>
    <w:rsid w:val="0051689D"/>
    <w:rsid w:val="00520720"/>
    <w:rsid w:val="00520C2D"/>
    <w:rsid w:val="00523CAC"/>
    <w:rsid w:val="00525DD9"/>
    <w:rsid w:val="00526F01"/>
    <w:rsid w:val="00527625"/>
    <w:rsid w:val="00530A20"/>
    <w:rsid w:val="0053226E"/>
    <w:rsid w:val="00532BAB"/>
    <w:rsid w:val="00532BB7"/>
    <w:rsid w:val="005335A5"/>
    <w:rsid w:val="0053385C"/>
    <w:rsid w:val="005339B4"/>
    <w:rsid w:val="005349D0"/>
    <w:rsid w:val="0053594E"/>
    <w:rsid w:val="00537A3F"/>
    <w:rsid w:val="0054212F"/>
    <w:rsid w:val="00542E2A"/>
    <w:rsid w:val="00544C7C"/>
    <w:rsid w:val="00544FCE"/>
    <w:rsid w:val="00546835"/>
    <w:rsid w:val="00546D83"/>
    <w:rsid w:val="0055081E"/>
    <w:rsid w:val="0055174D"/>
    <w:rsid w:val="00551E8B"/>
    <w:rsid w:val="00554798"/>
    <w:rsid w:val="00554E37"/>
    <w:rsid w:val="00555A5C"/>
    <w:rsid w:val="005658C2"/>
    <w:rsid w:val="005658E3"/>
    <w:rsid w:val="00565DA7"/>
    <w:rsid w:val="005676DD"/>
    <w:rsid w:val="00570F43"/>
    <w:rsid w:val="00573076"/>
    <w:rsid w:val="00574770"/>
    <w:rsid w:val="005756AD"/>
    <w:rsid w:val="0057577C"/>
    <w:rsid w:val="005761F6"/>
    <w:rsid w:val="0057713E"/>
    <w:rsid w:val="005829D7"/>
    <w:rsid w:val="00583F08"/>
    <w:rsid w:val="00584DB7"/>
    <w:rsid w:val="00591E00"/>
    <w:rsid w:val="00592F57"/>
    <w:rsid w:val="00594FB5"/>
    <w:rsid w:val="005961ED"/>
    <w:rsid w:val="005964F0"/>
    <w:rsid w:val="00596E42"/>
    <w:rsid w:val="005A0F94"/>
    <w:rsid w:val="005A1351"/>
    <w:rsid w:val="005A209B"/>
    <w:rsid w:val="005A2873"/>
    <w:rsid w:val="005A372E"/>
    <w:rsid w:val="005A3F1D"/>
    <w:rsid w:val="005A49D7"/>
    <w:rsid w:val="005A4F4B"/>
    <w:rsid w:val="005A504A"/>
    <w:rsid w:val="005A520F"/>
    <w:rsid w:val="005A5D43"/>
    <w:rsid w:val="005A5EA6"/>
    <w:rsid w:val="005A5F8B"/>
    <w:rsid w:val="005A6150"/>
    <w:rsid w:val="005A7237"/>
    <w:rsid w:val="005B2E28"/>
    <w:rsid w:val="005B35E5"/>
    <w:rsid w:val="005B6867"/>
    <w:rsid w:val="005B6C71"/>
    <w:rsid w:val="005B6F56"/>
    <w:rsid w:val="005C39FC"/>
    <w:rsid w:val="005C420C"/>
    <w:rsid w:val="005C57EA"/>
    <w:rsid w:val="005C58B8"/>
    <w:rsid w:val="005C73ED"/>
    <w:rsid w:val="005C7724"/>
    <w:rsid w:val="005C78B8"/>
    <w:rsid w:val="005C7FDD"/>
    <w:rsid w:val="005D1025"/>
    <w:rsid w:val="005D1D68"/>
    <w:rsid w:val="005D46DA"/>
    <w:rsid w:val="005D4AF3"/>
    <w:rsid w:val="005E1C85"/>
    <w:rsid w:val="005E1DFE"/>
    <w:rsid w:val="005E26CB"/>
    <w:rsid w:val="005E311E"/>
    <w:rsid w:val="005E6406"/>
    <w:rsid w:val="005E666F"/>
    <w:rsid w:val="005E6EC5"/>
    <w:rsid w:val="005F100C"/>
    <w:rsid w:val="005F10BE"/>
    <w:rsid w:val="005F22C3"/>
    <w:rsid w:val="005F33EE"/>
    <w:rsid w:val="005F3836"/>
    <w:rsid w:val="00600472"/>
    <w:rsid w:val="0060098D"/>
    <w:rsid w:val="00600CBA"/>
    <w:rsid w:val="006019D4"/>
    <w:rsid w:val="00605A3D"/>
    <w:rsid w:val="006062DE"/>
    <w:rsid w:val="006072C0"/>
    <w:rsid w:val="00607BFA"/>
    <w:rsid w:val="006104CC"/>
    <w:rsid w:val="00610CAB"/>
    <w:rsid w:val="006135BA"/>
    <w:rsid w:val="0061384E"/>
    <w:rsid w:val="0061391E"/>
    <w:rsid w:val="00613CD1"/>
    <w:rsid w:val="00614700"/>
    <w:rsid w:val="006152CA"/>
    <w:rsid w:val="00617DAA"/>
    <w:rsid w:val="00621A2D"/>
    <w:rsid w:val="00623939"/>
    <w:rsid w:val="006239EF"/>
    <w:rsid w:val="006240F9"/>
    <w:rsid w:val="00624E0C"/>
    <w:rsid w:val="0062528B"/>
    <w:rsid w:val="006259DD"/>
    <w:rsid w:val="00626880"/>
    <w:rsid w:val="00627EAC"/>
    <w:rsid w:val="00627FEF"/>
    <w:rsid w:val="00630D4C"/>
    <w:rsid w:val="0063442B"/>
    <w:rsid w:val="00634C55"/>
    <w:rsid w:val="00635C4A"/>
    <w:rsid w:val="00640CED"/>
    <w:rsid w:val="00641567"/>
    <w:rsid w:val="006419FE"/>
    <w:rsid w:val="00641A6E"/>
    <w:rsid w:val="00642A82"/>
    <w:rsid w:val="00643876"/>
    <w:rsid w:val="00644227"/>
    <w:rsid w:val="00645801"/>
    <w:rsid w:val="00646F5B"/>
    <w:rsid w:val="00647794"/>
    <w:rsid w:val="006522DF"/>
    <w:rsid w:val="006542E4"/>
    <w:rsid w:val="00654C86"/>
    <w:rsid w:val="00654DEF"/>
    <w:rsid w:val="00655199"/>
    <w:rsid w:val="00660EA7"/>
    <w:rsid w:val="00661102"/>
    <w:rsid w:val="006614B0"/>
    <w:rsid w:val="00661B12"/>
    <w:rsid w:val="006623B9"/>
    <w:rsid w:val="00662914"/>
    <w:rsid w:val="0066544E"/>
    <w:rsid w:val="0066725F"/>
    <w:rsid w:val="00667356"/>
    <w:rsid w:val="006706FC"/>
    <w:rsid w:val="006707FE"/>
    <w:rsid w:val="00671DB4"/>
    <w:rsid w:val="00671FA3"/>
    <w:rsid w:val="00672C1B"/>
    <w:rsid w:val="00673706"/>
    <w:rsid w:val="0067474A"/>
    <w:rsid w:val="00674FD9"/>
    <w:rsid w:val="00675152"/>
    <w:rsid w:val="006754C4"/>
    <w:rsid w:val="00675FAB"/>
    <w:rsid w:val="00676A19"/>
    <w:rsid w:val="00676BA7"/>
    <w:rsid w:val="0068180E"/>
    <w:rsid w:val="00681C07"/>
    <w:rsid w:val="00682F17"/>
    <w:rsid w:val="00683557"/>
    <w:rsid w:val="00683957"/>
    <w:rsid w:val="006848F1"/>
    <w:rsid w:val="00684983"/>
    <w:rsid w:val="00694F06"/>
    <w:rsid w:val="0069755B"/>
    <w:rsid w:val="00697681"/>
    <w:rsid w:val="006A0073"/>
    <w:rsid w:val="006A0A66"/>
    <w:rsid w:val="006A0A7F"/>
    <w:rsid w:val="006A18FB"/>
    <w:rsid w:val="006A2002"/>
    <w:rsid w:val="006A3C09"/>
    <w:rsid w:val="006A44D6"/>
    <w:rsid w:val="006A4619"/>
    <w:rsid w:val="006A4ACD"/>
    <w:rsid w:val="006A60CE"/>
    <w:rsid w:val="006A7002"/>
    <w:rsid w:val="006A7DDD"/>
    <w:rsid w:val="006B2104"/>
    <w:rsid w:val="006B26BE"/>
    <w:rsid w:val="006B2BEC"/>
    <w:rsid w:val="006B49CE"/>
    <w:rsid w:val="006B5BBD"/>
    <w:rsid w:val="006B5DD5"/>
    <w:rsid w:val="006B7E7B"/>
    <w:rsid w:val="006C1D0F"/>
    <w:rsid w:val="006C435F"/>
    <w:rsid w:val="006C4E73"/>
    <w:rsid w:val="006C6DAE"/>
    <w:rsid w:val="006C7967"/>
    <w:rsid w:val="006D056B"/>
    <w:rsid w:val="006D0C60"/>
    <w:rsid w:val="006D1780"/>
    <w:rsid w:val="006D1939"/>
    <w:rsid w:val="006D1F6A"/>
    <w:rsid w:val="006D2BC7"/>
    <w:rsid w:val="006D30FB"/>
    <w:rsid w:val="006D34D1"/>
    <w:rsid w:val="006D3EB8"/>
    <w:rsid w:val="006D450D"/>
    <w:rsid w:val="006D5BD5"/>
    <w:rsid w:val="006D6308"/>
    <w:rsid w:val="006E16DA"/>
    <w:rsid w:val="006E26C8"/>
    <w:rsid w:val="006E2B40"/>
    <w:rsid w:val="006E30D8"/>
    <w:rsid w:val="006E340B"/>
    <w:rsid w:val="006E34F8"/>
    <w:rsid w:val="006E362D"/>
    <w:rsid w:val="006E6272"/>
    <w:rsid w:val="006F25BD"/>
    <w:rsid w:val="006F29C3"/>
    <w:rsid w:val="006F518F"/>
    <w:rsid w:val="006F5326"/>
    <w:rsid w:val="006F5707"/>
    <w:rsid w:val="006F6369"/>
    <w:rsid w:val="006F6B4D"/>
    <w:rsid w:val="006F7970"/>
    <w:rsid w:val="00701236"/>
    <w:rsid w:val="00707AD8"/>
    <w:rsid w:val="0071083D"/>
    <w:rsid w:val="00710F6D"/>
    <w:rsid w:val="00711BBE"/>
    <w:rsid w:val="0071217D"/>
    <w:rsid w:val="007127C6"/>
    <w:rsid w:val="00714B24"/>
    <w:rsid w:val="0071518D"/>
    <w:rsid w:val="00715258"/>
    <w:rsid w:val="0071798D"/>
    <w:rsid w:val="00717FF3"/>
    <w:rsid w:val="007218CE"/>
    <w:rsid w:val="0072198A"/>
    <w:rsid w:val="00723F3B"/>
    <w:rsid w:val="0072408B"/>
    <w:rsid w:val="00731844"/>
    <w:rsid w:val="00732E18"/>
    <w:rsid w:val="007339F5"/>
    <w:rsid w:val="00733A80"/>
    <w:rsid w:val="00734C90"/>
    <w:rsid w:val="00734EE0"/>
    <w:rsid w:val="007360C8"/>
    <w:rsid w:val="00736FD4"/>
    <w:rsid w:val="00740790"/>
    <w:rsid w:val="00746519"/>
    <w:rsid w:val="0075170E"/>
    <w:rsid w:val="0075189D"/>
    <w:rsid w:val="00752B6D"/>
    <w:rsid w:val="00752DC2"/>
    <w:rsid w:val="007552D5"/>
    <w:rsid w:val="00755734"/>
    <w:rsid w:val="00755DE6"/>
    <w:rsid w:val="007577F7"/>
    <w:rsid w:val="00760237"/>
    <w:rsid w:val="007609F0"/>
    <w:rsid w:val="007626FB"/>
    <w:rsid w:val="00764611"/>
    <w:rsid w:val="007669B4"/>
    <w:rsid w:val="0076772E"/>
    <w:rsid w:val="00767EA8"/>
    <w:rsid w:val="00772D78"/>
    <w:rsid w:val="00772DD4"/>
    <w:rsid w:val="00773B95"/>
    <w:rsid w:val="0077404A"/>
    <w:rsid w:val="00783561"/>
    <w:rsid w:val="00784975"/>
    <w:rsid w:val="00784A98"/>
    <w:rsid w:val="007850C3"/>
    <w:rsid w:val="0078775D"/>
    <w:rsid w:val="00787878"/>
    <w:rsid w:val="00790082"/>
    <w:rsid w:val="00790CF5"/>
    <w:rsid w:val="00791BE8"/>
    <w:rsid w:val="00796BD4"/>
    <w:rsid w:val="007A0EBB"/>
    <w:rsid w:val="007A11FE"/>
    <w:rsid w:val="007A2339"/>
    <w:rsid w:val="007A3886"/>
    <w:rsid w:val="007A498C"/>
    <w:rsid w:val="007A7903"/>
    <w:rsid w:val="007A7E03"/>
    <w:rsid w:val="007B2E19"/>
    <w:rsid w:val="007B310E"/>
    <w:rsid w:val="007B7708"/>
    <w:rsid w:val="007B7A5F"/>
    <w:rsid w:val="007C207B"/>
    <w:rsid w:val="007C4C65"/>
    <w:rsid w:val="007C4E9A"/>
    <w:rsid w:val="007D0434"/>
    <w:rsid w:val="007D0CDB"/>
    <w:rsid w:val="007D1BEC"/>
    <w:rsid w:val="007D536F"/>
    <w:rsid w:val="007D6768"/>
    <w:rsid w:val="007E00F0"/>
    <w:rsid w:val="007E1BB0"/>
    <w:rsid w:val="007E5600"/>
    <w:rsid w:val="007E6614"/>
    <w:rsid w:val="007E72AE"/>
    <w:rsid w:val="007E7CFD"/>
    <w:rsid w:val="007E7D64"/>
    <w:rsid w:val="007F272C"/>
    <w:rsid w:val="007F295B"/>
    <w:rsid w:val="007F31DB"/>
    <w:rsid w:val="007F680F"/>
    <w:rsid w:val="00801045"/>
    <w:rsid w:val="00804226"/>
    <w:rsid w:val="00805680"/>
    <w:rsid w:val="00806083"/>
    <w:rsid w:val="0081125E"/>
    <w:rsid w:val="00811500"/>
    <w:rsid w:val="0081188E"/>
    <w:rsid w:val="0081323F"/>
    <w:rsid w:val="00815C09"/>
    <w:rsid w:val="00816ABF"/>
    <w:rsid w:val="00820BD2"/>
    <w:rsid w:val="00820C46"/>
    <w:rsid w:val="0082204A"/>
    <w:rsid w:val="008244CD"/>
    <w:rsid w:val="00824C0B"/>
    <w:rsid w:val="00825335"/>
    <w:rsid w:val="0083081D"/>
    <w:rsid w:val="008309AA"/>
    <w:rsid w:val="00831318"/>
    <w:rsid w:val="00831C0F"/>
    <w:rsid w:val="00832607"/>
    <w:rsid w:val="0083351C"/>
    <w:rsid w:val="0083414A"/>
    <w:rsid w:val="008349DA"/>
    <w:rsid w:val="00843312"/>
    <w:rsid w:val="008456F4"/>
    <w:rsid w:val="00847DFC"/>
    <w:rsid w:val="00854B87"/>
    <w:rsid w:val="00854BA4"/>
    <w:rsid w:val="008578E5"/>
    <w:rsid w:val="00857F4A"/>
    <w:rsid w:val="008605E4"/>
    <w:rsid w:val="0086149B"/>
    <w:rsid w:val="008623F4"/>
    <w:rsid w:val="00862B65"/>
    <w:rsid w:val="008638DD"/>
    <w:rsid w:val="00864D13"/>
    <w:rsid w:val="008708DC"/>
    <w:rsid w:val="0087367F"/>
    <w:rsid w:val="00873F76"/>
    <w:rsid w:val="00874830"/>
    <w:rsid w:val="0087694B"/>
    <w:rsid w:val="008771DC"/>
    <w:rsid w:val="0088311D"/>
    <w:rsid w:val="0088429C"/>
    <w:rsid w:val="008868DE"/>
    <w:rsid w:val="00886D28"/>
    <w:rsid w:val="00887CCA"/>
    <w:rsid w:val="00890E01"/>
    <w:rsid w:val="00892E10"/>
    <w:rsid w:val="0089465C"/>
    <w:rsid w:val="008951D1"/>
    <w:rsid w:val="00896B81"/>
    <w:rsid w:val="00896D5F"/>
    <w:rsid w:val="008972AC"/>
    <w:rsid w:val="00897871"/>
    <w:rsid w:val="00897874"/>
    <w:rsid w:val="00897B8F"/>
    <w:rsid w:val="008A159B"/>
    <w:rsid w:val="008A171D"/>
    <w:rsid w:val="008A22D2"/>
    <w:rsid w:val="008A2F5E"/>
    <w:rsid w:val="008A3AD8"/>
    <w:rsid w:val="008A41BA"/>
    <w:rsid w:val="008A4637"/>
    <w:rsid w:val="008A4B14"/>
    <w:rsid w:val="008A5D9F"/>
    <w:rsid w:val="008A64A9"/>
    <w:rsid w:val="008A6F7A"/>
    <w:rsid w:val="008A7066"/>
    <w:rsid w:val="008A7164"/>
    <w:rsid w:val="008B111C"/>
    <w:rsid w:val="008B2885"/>
    <w:rsid w:val="008B47A7"/>
    <w:rsid w:val="008B4AEE"/>
    <w:rsid w:val="008B4F58"/>
    <w:rsid w:val="008B77A8"/>
    <w:rsid w:val="008B7CBC"/>
    <w:rsid w:val="008C3138"/>
    <w:rsid w:val="008C31F5"/>
    <w:rsid w:val="008C3DA0"/>
    <w:rsid w:val="008C4B90"/>
    <w:rsid w:val="008C5BFA"/>
    <w:rsid w:val="008C7F2C"/>
    <w:rsid w:val="008D22AD"/>
    <w:rsid w:val="008D416C"/>
    <w:rsid w:val="008D485A"/>
    <w:rsid w:val="008D715F"/>
    <w:rsid w:val="008D776A"/>
    <w:rsid w:val="008E0728"/>
    <w:rsid w:val="008E22A0"/>
    <w:rsid w:val="008E2C69"/>
    <w:rsid w:val="008E39DC"/>
    <w:rsid w:val="008E6447"/>
    <w:rsid w:val="008E6718"/>
    <w:rsid w:val="008E7382"/>
    <w:rsid w:val="008F090C"/>
    <w:rsid w:val="008F107B"/>
    <w:rsid w:val="008F151D"/>
    <w:rsid w:val="008F33CB"/>
    <w:rsid w:val="008F438D"/>
    <w:rsid w:val="008F47C1"/>
    <w:rsid w:val="008F5439"/>
    <w:rsid w:val="009038EE"/>
    <w:rsid w:val="00903C2B"/>
    <w:rsid w:val="00904D86"/>
    <w:rsid w:val="009069CA"/>
    <w:rsid w:val="00910942"/>
    <w:rsid w:val="00910ED4"/>
    <w:rsid w:val="009115E1"/>
    <w:rsid w:val="00913409"/>
    <w:rsid w:val="00915B3D"/>
    <w:rsid w:val="009164A4"/>
    <w:rsid w:val="009174F8"/>
    <w:rsid w:val="009175BE"/>
    <w:rsid w:val="00920990"/>
    <w:rsid w:val="009209F4"/>
    <w:rsid w:val="00920ADC"/>
    <w:rsid w:val="00920DCC"/>
    <w:rsid w:val="009217D6"/>
    <w:rsid w:val="00922ABE"/>
    <w:rsid w:val="00922F34"/>
    <w:rsid w:val="00924278"/>
    <w:rsid w:val="0092517D"/>
    <w:rsid w:val="00926FE3"/>
    <w:rsid w:val="00927751"/>
    <w:rsid w:val="009315F0"/>
    <w:rsid w:val="009316C5"/>
    <w:rsid w:val="00931E92"/>
    <w:rsid w:val="00932FA0"/>
    <w:rsid w:val="0093581B"/>
    <w:rsid w:val="00935F3B"/>
    <w:rsid w:val="00935F5D"/>
    <w:rsid w:val="00940807"/>
    <w:rsid w:val="00940BA0"/>
    <w:rsid w:val="009414E8"/>
    <w:rsid w:val="009424C4"/>
    <w:rsid w:val="00942BB1"/>
    <w:rsid w:val="00946AD6"/>
    <w:rsid w:val="00947CC8"/>
    <w:rsid w:val="00947EB9"/>
    <w:rsid w:val="009507F9"/>
    <w:rsid w:val="00950B4A"/>
    <w:rsid w:val="009535EC"/>
    <w:rsid w:val="00955D11"/>
    <w:rsid w:val="00955F15"/>
    <w:rsid w:val="00955F27"/>
    <w:rsid w:val="00956E8E"/>
    <w:rsid w:val="009658E5"/>
    <w:rsid w:val="00970C7F"/>
    <w:rsid w:val="00970C8C"/>
    <w:rsid w:val="00971756"/>
    <w:rsid w:val="00971799"/>
    <w:rsid w:val="00973C1B"/>
    <w:rsid w:val="0097539F"/>
    <w:rsid w:val="00975CB8"/>
    <w:rsid w:val="00975D2A"/>
    <w:rsid w:val="009761F1"/>
    <w:rsid w:val="00976A2B"/>
    <w:rsid w:val="00980678"/>
    <w:rsid w:val="00981A2A"/>
    <w:rsid w:val="009825CA"/>
    <w:rsid w:val="009848ED"/>
    <w:rsid w:val="00984E60"/>
    <w:rsid w:val="00986931"/>
    <w:rsid w:val="00986994"/>
    <w:rsid w:val="009870A6"/>
    <w:rsid w:val="009903BA"/>
    <w:rsid w:val="00993EA6"/>
    <w:rsid w:val="009960CC"/>
    <w:rsid w:val="009A19EA"/>
    <w:rsid w:val="009A1DAE"/>
    <w:rsid w:val="009A2546"/>
    <w:rsid w:val="009A3A48"/>
    <w:rsid w:val="009A56E0"/>
    <w:rsid w:val="009A56FD"/>
    <w:rsid w:val="009A5C34"/>
    <w:rsid w:val="009B0800"/>
    <w:rsid w:val="009B128F"/>
    <w:rsid w:val="009B27B1"/>
    <w:rsid w:val="009B34F8"/>
    <w:rsid w:val="009B3F4C"/>
    <w:rsid w:val="009B678C"/>
    <w:rsid w:val="009B730C"/>
    <w:rsid w:val="009B77B1"/>
    <w:rsid w:val="009C0778"/>
    <w:rsid w:val="009C1471"/>
    <w:rsid w:val="009C32FA"/>
    <w:rsid w:val="009C4F81"/>
    <w:rsid w:val="009C52E4"/>
    <w:rsid w:val="009D1239"/>
    <w:rsid w:val="009D1818"/>
    <w:rsid w:val="009D1B23"/>
    <w:rsid w:val="009D2A39"/>
    <w:rsid w:val="009D2B2F"/>
    <w:rsid w:val="009D2C1F"/>
    <w:rsid w:val="009D5C3A"/>
    <w:rsid w:val="009D62B3"/>
    <w:rsid w:val="009D7909"/>
    <w:rsid w:val="009E00D2"/>
    <w:rsid w:val="009E1050"/>
    <w:rsid w:val="009E2477"/>
    <w:rsid w:val="009E2624"/>
    <w:rsid w:val="009E2FB4"/>
    <w:rsid w:val="009E38B7"/>
    <w:rsid w:val="009E6EB5"/>
    <w:rsid w:val="009E7492"/>
    <w:rsid w:val="009E7F2E"/>
    <w:rsid w:val="009F1294"/>
    <w:rsid w:val="009F19FD"/>
    <w:rsid w:val="009F3BC5"/>
    <w:rsid w:val="009F4CE5"/>
    <w:rsid w:val="009F622F"/>
    <w:rsid w:val="009F709A"/>
    <w:rsid w:val="009F77B7"/>
    <w:rsid w:val="009F7E87"/>
    <w:rsid w:val="00A000EA"/>
    <w:rsid w:val="00A042E5"/>
    <w:rsid w:val="00A06425"/>
    <w:rsid w:val="00A10555"/>
    <w:rsid w:val="00A110A9"/>
    <w:rsid w:val="00A117F0"/>
    <w:rsid w:val="00A1250F"/>
    <w:rsid w:val="00A1268E"/>
    <w:rsid w:val="00A12F8D"/>
    <w:rsid w:val="00A132F7"/>
    <w:rsid w:val="00A143BF"/>
    <w:rsid w:val="00A14DDA"/>
    <w:rsid w:val="00A15A41"/>
    <w:rsid w:val="00A21892"/>
    <w:rsid w:val="00A22992"/>
    <w:rsid w:val="00A24F0C"/>
    <w:rsid w:val="00A26738"/>
    <w:rsid w:val="00A26851"/>
    <w:rsid w:val="00A26F4A"/>
    <w:rsid w:val="00A31717"/>
    <w:rsid w:val="00A31995"/>
    <w:rsid w:val="00A32AE5"/>
    <w:rsid w:val="00A3332F"/>
    <w:rsid w:val="00A362DF"/>
    <w:rsid w:val="00A36D44"/>
    <w:rsid w:val="00A41048"/>
    <w:rsid w:val="00A4130A"/>
    <w:rsid w:val="00A42EB7"/>
    <w:rsid w:val="00A43837"/>
    <w:rsid w:val="00A43AA1"/>
    <w:rsid w:val="00A4462D"/>
    <w:rsid w:val="00A44694"/>
    <w:rsid w:val="00A44BA6"/>
    <w:rsid w:val="00A44EC3"/>
    <w:rsid w:val="00A51542"/>
    <w:rsid w:val="00A51B36"/>
    <w:rsid w:val="00A524A4"/>
    <w:rsid w:val="00A536B4"/>
    <w:rsid w:val="00A539BE"/>
    <w:rsid w:val="00A541BC"/>
    <w:rsid w:val="00A54B54"/>
    <w:rsid w:val="00A5627F"/>
    <w:rsid w:val="00A5711B"/>
    <w:rsid w:val="00A57122"/>
    <w:rsid w:val="00A577B0"/>
    <w:rsid w:val="00A60B07"/>
    <w:rsid w:val="00A61D0E"/>
    <w:rsid w:val="00A63446"/>
    <w:rsid w:val="00A66E21"/>
    <w:rsid w:val="00A70391"/>
    <w:rsid w:val="00A712A7"/>
    <w:rsid w:val="00A7396D"/>
    <w:rsid w:val="00A7440F"/>
    <w:rsid w:val="00A75F49"/>
    <w:rsid w:val="00A776A3"/>
    <w:rsid w:val="00A82C73"/>
    <w:rsid w:val="00A87813"/>
    <w:rsid w:val="00A87D29"/>
    <w:rsid w:val="00A9076B"/>
    <w:rsid w:val="00A90770"/>
    <w:rsid w:val="00A907F9"/>
    <w:rsid w:val="00A90B41"/>
    <w:rsid w:val="00A926E2"/>
    <w:rsid w:val="00A92AC5"/>
    <w:rsid w:val="00A94AC9"/>
    <w:rsid w:val="00A94ECE"/>
    <w:rsid w:val="00A9676A"/>
    <w:rsid w:val="00A97E71"/>
    <w:rsid w:val="00AA06AD"/>
    <w:rsid w:val="00AA1066"/>
    <w:rsid w:val="00AA2CF0"/>
    <w:rsid w:val="00AA3FC8"/>
    <w:rsid w:val="00AA4C38"/>
    <w:rsid w:val="00AA5DD6"/>
    <w:rsid w:val="00AB2EDC"/>
    <w:rsid w:val="00AB6513"/>
    <w:rsid w:val="00AB6912"/>
    <w:rsid w:val="00AB7AFC"/>
    <w:rsid w:val="00AC31C9"/>
    <w:rsid w:val="00AC3822"/>
    <w:rsid w:val="00AC4D2F"/>
    <w:rsid w:val="00AC79C8"/>
    <w:rsid w:val="00AC7EE1"/>
    <w:rsid w:val="00AD685F"/>
    <w:rsid w:val="00AD7BC3"/>
    <w:rsid w:val="00AD7BFB"/>
    <w:rsid w:val="00AD7DE4"/>
    <w:rsid w:val="00AE0031"/>
    <w:rsid w:val="00AE0557"/>
    <w:rsid w:val="00AE0673"/>
    <w:rsid w:val="00AE1F51"/>
    <w:rsid w:val="00AE1F57"/>
    <w:rsid w:val="00AE3BBB"/>
    <w:rsid w:val="00AE3E7D"/>
    <w:rsid w:val="00AE40C4"/>
    <w:rsid w:val="00AE416C"/>
    <w:rsid w:val="00AE52D2"/>
    <w:rsid w:val="00AE586B"/>
    <w:rsid w:val="00AE5BF2"/>
    <w:rsid w:val="00AE71EA"/>
    <w:rsid w:val="00AF2030"/>
    <w:rsid w:val="00AF3F7E"/>
    <w:rsid w:val="00AF5994"/>
    <w:rsid w:val="00B02C04"/>
    <w:rsid w:val="00B05097"/>
    <w:rsid w:val="00B06CCE"/>
    <w:rsid w:val="00B0755A"/>
    <w:rsid w:val="00B077CD"/>
    <w:rsid w:val="00B10344"/>
    <w:rsid w:val="00B1037E"/>
    <w:rsid w:val="00B1139D"/>
    <w:rsid w:val="00B15042"/>
    <w:rsid w:val="00B15313"/>
    <w:rsid w:val="00B17247"/>
    <w:rsid w:val="00B20DA0"/>
    <w:rsid w:val="00B225B5"/>
    <w:rsid w:val="00B228DA"/>
    <w:rsid w:val="00B238FF"/>
    <w:rsid w:val="00B23CAC"/>
    <w:rsid w:val="00B26AB1"/>
    <w:rsid w:val="00B314B6"/>
    <w:rsid w:val="00B32D2A"/>
    <w:rsid w:val="00B342D6"/>
    <w:rsid w:val="00B34855"/>
    <w:rsid w:val="00B356C6"/>
    <w:rsid w:val="00B35F32"/>
    <w:rsid w:val="00B36027"/>
    <w:rsid w:val="00B4093F"/>
    <w:rsid w:val="00B40D03"/>
    <w:rsid w:val="00B4214C"/>
    <w:rsid w:val="00B429A6"/>
    <w:rsid w:val="00B432DF"/>
    <w:rsid w:val="00B44AD4"/>
    <w:rsid w:val="00B50CDA"/>
    <w:rsid w:val="00B51FCD"/>
    <w:rsid w:val="00B54AF7"/>
    <w:rsid w:val="00B56B1D"/>
    <w:rsid w:val="00B639A1"/>
    <w:rsid w:val="00B70421"/>
    <w:rsid w:val="00B70D17"/>
    <w:rsid w:val="00B74231"/>
    <w:rsid w:val="00B81666"/>
    <w:rsid w:val="00B81BB5"/>
    <w:rsid w:val="00B81FEF"/>
    <w:rsid w:val="00B8746E"/>
    <w:rsid w:val="00B87932"/>
    <w:rsid w:val="00B87ED0"/>
    <w:rsid w:val="00B903CC"/>
    <w:rsid w:val="00B91376"/>
    <w:rsid w:val="00B91AC1"/>
    <w:rsid w:val="00B9390F"/>
    <w:rsid w:val="00B951E8"/>
    <w:rsid w:val="00B955FA"/>
    <w:rsid w:val="00B96914"/>
    <w:rsid w:val="00B96D4E"/>
    <w:rsid w:val="00B96F27"/>
    <w:rsid w:val="00B976A3"/>
    <w:rsid w:val="00B97F8F"/>
    <w:rsid w:val="00BA0195"/>
    <w:rsid w:val="00BA22B4"/>
    <w:rsid w:val="00BA4252"/>
    <w:rsid w:val="00BA4835"/>
    <w:rsid w:val="00BA6F2B"/>
    <w:rsid w:val="00BA7327"/>
    <w:rsid w:val="00BA7DFB"/>
    <w:rsid w:val="00BB1042"/>
    <w:rsid w:val="00BB3129"/>
    <w:rsid w:val="00BB31D0"/>
    <w:rsid w:val="00BB3FA6"/>
    <w:rsid w:val="00BC0C78"/>
    <w:rsid w:val="00BC16C0"/>
    <w:rsid w:val="00BC29DA"/>
    <w:rsid w:val="00BC34F0"/>
    <w:rsid w:val="00BC36DF"/>
    <w:rsid w:val="00BC47BC"/>
    <w:rsid w:val="00BC4DA1"/>
    <w:rsid w:val="00BC546B"/>
    <w:rsid w:val="00BC5E0E"/>
    <w:rsid w:val="00BC7DFE"/>
    <w:rsid w:val="00BD02B2"/>
    <w:rsid w:val="00BD20B7"/>
    <w:rsid w:val="00BD26D1"/>
    <w:rsid w:val="00BD3322"/>
    <w:rsid w:val="00BD7AE7"/>
    <w:rsid w:val="00BE0EE8"/>
    <w:rsid w:val="00BE1374"/>
    <w:rsid w:val="00BE268C"/>
    <w:rsid w:val="00BE5F9F"/>
    <w:rsid w:val="00BE6C85"/>
    <w:rsid w:val="00BE7372"/>
    <w:rsid w:val="00BF0202"/>
    <w:rsid w:val="00BF481F"/>
    <w:rsid w:val="00BF786C"/>
    <w:rsid w:val="00C0066F"/>
    <w:rsid w:val="00C008A3"/>
    <w:rsid w:val="00C00FCF"/>
    <w:rsid w:val="00C02E84"/>
    <w:rsid w:val="00C05CF0"/>
    <w:rsid w:val="00C067DB"/>
    <w:rsid w:val="00C07182"/>
    <w:rsid w:val="00C078CD"/>
    <w:rsid w:val="00C1010C"/>
    <w:rsid w:val="00C12E9B"/>
    <w:rsid w:val="00C141B1"/>
    <w:rsid w:val="00C1452C"/>
    <w:rsid w:val="00C14A12"/>
    <w:rsid w:val="00C15130"/>
    <w:rsid w:val="00C1572C"/>
    <w:rsid w:val="00C169F2"/>
    <w:rsid w:val="00C16E03"/>
    <w:rsid w:val="00C174F7"/>
    <w:rsid w:val="00C17BE3"/>
    <w:rsid w:val="00C22357"/>
    <w:rsid w:val="00C225D4"/>
    <w:rsid w:val="00C24ADE"/>
    <w:rsid w:val="00C25080"/>
    <w:rsid w:val="00C26833"/>
    <w:rsid w:val="00C26B60"/>
    <w:rsid w:val="00C277CB"/>
    <w:rsid w:val="00C2792E"/>
    <w:rsid w:val="00C30EF8"/>
    <w:rsid w:val="00C31885"/>
    <w:rsid w:val="00C33D93"/>
    <w:rsid w:val="00C36097"/>
    <w:rsid w:val="00C363CB"/>
    <w:rsid w:val="00C36566"/>
    <w:rsid w:val="00C368D5"/>
    <w:rsid w:val="00C3714A"/>
    <w:rsid w:val="00C42495"/>
    <w:rsid w:val="00C42A02"/>
    <w:rsid w:val="00C42DFC"/>
    <w:rsid w:val="00C43874"/>
    <w:rsid w:val="00C4469B"/>
    <w:rsid w:val="00C5026F"/>
    <w:rsid w:val="00C5061C"/>
    <w:rsid w:val="00C51127"/>
    <w:rsid w:val="00C52473"/>
    <w:rsid w:val="00C535B9"/>
    <w:rsid w:val="00C56AE9"/>
    <w:rsid w:val="00C60DAF"/>
    <w:rsid w:val="00C630D0"/>
    <w:rsid w:val="00C63305"/>
    <w:rsid w:val="00C637E1"/>
    <w:rsid w:val="00C6386D"/>
    <w:rsid w:val="00C63A17"/>
    <w:rsid w:val="00C65E5B"/>
    <w:rsid w:val="00C6610A"/>
    <w:rsid w:val="00C66164"/>
    <w:rsid w:val="00C70857"/>
    <w:rsid w:val="00C71480"/>
    <w:rsid w:val="00C71975"/>
    <w:rsid w:val="00C71F28"/>
    <w:rsid w:val="00C71FA1"/>
    <w:rsid w:val="00C7321B"/>
    <w:rsid w:val="00C735C5"/>
    <w:rsid w:val="00C7393A"/>
    <w:rsid w:val="00C74735"/>
    <w:rsid w:val="00C7591C"/>
    <w:rsid w:val="00C76401"/>
    <w:rsid w:val="00C76A80"/>
    <w:rsid w:val="00C77D86"/>
    <w:rsid w:val="00C81BD5"/>
    <w:rsid w:val="00C8208B"/>
    <w:rsid w:val="00C82554"/>
    <w:rsid w:val="00C836C0"/>
    <w:rsid w:val="00C84A28"/>
    <w:rsid w:val="00C91249"/>
    <w:rsid w:val="00C91B72"/>
    <w:rsid w:val="00C9493F"/>
    <w:rsid w:val="00C95330"/>
    <w:rsid w:val="00C95E13"/>
    <w:rsid w:val="00C96163"/>
    <w:rsid w:val="00C9650D"/>
    <w:rsid w:val="00CA0D13"/>
    <w:rsid w:val="00CA1AF2"/>
    <w:rsid w:val="00CA61DB"/>
    <w:rsid w:val="00CA7392"/>
    <w:rsid w:val="00CA775C"/>
    <w:rsid w:val="00CB1978"/>
    <w:rsid w:val="00CB2E97"/>
    <w:rsid w:val="00CB392B"/>
    <w:rsid w:val="00CB4259"/>
    <w:rsid w:val="00CB58D3"/>
    <w:rsid w:val="00CC0EB7"/>
    <w:rsid w:val="00CC1503"/>
    <w:rsid w:val="00CC208C"/>
    <w:rsid w:val="00CC2771"/>
    <w:rsid w:val="00CC3933"/>
    <w:rsid w:val="00CC3A42"/>
    <w:rsid w:val="00CC3D62"/>
    <w:rsid w:val="00CC4E66"/>
    <w:rsid w:val="00CC55CC"/>
    <w:rsid w:val="00CC6AF0"/>
    <w:rsid w:val="00CC7083"/>
    <w:rsid w:val="00CC76AA"/>
    <w:rsid w:val="00CD21A6"/>
    <w:rsid w:val="00CD2C02"/>
    <w:rsid w:val="00CD34A3"/>
    <w:rsid w:val="00CD3CD3"/>
    <w:rsid w:val="00CD4C88"/>
    <w:rsid w:val="00CD71A0"/>
    <w:rsid w:val="00CE135E"/>
    <w:rsid w:val="00CE3D8C"/>
    <w:rsid w:val="00CE4F32"/>
    <w:rsid w:val="00CE4F83"/>
    <w:rsid w:val="00CE5CDF"/>
    <w:rsid w:val="00CE5E78"/>
    <w:rsid w:val="00CE5F6C"/>
    <w:rsid w:val="00CE675A"/>
    <w:rsid w:val="00CF0728"/>
    <w:rsid w:val="00CF1240"/>
    <w:rsid w:val="00CF18EA"/>
    <w:rsid w:val="00CF1A36"/>
    <w:rsid w:val="00CF3B25"/>
    <w:rsid w:val="00CF4907"/>
    <w:rsid w:val="00CF5EBB"/>
    <w:rsid w:val="00D00DDC"/>
    <w:rsid w:val="00D00E42"/>
    <w:rsid w:val="00D012AC"/>
    <w:rsid w:val="00D052CF"/>
    <w:rsid w:val="00D05B9B"/>
    <w:rsid w:val="00D0656F"/>
    <w:rsid w:val="00D06687"/>
    <w:rsid w:val="00D1420A"/>
    <w:rsid w:val="00D1633C"/>
    <w:rsid w:val="00D177DF"/>
    <w:rsid w:val="00D17F32"/>
    <w:rsid w:val="00D219AF"/>
    <w:rsid w:val="00D21EBE"/>
    <w:rsid w:val="00D22CB1"/>
    <w:rsid w:val="00D23DB7"/>
    <w:rsid w:val="00D26549"/>
    <w:rsid w:val="00D26832"/>
    <w:rsid w:val="00D2788B"/>
    <w:rsid w:val="00D27EAE"/>
    <w:rsid w:val="00D32F76"/>
    <w:rsid w:val="00D33C27"/>
    <w:rsid w:val="00D34790"/>
    <w:rsid w:val="00D34998"/>
    <w:rsid w:val="00D37601"/>
    <w:rsid w:val="00D37998"/>
    <w:rsid w:val="00D4198E"/>
    <w:rsid w:val="00D45239"/>
    <w:rsid w:val="00D47A78"/>
    <w:rsid w:val="00D50CE4"/>
    <w:rsid w:val="00D55366"/>
    <w:rsid w:val="00D55D07"/>
    <w:rsid w:val="00D60376"/>
    <w:rsid w:val="00D60B63"/>
    <w:rsid w:val="00D60DF3"/>
    <w:rsid w:val="00D61A52"/>
    <w:rsid w:val="00D6299E"/>
    <w:rsid w:val="00D62A24"/>
    <w:rsid w:val="00D7127B"/>
    <w:rsid w:val="00D7293F"/>
    <w:rsid w:val="00D72A3C"/>
    <w:rsid w:val="00D732AB"/>
    <w:rsid w:val="00D73BFD"/>
    <w:rsid w:val="00D73FCA"/>
    <w:rsid w:val="00D75450"/>
    <w:rsid w:val="00D75ADB"/>
    <w:rsid w:val="00D75BD1"/>
    <w:rsid w:val="00D76E63"/>
    <w:rsid w:val="00D81325"/>
    <w:rsid w:val="00D822EA"/>
    <w:rsid w:val="00D8362B"/>
    <w:rsid w:val="00D848FF"/>
    <w:rsid w:val="00D856E9"/>
    <w:rsid w:val="00D8577C"/>
    <w:rsid w:val="00D86E90"/>
    <w:rsid w:val="00D876B2"/>
    <w:rsid w:val="00D916DD"/>
    <w:rsid w:val="00D934A4"/>
    <w:rsid w:val="00D93BFD"/>
    <w:rsid w:val="00D9672B"/>
    <w:rsid w:val="00D96E55"/>
    <w:rsid w:val="00DA0DC8"/>
    <w:rsid w:val="00DA12A2"/>
    <w:rsid w:val="00DA3B95"/>
    <w:rsid w:val="00DA45B4"/>
    <w:rsid w:val="00DA565C"/>
    <w:rsid w:val="00DA5A6D"/>
    <w:rsid w:val="00DA67E1"/>
    <w:rsid w:val="00DB1836"/>
    <w:rsid w:val="00DB2C71"/>
    <w:rsid w:val="00DB2F5E"/>
    <w:rsid w:val="00DB41E2"/>
    <w:rsid w:val="00DB578F"/>
    <w:rsid w:val="00DB70A3"/>
    <w:rsid w:val="00DC183C"/>
    <w:rsid w:val="00DC18DB"/>
    <w:rsid w:val="00DC1AEA"/>
    <w:rsid w:val="00DC3B61"/>
    <w:rsid w:val="00DC5517"/>
    <w:rsid w:val="00DC5DDE"/>
    <w:rsid w:val="00DC5E11"/>
    <w:rsid w:val="00DC6314"/>
    <w:rsid w:val="00DC6FF1"/>
    <w:rsid w:val="00DC71DA"/>
    <w:rsid w:val="00DD0C5D"/>
    <w:rsid w:val="00DD134C"/>
    <w:rsid w:val="00DD50AC"/>
    <w:rsid w:val="00DD638D"/>
    <w:rsid w:val="00DD67A5"/>
    <w:rsid w:val="00DE2B01"/>
    <w:rsid w:val="00DE3754"/>
    <w:rsid w:val="00DE3BFC"/>
    <w:rsid w:val="00DE3FDD"/>
    <w:rsid w:val="00DE55D1"/>
    <w:rsid w:val="00DE58DE"/>
    <w:rsid w:val="00DE7146"/>
    <w:rsid w:val="00DE7C92"/>
    <w:rsid w:val="00DF2EEE"/>
    <w:rsid w:val="00DF461C"/>
    <w:rsid w:val="00DF53DD"/>
    <w:rsid w:val="00DF54DE"/>
    <w:rsid w:val="00DF560E"/>
    <w:rsid w:val="00E02BB5"/>
    <w:rsid w:val="00E03F3E"/>
    <w:rsid w:val="00E043F8"/>
    <w:rsid w:val="00E04E40"/>
    <w:rsid w:val="00E06CD4"/>
    <w:rsid w:val="00E10DA5"/>
    <w:rsid w:val="00E10F9E"/>
    <w:rsid w:val="00E11660"/>
    <w:rsid w:val="00E11986"/>
    <w:rsid w:val="00E12ED1"/>
    <w:rsid w:val="00E1346D"/>
    <w:rsid w:val="00E13622"/>
    <w:rsid w:val="00E201DA"/>
    <w:rsid w:val="00E23186"/>
    <w:rsid w:val="00E23820"/>
    <w:rsid w:val="00E243A2"/>
    <w:rsid w:val="00E25536"/>
    <w:rsid w:val="00E25D26"/>
    <w:rsid w:val="00E264D0"/>
    <w:rsid w:val="00E26DD3"/>
    <w:rsid w:val="00E26E7E"/>
    <w:rsid w:val="00E2787D"/>
    <w:rsid w:val="00E27B91"/>
    <w:rsid w:val="00E30CF0"/>
    <w:rsid w:val="00E30EBC"/>
    <w:rsid w:val="00E31A9F"/>
    <w:rsid w:val="00E320D0"/>
    <w:rsid w:val="00E334FF"/>
    <w:rsid w:val="00E338CE"/>
    <w:rsid w:val="00E3468D"/>
    <w:rsid w:val="00E358B2"/>
    <w:rsid w:val="00E36496"/>
    <w:rsid w:val="00E428E4"/>
    <w:rsid w:val="00E44C4C"/>
    <w:rsid w:val="00E46154"/>
    <w:rsid w:val="00E46E28"/>
    <w:rsid w:val="00E504F5"/>
    <w:rsid w:val="00E538CF"/>
    <w:rsid w:val="00E5615C"/>
    <w:rsid w:val="00E57BA9"/>
    <w:rsid w:val="00E60C35"/>
    <w:rsid w:val="00E619CF"/>
    <w:rsid w:val="00E661DA"/>
    <w:rsid w:val="00E66E23"/>
    <w:rsid w:val="00E674DB"/>
    <w:rsid w:val="00E703D9"/>
    <w:rsid w:val="00E70A35"/>
    <w:rsid w:val="00E7163D"/>
    <w:rsid w:val="00E72644"/>
    <w:rsid w:val="00E73C51"/>
    <w:rsid w:val="00E7423D"/>
    <w:rsid w:val="00E74649"/>
    <w:rsid w:val="00E75431"/>
    <w:rsid w:val="00E75B23"/>
    <w:rsid w:val="00E810FA"/>
    <w:rsid w:val="00E81817"/>
    <w:rsid w:val="00E81BBC"/>
    <w:rsid w:val="00E81C42"/>
    <w:rsid w:val="00E84134"/>
    <w:rsid w:val="00E8454E"/>
    <w:rsid w:val="00E862AC"/>
    <w:rsid w:val="00E86A70"/>
    <w:rsid w:val="00E879BD"/>
    <w:rsid w:val="00E913BF"/>
    <w:rsid w:val="00E91F79"/>
    <w:rsid w:val="00E92D4D"/>
    <w:rsid w:val="00E92EAA"/>
    <w:rsid w:val="00E93B22"/>
    <w:rsid w:val="00E955B0"/>
    <w:rsid w:val="00E96F57"/>
    <w:rsid w:val="00E97A16"/>
    <w:rsid w:val="00EA45BB"/>
    <w:rsid w:val="00EA48B2"/>
    <w:rsid w:val="00EA4E10"/>
    <w:rsid w:val="00EA5591"/>
    <w:rsid w:val="00EA7725"/>
    <w:rsid w:val="00EB08E2"/>
    <w:rsid w:val="00EB09C9"/>
    <w:rsid w:val="00EB190B"/>
    <w:rsid w:val="00EB7FD8"/>
    <w:rsid w:val="00EC3196"/>
    <w:rsid w:val="00EC4471"/>
    <w:rsid w:val="00EC4C91"/>
    <w:rsid w:val="00EC6A1F"/>
    <w:rsid w:val="00EC743B"/>
    <w:rsid w:val="00ED0DA5"/>
    <w:rsid w:val="00ED35E3"/>
    <w:rsid w:val="00ED5E93"/>
    <w:rsid w:val="00ED673E"/>
    <w:rsid w:val="00ED6C4B"/>
    <w:rsid w:val="00ED7AA9"/>
    <w:rsid w:val="00EE0B59"/>
    <w:rsid w:val="00EE3344"/>
    <w:rsid w:val="00EE33EF"/>
    <w:rsid w:val="00EE405C"/>
    <w:rsid w:val="00EE5A24"/>
    <w:rsid w:val="00EE6160"/>
    <w:rsid w:val="00EE618A"/>
    <w:rsid w:val="00EE798F"/>
    <w:rsid w:val="00EF0144"/>
    <w:rsid w:val="00EF2721"/>
    <w:rsid w:val="00EF3CB9"/>
    <w:rsid w:val="00EF5B6F"/>
    <w:rsid w:val="00EF5CF7"/>
    <w:rsid w:val="00EF6479"/>
    <w:rsid w:val="00EF655A"/>
    <w:rsid w:val="00F00B7B"/>
    <w:rsid w:val="00F00ED8"/>
    <w:rsid w:val="00F06095"/>
    <w:rsid w:val="00F06FC3"/>
    <w:rsid w:val="00F11273"/>
    <w:rsid w:val="00F11D3E"/>
    <w:rsid w:val="00F12105"/>
    <w:rsid w:val="00F147BD"/>
    <w:rsid w:val="00F14DD6"/>
    <w:rsid w:val="00F20972"/>
    <w:rsid w:val="00F20D84"/>
    <w:rsid w:val="00F21022"/>
    <w:rsid w:val="00F22C3C"/>
    <w:rsid w:val="00F23531"/>
    <w:rsid w:val="00F24214"/>
    <w:rsid w:val="00F3030E"/>
    <w:rsid w:val="00F316C1"/>
    <w:rsid w:val="00F31BA0"/>
    <w:rsid w:val="00F320A2"/>
    <w:rsid w:val="00F3268D"/>
    <w:rsid w:val="00F32FD2"/>
    <w:rsid w:val="00F33CA0"/>
    <w:rsid w:val="00F350C1"/>
    <w:rsid w:val="00F353EE"/>
    <w:rsid w:val="00F3552D"/>
    <w:rsid w:val="00F36B4D"/>
    <w:rsid w:val="00F41BEC"/>
    <w:rsid w:val="00F41E28"/>
    <w:rsid w:val="00F43184"/>
    <w:rsid w:val="00F435F8"/>
    <w:rsid w:val="00F4469E"/>
    <w:rsid w:val="00F4469F"/>
    <w:rsid w:val="00F44B14"/>
    <w:rsid w:val="00F45E19"/>
    <w:rsid w:val="00F47919"/>
    <w:rsid w:val="00F506C5"/>
    <w:rsid w:val="00F527D3"/>
    <w:rsid w:val="00F5415F"/>
    <w:rsid w:val="00F603B2"/>
    <w:rsid w:val="00F6097F"/>
    <w:rsid w:val="00F62794"/>
    <w:rsid w:val="00F62CD7"/>
    <w:rsid w:val="00F66232"/>
    <w:rsid w:val="00F71BD4"/>
    <w:rsid w:val="00F72034"/>
    <w:rsid w:val="00F73DD6"/>
    <w:rsid w:val="00F7427B"/>
    <w:rsid w:val="00F7448C"/>
    <w:rsid w:val="00F74936"/>
    <w:rsid w:val="00F74B8B"/>
    <w:rsid w:val="00F76B56"/>
    <w:rsid w:val="00F76CE8"/>
    <w:rsid w:val="00F80B80"/>
    <w:rsid w:val="00F813BD"/>
    <w:rsid w:val="00F83F7A"/>
    <w:rsid w:val="00F8437E"/>
    <w:rsid w:val="00F86860"/>
    <w:rsid w:val="00F8752E"/>
    <w:rsid w:val="00F9036D"/>
    <w:rsid w:val="00F9195E"/>
    <w:rsid w:val="00F925F8"/>
    <w:rsid w:val="00F92A5B"/>
    <w:rsid w:val="00F940C4"/>
    <w:rsid w:val="00F94966"/>
    <w:rsid w:val="00F96450"/>
    <w:rsid w:val="00F96639"/>
    <w:rsid w:val="00F966F4"/>
    <w:rsid w:val="00F979F9"/>
    <w:rsid w:val="00F97C75"/>
    <w:rsid w:val="00F97E3F"/>
    <w:rsid w:val="00FA0E6D"/>
    <w:rsid w:val="00FA2377"/>
    <w:rsid w:val="00FA4C44"/>
    <w:rsid w:val="00FA4CFC"/>
    <w:rsid w:val="00FB12A6"/>
    <w:rsid w:val="00FB1370"/>
    <w:rsid w:val="00FB1A51"/>
    <w:rsid w:val="00FB1FC6"/>
    <w:rsid w:val="00FB3D8C"/>
    <w:rsid w:val="00FB47E8"/>
    <w:rsid w:val="00FB4F19"/>
    <w:rsid w:val="00FB65A7"/>
    <w:rsid w:val="00FB69F5"/>
    <w:rsid w:val="00FC032D"/>
    <w:rsid w:val="00FC0E58"/>
    <w:rsid w:val="00FC1A56"/>
    <w:rsid w:val="00FC543F"/>
    <w:rsid w:val="00FC6EF5"/>
    <w:rsid w:val="00FD22AF"/>
    <w:rsid w:val="00FD23F5"/>
    <w:rsid w:val="00FD409C"/>
    <w:rsid w:val="00FD546F"/>
    <w:rsid w:val="00FD6269"/>
    <w:rsid w:val="00FD6C5D"/>
    <w:rsid w:val="00FE2697"/>
    <w:rsid w:val="00FE36F6"/>
    <w:rsid w:val="00FE5C23"/>
    <w:rsid w:val="00FE6A88"/>
    <w:rsid w:val="00FE7C26"/>
    <w:rsid w:val="00FF1693"/>
    <w:rsid w:val="00FF1BEF"/>
    <w:rsid w:val="00FF1E4F"/>
    <w:rsid w:val="00FF26D0"/>
    <w:rsid w:val="00FF3083"/>
    <w:rsid w:val="00FF3E08"/>
    <w:rsid w:val="00FF4724"/>
    <w:rsid w:val="00FF68AB"/>
    <w:rsid w:val="00FF6D9F"/>
    <w:rsid w:val="00FF714E"/>
    <w:rsid w:val="00FF7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22FF80"/>
  <w15:docId w15:val="{47CD1FE9-00A6-4343-B7D0-8173D076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ajorBidi"/>
        <w:color w:val="000000" w:themeColor="text1"/>
        <w:sz w:val="24"/>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025"/>
    <w:rPr>
      <w:rFonts w:cs="Times New Roman"/>
      <w:color w:val="auto"/>
      <w:szCs w:val="24"/>
      <w:lang w:eastAsia="en-US"/>
    </w:rPr>
  </w:style>
  <w:style w:type="paragraph" w:styleId="Heading1">
    <w:name w:val="heading 1"/>
    <w:basedOn w:val="Normal"/>
    <w:next w:val="Normal"/>
    <w:link w:val="Heading1Char"/>
    <w:qFormat/>
    <w:rsid w:val="00CB1978"/>
    <w:pPr>
      <w:keepNext/>
      <w:keepLines/>
      <w:spacing w:before="240"/>
      <w:jc w:val="both"/>
      <w:outlineLvl w:val="0"/>
    </w:pPr>
    <w:rPr>
      <w:rFonts w:asciiTheme="majorHAnsi" w:eastAsiaTheme="majorEastAsia" w:hAnsiTheme="majorHAnsi" w:cstheme="majorBidi"/>
      <w:color w:val="365F91" w:themeColor="accent1" w:themeShade="BF"/>
      <w:sz w:val="32"/>
      <w:szCs w:val="32"/>
      <w:lang w:eastAsia="en-GB"/>
    </w:rPr>
  </w:style>
  <w:style w:type="paragraph" w:styleId="Heading2">
    <w:name w:val="heading 2"/>
    <w:aliases w:val="Dissertation Heading 2"/>
    <w:basedOn w:val="Heading4"/>
    <w:next w:val="Heading4"/>
    <w:link w:val="Heading2Char"/>
    <w:autoRedefine/>
    <w:qFormat/>
    <w:rsid w:val="00922ABE"/>
    <w:pPr>
      <w:numPr>
        <w:ilvl w:val="1"/>
        <w:numId w:val="1"/>
      </w:numPr>
      <w:spacing w:before="280" w:after="240"/>
      <w:ind w:left="360"/>
      <w:outlineLvl w:val="1"/>
    </w:pPr>
    <w:rPr>
      <w:rFonts w:ascii="Times New Roman" w:hAnsi="Times New Roman"/>
      <w:b/>
      <w:i w:val="0"/>
      <w:color w:val="000000" w:themeColor="text1"/>
      <w:sz w:val="28"/>
      <w:szCs w:val="20"/>
    </w:rPr>
  </w:style>
  <w:style w:type="paragraph" w:styleId="Heading3">
    <w:name w:val="heading 3"/>
    <w:basedOn w:val="Normal"/>
    <w:next w:val="Normal"/>
    <w:link w:val="Heading3Char"/>
    <w:qFormat/>
    <w:rsid w:val="003822C8"/>
    <w:pPr>
      <w:keepNext/>
      <w:jc w:val="center"/>
      <w:outlineLvl w:val="2"/>
    </w:pPr>
    <w:rPr>
      <w:rFonts w:cstheme="majorBidi"/>
      <w:color w:val="000000" w:themeColor="text1"/>
      <w:sz w:val="28"/>
      <w:szCs w:val="20"/>
      <w:lang w:eastAsia="en-GB"/>
    </w:rPr>
  </w:style>
  <w:style w:type="paragraph" w:styleId="Heading4">
    <w:name w:val="heading 4"/>
    <w:basedOn w:val="Normal"/>
    <w:next w:val="Normal"/>
    <w:link w:val="Heading4Char"/>
    <w:semiHidden/>
    <w:unhideWhenUsed/>
    <w:qFormat/>
    <w:rsid w:val="00947CC8"/>
    <w:pPr>
      <w:keepNext/>
      <w:keepLines/>
      <w:spacing w:before="40"/>
      <w:jc w:val="both"/>
      <w:outlineLvl w:val="3"/>
    </w:pPr>
    <w:rPr>
      <w:rFonts w:asciiTheme="majorHAnsi" w:eastAsiaTheme="majorEastAsia" w:hAnsiTheme="majorHAnsi" w:cstheme="majorBidi"/>
      <w:i/>
      <w:iCs/>
      <w:color w:val="365F91" w:themeColor="accent1" w:themeShade="BF"/>
      <w:szCs w:val="22"/>
      <w:lang w:eastAsia="en-GB"/>
    </w:rPr>
  </w:style>
  <w:style w:type="paragraph" w:styleId="Heading5">
    <w:name w:val="heading 5"/>
    <w:basedOn w:val="Normal"/>
    <w:next w:val="Normal"/>
    <w:link w:val="Heading5Char"/>
    <w:unhideWhenUsed/>
    <w:qFormat/>
    <w:rsid w:val="00CB1978"/>
    <w:pPr>
      <w:keepNext/>
      <w:keepLines/>
      <w:spacing w:before="40"/>
      <w:jc w:val="both"/>
      <w:outlineLvl w:val="4"/>
    </w:pPr>
    <w:rPr>
      <w:rFonts w:asciiTheme="majorHAnsi" w:eastAsiaTheme="majorEastAsia" w:hAnsiTheme="majorHAnsi" w:cstheme="majorBidi"/>
      <w:color w:val="365F91" w:themeColor="accent1" w:themeShade="BF"/>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A5C34"/>
    <w:pPr>
      <w:jc w:val="both"/>
    </w:pPr>
    <w:rPr>
      <w:rFonts w:ascii="Tahoma" w:hAnsi="Tahoma" w:cs="Tahoma"/>
      <w:color w:val="000000" w:themeColor="text1"/>
      <w:sz w:val="16"/>
      <w:szCs w:val="16"/>
      <w:lang w:eastAsia="en-GB"/>
    </w:rPr>
  </w:style>
  <w:style w:type="character" w:customStyle="1" w:styleId="BalloonTextChar">
    <w:name w:val="Balloon Text Char"/>
    <w:basedOn w:val="DefaultParagraphFont"/>
    <w:link w:val="BalloonText"/>
    <w:rsid w:val="009A5C34"/>
    <w:rPr>
      <w:rFonts w:ascii="Tahoma" w:hAnsi="Tahoma" w:cs="Tahoma"/>
      <w:sz w:val="16"/>
      <w:szCs w:val="16"/>
      <w:lang w:eastAsia="en-US"/>
    </w:rPr>
  </w:style>
  <w:style w:type="paragraph" w:styleId="Header">
    <w:name w:val="header"/>
    <w:basedOn w:val="Normal"/>
    <w:link w:val="HeaderChar"/>
    <w:uiPriority w:val="99"/>
    <w:unhideWhenUsed/>
    <w:rsid w:val="00E538CF"/>
    <w:pPr>
      <w:tabs>
        <w:tab w:val="center" w:pos="4513"/>
        <w:tab w:val="right" w:pos="9026"/>
      </w:tabs>
      <w:jc w:val="both"/>
    </w:pPr>
    <w:rPr>
      <w:rFonts w:cstheme="majorBidi"/>
      <w:color w:val="000000" w:themeColor="text1"/>
      <w:szCs w:val="22"/>
      <w:lang w:eastAsia="en-GB"/>
    </w:rPr>
  </w:style>
  <w:style w:type="character" w:customStyle="1" w:styleId="HeaderChar">
    <w:name w:val="Header Char"/>
    <w:basedOn w:val="DefaultParagraphFont"/>
    <w:link w:val="Header"/>
    <w:uiPriority w:val="99"/>
    <w:rsid w:val="00E538CF"/>
    <w:rPr>
      <w:rFonts w:ascii="Arial" w:hAnsi="Arial"/>
      <w:sz w:val="22"/>
      <w:szCs w:val="22"/>
      <w:lang w:eastAsia="en-US"/>
    </w:rPr>
  </w:style>
  <w:style w:type="paragraph" w:styleId="Footer">
    <w:name w:val="footer"/>
    <w:basedOn w:val="Normal"/>
    <w:link w:val="FooterChar"/>
    <w:uiPriority w:val="99"/>
    <w:unhideWhenUsed/>
    <w:rsid w:val="00E538CF"/>
    <w:pPr>
      <w:tabs>
        <w:tab w:val="center" w:pos="4513"/>
        <w:tab w:val="right" w:pos="9026"/>
      </w:tabs>
      <w:jc w:val="both"/>
    </w:pPr>
    <w:rPr>
      <w:rFonts w:cstheme="majorBidi"/>
      <w:color w:val="000000" w:themeColor="text1"/>
      <w:szCs w:val="22"/>
      <w:lang w:eastAsia="en-GB"/>
    </w:rPr>
  </w:style>
  <w:style w:type="character" w:customStyle="1" w:styleId="FooterChar">
    <w:name w:val="Footer Char"/>
    <w:basedOn w:val="DefaultParagraphFont"/>
    <w:link w:val="Footer"/>
    <w:uiPriority w:val="99"/>
    <w:rsid w:val="00E538CF"/>
    <w:rPr>
      <w:rFonts w:ascii="Arial" w:hAnsi="Arial"/>
      <w:sz w:val="22"/>
      <w:szCs w:val="22"/>
      <w:lang w:eastAsia="en-US"/>
    </w:rPr>
  </w:style>
  <w:style w:type="character" w:customStyle="1" w:styleId="Heading2Char">
    <w:name w:val="Heading 2 Char"/>
    <w:aliases w:val="Dissertation Heading 2 Char"/>
    <w:basedOn w:val="DefaultParagraphFont"/>
    <w:link w:val="Heading2"/>
    <w:rsid w:val="00922ABE"/>
    <w:rPr>
      <w:rFonts w:eastAsiaTheme="majorEastAsia"/>
      <w:b/>
      <w:iCs/>
      <w:sz w:val="28"/>
      <w:szCs w:val="20"/>
    </w:rPr>
  </w:style>
  <w:style w:type="character" w:customStyle="1" w:styleId="Heading3Char">
    <w:name w:val="Heading 3 Char"/>
    <w:basedOn w:val="DefaultParagraphFont"/>
    <w:link w:val="Heading3"/>
    <w:rsid w:val="003822C8"/>
    <w:rPr>
      <w:sz w:val="28"/>
      <w:lang w:eastAsia="en-US"/>
    </w:rPr>
  </w:style>
  <w:style w:type="paragraph" w:styleId="BodyText">
    <w:name w:val="Body Text"/>
    <w:basedOn w:val="Normal"/>
    <w:link w:val="BodyTextChar"/>
    <w:rsid w:val="003822C8"/>
    <w:pPr>
      <w:jc w:val="both"/>
    </w:pPr>
    <w:rPr>
      <w:rFonts w:cstheme="majorBidi"/>
      <w:i/>
      <w:color w:val="000000" w:themeColor="text1"/>
      <w:szCs w:val="20"/>
      <w:lang w:eastAsia="en-GB"/>
    </w:rPr>
  </w:style>
  <w:style w:type="character" w:customStyle="1" w:styleId="BodyTextChar">
    <w:name w:val="Body Text Char"/>
    <w:basedOn w:val="DefaultParagraphFont"/>
    <w:link w:val="BodyText"/>
    <w:rsid w:val="003822C8"/>
    <w:rPr>
      <w:i/>
      <w:sz w:val="24"/>
      <w:lang w:eastAsia="en-US"/>
    </w:rPr>
  </w:style>
  <w:style w:type="character" w:customStyle="1" w:styleId="Heading1Char">
    <w:name w:val="Heading 1 Char"/>
    <w:basedOn w:val="DefaultParagraphFont"/>
    <w:link w:val="Heading1"/>
    <w:rsid w:val="00CB1978"/>
    <w:rPr>
      <w:rFonts w:asciiTheme="majorHAnsi" w:eastAsiaTheme="majorEastAsia" w:hAnsiTheme="majorHAnsi" w:cstheme="majorBidi"/>
      <w:color w:val="365F91" w:themeColor="accent1" w:themeShade="BF"/>
      <w:sz w:val="32"/>
      <w:szCs w:val="32"/>
      <w:lang w:eastAsia="en-US"/>
    </w:rPr>
  </w:style>
  <w:style w:type="character" w:styleId="Emphasis">
    <w:name w:val="Emphasis"/>
    <w:basedOn w:val="DefaultParagraphFont"/>
    <w:qFormat/>
    <w:rsid w:val="00CB1978"/>
    <w:rPr>
      <w:i/>
      <w:iCs/>
    </w:rPr>
  </w:style>
  <w:style w:type="character" w:styleId="Strong">
    <w:name w:val="Strong"/>
    <w:basedOn w:val="DefaultParagraphFont"/>
    <w:qFormat/>
    <w:rsid w:val="00CB1978"/>
    <w:rPr>
      <w:b/>
      <w:bCs/>
    </w:rPr>
  </w:style>
  <w:style w:type="paragraph" w:customStyle="1" w:styleId="DissertationBody">
    <w:name w:val="DissertationBody"/>
    <w:basedOn w:val="Dissertation"/>
    <w:next w:val="BodyText"/>
    <w:qFormat/>
    <w:rsid w:val="00337C62"/>
    <w:pPr>
      <w:spacing w:before="0" w:after="0"/>
    </w:pPr>
    <w:rPr>
      <w:b w:val="0"/>
      <w:sz w:val="24"/>
    </w:rPr>
  </w:style>
  <w:style w:type="paragraph" w:customStyle="1" w:styleId="Dissertation">
    <w:name w:val="Dissertation"/>
    <w:basedOn w:val="Heading5"/>
    <w:next w:val="Heading5"/>
    <w:link w:val="DissertationChar"/>
    <w:qFormat/>
    <w:rsid w:val="001D159C"/>
    <w:pPr>
      <w:spacing w:before="240" w:after="240"/>
    </w:pPr>
    <w:rPr>
      <w:rFonts w:ascii="Times New Roman" w:hAnsi="Times New Roman"/>
      <w:b/>
      <w:color w:val="000000" w:themeColor="text1"/>
      <w:sz w:val="32"/>
    </w:rPr>
  </w:style>
  <w:style w:type="character" w:customStyle="1" w:styleId="Heading5Char">
    <w:name w:val="Heading 5 Char"/>
    <w:basedOn w:val="DefaultParagraphFont"/>
    <w:link w:val="Heading5"/>
    <w:rsid w:val="00CB1978"/>
    <w:rPr>
      <w:rFonts w:asciiTheme="majorHAnsi" w:eastAsiaTheme="majorEastAsia" w:hAnsiTheme="majorHAnsi" w:cstheme="majorBidi"/>
      <w:color w:val="365F91" w:themeColor="accent1" w:themeShade="BF"/>
      <w:sz w:val="22"/>
      <w:szCs w:val="22"/>
      <w:lang w:eastAsia="en-US"/>
    </w:rPr>
  </w:style>
  <w:style w:type="character" w:customStyle="1" w:styleId="DissertationChar">
    <w:name w:val="Dissertation Char"/>
    <w:basedOn w:val="Heading5Char"/>
    <w:link w:val="Dissertation"/>
    <w:rsid w:val="001D159C"/>
    <w:rPr>
      <w:rFonts w:asciiTheme="majorHAnsi" w:eastAsiaTheme="majorEastAsia" w:hAnsiTheme="majorHAnsi" w:cstheme="majorBidi"/>
      <w:b/>
      <w:color w:val="365F91" w:themeColor="accent1" w:themeShade="BF"/>
      <w:sz w:val="32"/>
      <w:szCs w:val="22"/>
      <w:lang w:eastAsia="en-US"/>
    </w:rPr>
  </w:style>
  <w:style w:type="paragraph" w:styleId="ListParagraph">
    <w:name w:val="List Paragraph"/>
    <w:basedOn w:val="Normal"/>
    <w:uiPriority w:val="34"/>
    <w:qFormat/>
    <w:rsid w:val="009B730C"/>
    <w:pPr>
      <w:ind w:left="720"/>
      <w:contextualSpacing/>
      <w:jc w:val="both"/>
    </w:pPr>
    <w:rPr>
      <w:rFonts w:cstheme="majorBidi"/>
      <w:color w:val="000000" w:themeColor="text1"/>
      <w:szCs w:val="22"/>
      <w:lang w:eastAsia="en-GB"/>
    </w:rPr>
  </w:style>
  <w:style w:type="paragraph" w:styleId="TOC1">
    <w:name w:val="toc 1"/>
    <w:basedOn w:val="Normal"/>
    <w:next w:val="Normal"/>
    <w:autoRedefine/>
    <w:uiPriority w:val="39"/>
    <w:unhideWhenUsed/>
    <w:rsid w:val="00306B53"/>
    <w:pPr>
      <w:spacing w:before="120"/>
    </w:pPr>
    <w:rPr>
      <w:rFonts w:asciiTheme="minorHAnsi" w:hAnsiTheme="minorHAnsi" w:cstheme="majorBidi"/>
      <w:b/>
      <w:bCs/>
      <w:color w:val="000000" w:themeColor="text1"/>
      <w:lang w:eastAsia="en-GB"/>
    </w:rPr>
  </w:style>
  <w:style w:type="character" w:customStyle="1" w:styleId="Heading4Char">
    <w:name w:val="Heading 4 Char"/>
    <w:basedOn w:val="DefaultParagraphFont"/>
    <w:link w:val="Heading4"/>
    <w:semiHidden/>
    <w:rsid w:val="00947CC8"/>
    <w:rPr>
      <w:rFonts w:asciiTheme="majorHAnsi" w:eastAsiaTheme="majorEastAsia" w:hAnsiTheme="majorHAnsi"/>
      <w:i/>
      <w:iCs/>
      <w:color w:val="365F91" w:themeColor="accent1" w:themeShade="BF"/>
    </w:rPr>
  </w:style>
  <w:style w:type="paragraph" w:styleId="TOC8">
    <w:name w:val="toc 8"/>
    <w:basedOn w:val="Normal"/>
    <w:next w:val="Normal"/>
    <w:autoRedefine/>
    <w:unhideWhenUsed/>
    <w:rsid w:val="00306B53"/>
    <w:pPr>
      <w:ind w:left="1680"/>
    </w:pPr>
    <w:rPr>
      <w:rFonts w:asciiTheme="minorHAnsi" w:hAnsiTheme="minorHAnsi" w:cstheme="majorBidi"/>
      <w:color w:val="000000" w:themeColor="text1"/>
      <w:sz w:val="20"/>
      <w:szCs w:val="20"/>
      <w:lang w:eastAsia="en-GB"/>
    </w:rPr>
  </w:style>
  <w:style w:type="paragraph" w:styleId="TOC2">
    <w:name w:val="toc 2"/>
    <w:basedOn w:val="Normal"/>
    <w:next w:val="Normal"/>
    <w:autoRedefine/>
    <w:uiPriority w:val="39"/>
    <w:unhideWhenUsed/>
    <w:rsid w:val="00306B53"/>
    <w:pPr>
      <w:ind w:left="240"/>
    </w:pPr>
    <w:rPr>
      <w:rFonts w:asciiTheme="minorHAnsi" w:hAnsiTheme="minorHAnsi" w:cstheme="majorBidi"/>
      <w:b/>
      <w:bCs/>
      <w:color w:val="000000" w:themeColor="text1"/>
      <w:sz w:val="22"/>
      <w:szCs w:val="22"/>
      <w:lang w:eastAsia="en-GB"/>
    </w:rPr>
  </w:style>
  <w:style w:type="paragraph" w:styleId="TOC3">
    <w:name w:val="toc 3"/>
    <w:basedOn w:val="Normal"/>
    <w:next w:val="Normal"/>
    <w:autoRedefine/>
    <w:uiPriority w:val="39"/>
    <w:unhideWhenUsed/>
    <w:rsid w:val="00306B53"/>
    <w:pPr>
      <w:ind w:left="480"/>
    </w:pPr>
    <w:rPr>
      <w:rFonts w:asciiTheme="minorHAnsi" w:hAnsiTheme="minorHAnsi" w:cstheme="majorBidi"/>
      <w:color w:val="000000" w:themeColor="text1"/>
      <w:sz w:val="22"/>
      <w:szCs w:val="22"/>
      <w:lang w:eastAsia="en-GB"/>
    </w:rPr>
  </w:style>
  <w:style w:type="paragraph" w:styleId="TOC4">
    <w:name w:val="toc 4"/>
    <w:basedOn w:val="Normal"/>
    <w:next w:val="Normal"/>
    <w:autoRedefine/>
    <w:unhideWhenUsed/>
    <w:rsid w:val="00306B53"/>
    <w:pPr>
      <w:ind w:left="720"/>
    </w:pPr>
    <w:rPr>
      <w:rFonts w:asciiTheme="minorHAnsi" w:hAnsiTheme="minorHAnsi" w:cstheme="majorBidi"/>
      <w:color w:val="000000" w:themeColor="text1"/>
      <w:sz w:val="20"/>
      <w:szCs w:val="20"/>
      <w:lang w:eastAsia="en-GB"/>
    </w:rPr>
  </w:style>
  <w:style w:type="paragraph" w:styleId="TOC5">
    <w:name w:val="toc 5"/>
    <w:basedOn w:val="Normal"/>
    <w:next w:val="Normal"/>
    <w:autoRedefine/>
    <w:unhideWhenUsed/>
    <w:rsid w:val="00306B53"/>
    <w:pPr>
      <w:ind w:left="960"/>
    </w:pPr>
    <w:rPr>
      <w:rFonts w:asciiTheme="minorHAnsi" w:hAnsiTheme="minorHAnsi" w:cstheme="majorBidi"/>
      <w:color w:val="000000" w:themeColor="text1"/>
      <w:sz w:val="20"/>
      <w:szCs w:val="20"/>
      <w:lang w:eastAsia="en-GB"/>
    </w:rPr>
  </w:style>
  <w:style w:type="paragraph" w:styleId="TOC6">
    <w:name w:val="toc 6"/>
    <w:basedOn w:val="Normal"/>
    <w:next w:val="Normal"/>
    <w:autoRedefine/>
    <w:unhideWhenUsed/>
    <w:rsid w:val="00306B53"/>
    <w:pPr>
      <w:ind w:left="1200"/>
    </w:pPr>
    <w:rPr>
      <w:rFonts w:asciiTheme="minorHAnsi" w:hAnsiTheme="minorHAnsi" w:cstheme="majorBidi"/>
      <w:color w:val="000000" w:themeColor="text1"/>
      <w:sz w:val="20"/>
      <w:szCs w:val="20"/>
      <w:lang w:eastAsia="en-GB"/>
    </w:rPr>
  </w:style>
  <w:style w:type="paragraph" w:styleId="TOC7">
    <w:name w:val="toc 7"/>
    <w:basedOn w:val="Normal"/>
    <w:next w:val="Normal"/>
    <w:autoRedefine/>
    <w:unhideWhenUsed/>
    <w:rsid w:val="00306B53"/>
    <w:pPr>
      <w:ind w:left="1440"/>
    </w:pPr>
    <w:rPr>
      <w:rFonts w:asciiTheme="minorHAnsi" w:hAnsiTheme="minorHAnsi" w:cstheme="majorBidi"/>
      <w:color w:val="000000" w:themeColor="text1"/>
      <w:sz w:val="20"/>
      <w:szCs w:val="20"/>
      <w:lang w:eastAsia="en-GB"/>
    </w:rPr>
  </w:style>
  <w:style w:type="paragraph" w:styleId="TOC9">
    <w:name w:val="toc 9"/>
    <w:basedOn w:val="Normal"/>
    <w:next w:val="Normal"/>
    <w:autoRedefine/>
    <w:unhideWhenUsed/>
    <w:rsid w:val="00306B53"/>
    <w:pPr>
      <w:ind w:left="1920"/>
    </w:pPr>
    <w:rPr>
      <w:rFonts w:asciiTheme="minorHAnsi" w:hAnsiTheme="minorHAnsi" w:cstheme="majorBidi"/>
      <w:color w:val="000000" w:themeColor="text1"/>
      <w:sz w:val="20"/>
      <w:szCs w:val="20"/>
      <w:lang w:eastAsia="en-GB"/>
    </w:rPr>
  </w:style>
  <w:style w:type="paragraph" w:styleId="TOCHeading">
    <w:name w:val="TOC Heading"/>
    <w:basedOn w:val="Heading1"/>
    <w:next w:val="Normal"/>
    <w:uiPriority w:val="39"/>
    <w:unhideWhenUsed/>
    <w:qFormat/>
    <w:rsid w:val="00464CDC"/>
    <w:pPr>
      <w:spacing w:before="480" w:line="276" w:lineRule="auto"/>
      <w:jc w:val="left"/>
      <w:outlineLvl w:val="9"/>
    </w:pPr>
    <w:rPr>
      <w:b/>
      <w:bCs/>
      <w:sz w:val="28"/>
      <w:szCs w:val="28"/>
      <w:lang w:val="en-US" w:eastAsia="en-US"/>
    </w:rPr>
  </w:style>
  <w:style w:type="character" w:styleId="Hyperlink">
    <w:name w:val="Hyperlink"/>
    <w:basedOn w:val="DefaultParagraphFont"/>
    <w:uiPriority w:val="99"/>
    <w:unhideWhenUsed/>
    <w:rsid w:val="00464CDC"/>
    <w:rPr>
      <w:color w:val="0000FF" w:themeColor="hyperlink"/>
      <w:u w:val="single"/>
    </w:rPr>
  </w:style>
  <w:style w:type="character" w:styleId="PlaceholderText">
    <w:name w:val="Placeholder Text"/>
    <w:basedOn w:val="DefaultParagraphFont"/>
    <w:uiPriority w:val="99"/>
    <w:semiHidden/>
    <w:rsid w:val="009A3A48"/>
    <w:rPr>
      <w:color w:val="808080"/>
    </w:rPr>
  </w:style>
  <w:style w:type="paragraph" w:styleId="Caption">
    <w:name w:val="caption"/>
    <w:basedOn w:val="Normal"/>
    <w:next w:val="Normal"/>
    <w:uiPriority w:val="35"/>
    <w:unhideWhenUsed/>
    <w:qFormat/>
    <w:rsid w:val="00082774"/>
    <w:pPr>
      <w:spacing w:after="200"/>
      <w:jc w:val="both"/>
    </w:pPr>
    <w:rPr>
      <w:rFonts w:cstheme="majorBidi"/>
      <w:iCs/>
      <w:color w:val="000000" w:themeColor="text1"/>
      <w:sz w:val="18"/>
      <w:szCs w:val="18"/>
      <w:lang w:eastAsia="en-GB"/>
    </w:rPr>
  </w:style>
  <w:style w:type="paragraph" w:customStyle="1" w:styleId="p1">
    <w:name w:val="p1"/>
    <w:basedOn w:val="Normal"/>
    <w:rsid w:val="001D63EA"/>
    <w:rPr>
      <w:rFonts w:ascii="Helvetica" w:hAnsi="Helvetica"/>
      <w:color w:val="454545"/>
      <w:sz w:val="18"/>
      <w:szCs w:val="18"/>
    </w:rPr>
  </w:style>
  <w:style w:type="character" w:customStyle="1" w:styleId="apple-tab-span">
    <w:name w:val="apple-tab-span"/>
    <w:basedOn w:val="DefaultParagraphFont"/>
    <w:rsid w:val="001D63EA"/>
  </w:style>
  <w:style w:type="paragraph" w:styleId="NormalWeb">
    <w:name w:val="Normal (Web)"/>
    <w:basedOn w:val="Normal"/>
    <w:uiPriority w:val="99"/>
    <w:unhideWhenUsed/>
    <w:rsid w:val="00D4198E"/>
    <w:pPr>
      <w:spacing w:before="100" w:beforeAutospacing="1" w:after="100" w:afterAutospacing="1"/>
    </w:pPr>
  </w:style>
  <w:style w:type="character" w:styleId="CommentReference">
    <w:name w:val="annotation reference"/>
    <w:basedOn w:val="DefaultParagraphFont"/>
    <w:uiPriority w:val="99"/>
    <w:semiHidden/>
    <w:unhideWhenUsed/>
    <w:rsid w:val="008972AC"/>
    <w:rPr>
      <w:sz w:val="18"/>
      <w:szCs w:val="18"/>
    </w:rPr>
  </w:style>
  <w:style w:type="paragraph" w:styleId="CommentText">
    <w:name w:val="annotation text"/>
    <w:basedOn w:val="Normal"/>
    <w:link w:val="CommentTextChar"/>
    <w:uiPriority w:val="99"/>
    <w:semiHidden/>
    <w:unhideWhenUsed/>
    <w:rsid w:val="008972AC"/>
    <w:pPr>
      <w:jc w:val="both"/>
    </w:pPr>
    <w:rPr>
      <w:rFonts w:cstheme="majorBidi"/>
      <w:color w:val="000000" w:themeColor="text1"/>
      <w:lang w:eastAsia="en-GB"/>
    </w:rPr>
  </w:style>
  <w:style w:type="character" w:customStyle="1" w:styleId="CommentTextChar">
    <w:name w:val="Comment Text Char"/>
    <w:basedOn w:val="DefaultParagraphFont"/>
    <w:link w:val="CommentText"/>
    <w:uiPriority w:val="99"/>
    <w:semiHidden/>
    <w:rsid w:val="008972AC"/>
    <w:rPr>
      <w:szCs w:val="24"/>
    </w:rPr>
  </w:style>
  <w:style w:type="paragraph" w:styleId="CommentSubject">
    <w:name w:val="annotation subject"/>
    <w:basedOn w:val="CommentText"/>
    <w:next w:val="CommentText"/>
    <w:link w:val="CommentSubjectChar"/>
    <w:semiHidden/>
    <w:unhideWhenUsed/>
    <w:rsid w:val="008972AC"/>
    <w:rPr>
      <w:b/>
      <w:bCs/>
      <w:sz w:val="20"/>
      <w:szCs w:val="20"/>
    </w:rPr>
  </w:style>
  <w:style w:type="character" w:customStyle="1" w:styleId="CommentSubjectChar">
    <w:name w:val="Comment Subject Char"/>
    <w:basedOn w:val="CommentTextChar"/>
    <w:link w:val="CommentSubject"/>
    <w:semiHidden/>
    <w:rsid w:val="008972AC"/>
    <w:rPr>
      <w:b/>
      <w:bCs/>
      <w:sz w:val="20"/>
      <w:szCs w:val="20"/>
    </w:rPr>
  </w:style>
  <w:style w:type="paragraph" w:styleId="TableofFigures">
    <w:name w:val="table of figures"/>
    <w:basedOn w:val="Normal"/>
    <w:next w:val="Normal"/>
    <w:uiPriority w:val="99"/>
    <w:unhideWhenUsed/>
    <w:rsid w:val="009B678C"/>
    <w:pPr>
      <w:ind w:left="480" w:hanging="480"/>
      <w:jc w:val="both"/>
    </w:pPr>
    <w:rPr>
      <w:rFonts w:cstheme="majorBidi"/>
      <w:color w:val="000000" w:themeColor="text1"/>
      <w:szCs w:val="22"/>
      <w:lang w:eastAsia="en-GB"/>
    </w:rPr>
  </w:style>
  <w:style w:type="paragraph" w:styleId="Revision">
    <w:name w:val="Revision"/>
    <w:hidden/>
    <w:uiPriority w:val="99"/>
    <w:semiHidden/>
    <w:rsid w:val="001D080F"/>
  </w:style>
  <w:style w:type="paragraph" w:styleId="FootnoteText">
    <w:name w:val="footnote text"/>
    <w:basedOn w:val="Normal"/>
    <w:link w:val="FootnoteTextChar"/>
    <w:semiHidden/>
    <w:unhideWhenUsed/>
    <w:rsid w:val="00337F54"/>
    <w:rPr>
      <w:sz w:val="20"/>
      <w:szCs w:val="20"/>
    </w:rPr>
  </w:style>
  <w:style w:type="character" w:customStyle="1" w:styleId="FootnoteTextChar">
    <w:name w:val="Footnote Text Char"/>
    <w:basedOn w:val="DefaultParagraphFont"/>
    <w:link w:val="FootnoteText"/>
    <w:semiHidden/>
    <w:rsid w:val="00337F54"/>
    <w:rPr>
      <w:rFonts w:cs="Times New Roman"/>
      <w:color w:val="auto"/>
      <w:sz w:val="20"/>
      <w:szCs w:val="20"/>
      <w:lang w:eastAsia="en-US"/>
    </w:rPr>
  </w:style>
  <w:style w:type="character" w:styleId="FootnoteReference">
    <w:name w:val="footnote reference"/>
    <w:basedOn w:val="DefaultParagraphFont"/>
    <w:uiPriority w:val="99"/>
    <w:unhideWhenUsed/>
    <w:rsid w:val="00337F54"/>
    <w:rPr>
      <w:vertAlign w:val="superscript"/>
    </w:rPr>
  </w:style>
  <w:style w:type="character" w:styleId="PageNumber">
    <w:name w:val="page number"/>
    <w:basedOn w:val="DefaultParagraphFont"/>
    <w:semiHidden/>
    <w:unhideWhenUsed/>
    <w:rsid w:val="00F06095"/>
  </w:style>
  <w:style w:type="character" w:styleId="UnresolvedMention">
    <w:name w:val="Unresolved Mention"/>
    <w:basedOn w:val="DefaultParagraphFont"/>
    <w:uiPriority w:val="99"/>
    <w:semiHidden/>
    <w:unhideWhenUsed/>
    <w:rsid w:val="00EB1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635">
      <w:bodyDiv w:val="1"/>
      <w:marLeft w:val="0"/>
      <w:marRight w:val="0"/>
      <w:marTop w:val="0"/>
      <w:marBottom w:val="0"/>
      <w:divBdr>
        <w:top w:val="none" w:sz="0" w:space="0" w:color="auto"/>
        <w:left w:val="none" w:sz="0" w:space="0" w:color="auto"/>
        <w:bottom w:val="none" w:sz="0" w:space="0" w:color="auto"/>
        <w:right w:val="none" w:sz="0" w:space="0" w:color="auto"/>
      </w:divBdr>
    </w:div>
    <w:div w:id="30964678">
      <w:bodyDiv w:val="1"/>
      <w:marLeft w:val="0"/>
      <w:marRight w:val="0"/>
      <w:marTop w:val="0"/>
      <w:marBottom w:val="0"/>
      <w:divBdr>
        <w:top w:val="none" w:sz="0" w:space="0" w:color="auto"/>
        <w:left w:val="none" w:sz="0" w:space="0" w:color="auto"/>
        <w:bottom w:val="none" w:sz="0" w:space="0" w:color="auto"/>
        <w:right w:val="none" w:sz="0" w:space="0" w:color="auto"/>
      </w:divBdr>
    </w:div>
    <w:div w:id="44523633">
      <w:bodyDiv w:val="1"/>
      <w:marLeft w:val="0"/>
      <w:marRight w:val="0"/>
      <w:marTop w:val="0"/>
      <w:marBottom w:val="0"/>
      <w:divBdr>
        <w:top w:val="none" w:sz="0" w:space="0" w:color="auto"/>
        <w:left w:val="none" w:sz="0" w:space="0" w:color="auto"/>
        <w:bottom w:val="none" w:sz="0" w:space="0" w:color="auto"/>
        <w:right w:val="none" w:sz="0" w:space="0" w:color="auto"/>
      </w:divBdr>
    </w:div>
    <w:div w:id="47999406">
      <w:bodyDiv w:val="1"/>
      <w:marLeft w:val="0"/>
      <w:marRight w:val="0"/>
      <w:marTop w:val="0"/>
      <w:marBottom w:val="0"/>
      <w:divBdr>
        <w:top w:val="none" w:sz="0" w:space="0" w:color="auto"/>
        <w:left w:val="none" w:sz="0" w:space="0" w:color="auto"/>
        <w:bottom w:val="none" w:sz="0" w:space="0" w:color="auto"/>
        <w:right w:val="none" w:sz="0" w:space="0" w:color="auto"/>
      </w:divBdr>
    </w:div>
    <w:div w:id="102724891">
      <w:bodyDiv w:val="1"/>
      <w:marLeft w:val="0"/>
      <w:marRight w:val="0"/>
      <w:marTop w:val="0"/>
      <w:marBottom w:val="0"/>
      <w:divBdr>
        <w:top w:val="none" w:sz="0" w:space="0" w:color="auto"/>
        <w:left w:val="none" w:sz="0" w:space="0" w:color="auto"/>
        <w:bottom w:val="none" w:sz="0" w:space="0" w:color="auto"/>
        <w:right w:val="none" w:sz="0" w:space="0" w:color="auto"/>
      </w:divBdr>
    </w:div>
    <w:div w:id="133721368">
      <w:bodyDiv w:val="1"/>
      <w:marLeft w:val="0"/>
      <w:marRight w:val="0"/>
      <w:marTop w:val="0"/>
      <w:marBottom w:val="0"/>
      <w:divBdr>
        <w:top w:val="none" w:sz="0" w:space="0" w:color="auto"/>
        <w:left w:val="none" w:sz="0" w:space="0" w:color="auto"/>
        <w:bottom w:val="none" w:sz="0" w:space="0" w:color="auto"/>
        <w:right w:val="none" w:sz="0" w:space="0" w:color="auto"/>
      </w:divBdr>
    </w:div>
    <w:div w:id="167525711">
      <w:bodyDiv w:val="1"/>
      <w:marLeft w:val="0"/>
      <w:marRight w:val="0"/>
      <w:marTop w:val="0"/>
      <w:marBottom w:val="0"/>
      <w:divBdr>
        <w:top w:val="none" w:sz="0" w:space="0" w:color="auto"/>
        <w:left w:val="none" w:sz="0" w:space="0" w:color="auto"/>
        <w:bottom w:val="none" w:sz="0" w:space="0" w:color="auto"/>
        <w:right w:val="none" w:sz="0" w:space="0" w:color="auto"/>
      </w:divBdr>
    </w:div>
    <w:div w:id="168372639">
      <w:bodyDiv w:val="1"/>
      <w:marLeft w:val="0"/>
      <w:marRight w:val="0"/>
      <w:marTop w:val="0"/>
      <w:marBottom w:val="0"/>
      <w:divBdr>
        <w:top w:val="none" w:sz="0" w:space="0" w:color="auto"/>
        <w:left w:val="none" w:sz="0" w:space="0" w:color="auto"/>
        <w:bottom w:val="none" w:sz="0" w:space="0" w:color="auto"/>
        <w:right w:val="none" w:sz="0" w:space="0" w:color="auto"/>
      </w:divBdr>
    </w:div>
    <w:div w:id="173230731">
      <w:bodyDiv w:val="1"/>
      <w:marLeft w:val="0"/>
      <w:marRight w:val="0"/>
      <w:marTop w:val="0"/>
      <w:marBottom w:val="0"/>
      <w:divBdr>
        <w:top w:val="none" w:sz="0" w:space="0" w:color="auto"/>
        <w:left w:val="none" w:sz="0" w:space="0" w:color="auto"/>
        <w:bottom w:val="none" w:sz="0" w:space="0" w:color="auto"/>
        <w:right w:val="none" w:sz="0" w:space="0" w:color="auto"/>
      </w:divBdr>
    </w:div>
    <w:div w:id="179273714">
      <w:bodyDiv w:val="1"/>
      <w:marLeft w:val="0"/>
      <w:marRight w:val="0"/>
      <w:marTop w:val="0"/>
      <w:marBottom w:val="0"/>
      <w:divBdr>
        <w:top w:val="none" w:sz="0" w:space="0" w:color="auto"/>
        <w:left w:val="none" w:sz="0" w:space="0" w:color="auto"/>
        <w:bottom w:val="none" w:sz="0" w:space="0" w:color="auto"/>
        <w:right w:val="none" w:sz="0" w:space="0" w:color="auto"/>
      </w:divBdr>
    </w:div>
    <w:div w:id="187068687">
      <w:bodyDiv w:val="1"/>
      <w:marLeft w:val="0"/>
      <w:marRight w:val="0"/>
      <w:marTop w:val="0"/>
      <w:marBottom w:val="0"/>
      <w:divBdr>
        <w:top w:val="none" w:sz="0" w:space="0" w:color="auto"/>
        <w:left w:val="none" w:sz="0" w:space="0" w:color="auto"/>
        <w:bottom w:val="none" w:sz="0" w:space="0" w:color="auto"/>
        <w:right w:val="none" w:sz="0" w:space="0" w:color="auto"/>
      </w:divBdr>
    </w:div>
    <w:div w:id="210390819">
      <w:bodyDiv w:val="1"/>
      <w:marLeft w:val="0"/>
      <w:marRight w:val="0"/>
      <w:marTop w:val="0"/>
      <w:marBottom w:val="0"/>
      <w:divBdr>
        <w:top w:val="none" w:sz="0" w:space="0" w:color="auto"/>
        <w:left w:val="none" w:sz="0" w:space="0" w:color="auto"/>
        <w:bottom w:val="none" w:sz="0" w:space="0" w:color="auto"/>
        <w:right w:val="none" w:sz="0" w:space="0" w:color="auto"/>
      </w:divBdr>
    </w:div>
    <w:div w:id="211817657">
      <w:bodyDiv w:val="1"/>
      <w:marLeft w:val="0"/>
      <w:marRight w:val="0"/>
      <w:marTop w:val="0"/>
      <w:marBottom w:val="0"/>
      <w:divBdr>
        <w:top w:val="none" w:sz="0" w:space="0" w:color="auto"/>
        <w:left w:val="none" w:sz="0" w:space="0" w:color="auto"/>
        <w:bottom w:val="none" w:sz="0" w:space="0" w:color="auto"/>
        <w:right w:val="none" w:sz="0" w:space="0" w:color="auto"/>
      </w:divBdr>
    </w:div>
    <w:div w:id="217665313">
      <w:bodyDiv w:val="1"/>
      <w:marLeft w:val="0"/>
      <w:marRight w:val="0"/>
      <w:marTop w:val="0"/>
      <w:marBottom w:val="0"/>
      <w:divBdr>
        <w:top w:val="none" w:sz="0" w:space="0" w:color="auto"/>
        <w:left w:val="none" w:sz="0" w:space="0" w:color="auto"/>
        <w:bottom w:val="none" w:sz="0" w:space="0" w:color="auto"/>
        <w:right w:val="none" w:sz="0" w:space="0" w:color="auto"/>
      </w:divBdr>
      <w:divsChild>
        <w:div w:id="1618945103">
          <w:marLeft w:val="0"/>
          <w:marRight w:val="0"/>
          <w:marTop w:val="0"/>
          <w:marBottom w:val="0"/>
          <w:divBdr>
            <w:top w:val="none" w:sz="0" w:space="0" w:color="auto"/>
            <w:left w:val="none" w:sz="0" w:space="0" w:color="auto"/>
            <w:bottom w:val="none" w:sz="0" w:space="0" w:color="auto"/>
            <w:right w:val="none" w:sz="0" w:space="0" w:color="auto"/>
          </w:divBdr>
          <w:divsChild>
            <w:div w:id="978262444">
              <w:marLeft w:val="0"/>
              <w:marRight w:val="0"/>
              <w:marTop w:val="0"/>
              <w:marBottom w:val="0"/>
              <w:divBdr>
                <w:top w:val="none" w:sz="0" w:space="0" w:color="auto"/>
                <w:left w:val="none" w:sz="0" w:space="0" w:color="auto"/>
                <w:bottom w:val="none" w:sz="0" w:space="0" w:color="auto"/>
                <w:right w:val="none" w:sz="0" w:space="0" w:color="auto"/>
              </w:divBdr>
              <w:divsChild>
                <w:div w:id="1584070924">
                  <w:marLeft w:val="0"/>
                  <w:marRight w:val="0"/>
                  <w:marTop w:val="0"/>
                  <w:marBottom w:val="0"/>
                  <w:divBdr>
                    <w:top w:val="none" w:sz="0" w:space="0" w:color="auto"/>
                    <w:left w:val="none" w:sz="0" w:space="0" w:color="auto"/>
                    <w:bottom w:val="none" w:sz="0" w:space="0" w:color="auto"/>
                    <w:right w:val="none" w:sz="0" w:space="0" w:color="auto"/>
                  </w:divBdr>
                  <w:divsChild>
                    <w:div w:id="15832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1385">
      <w:bodyDiv w:val="1"/>
      <w:marLeft w:val="0"/>
      <w:marRight w:val="0"/>
      <w:marTop w:val="0"/>
      <w:marBottom w:val="0"/>
      <w:divBdr>
        <w:top w:val="none" w:sz="0" w:space="0" w:color="auto"/>
        <w:left w:val="none" w:sz="0" w:space="0" w:color="auto"/>
        <w:bottom w:val="none" w:sz="0" w:space="0" w:color="auto"/>
        <w:right w:val="none" w:sz="0" w:space="0" w:color="auto"/>
      </w:divBdr>
    </w:div>
    <w:div w:id="242302523">
      <w:bodyDiv w:val="1"/>
      <w:marLeft w:val="0"/>
      <w:marRight w:val="0"/>
      <w:marTop w:val="0"/>
      <w:marBottom w:val="0"/>
      <w:divBdr>
        <w:top w:val="none" w:sz="0" w:space="0" w:color="auto"/>
        <w:left w:val="none" w:sz="0" w:space="0" w:color="auto"/>
        <w:bottom w:val="none" w:sz="0" w:space="0" w:color="auto"/>
        <w:right w:val="none" w:sz="0" w:space="0" w:color="auto"/>
      </w:divBdr>
    </w:div>
    <w:div w:id="242498078">
      <w:bodyDiv w:val="1"/>
      <w:marLeft w:val="0"/>
      <w:marRight w:val="0"/>
      <w:marTop w:val="0"/>
      <w:marBottom w:val="0"/>
      <w:divBdr>
        <w:top w:val="none" w:sz="0" w:space="0" w:color="auto"/>
        <w:left w:val="none" w:sz="0" w:space="0" w:color="auto"/>
        <w:bottom w:val="none" w:sz="0" w:space="0" w:color="auto"/>
        <w:right w:val="none" w:sz="0" w:space="0" w:color="auto"/>
      </w:divBdr>
    </w:div>
    <w:div w:id="244582750">
      <w:bodyDiv w:val="1"/>
      <w:marLeft w:val="0"/>
      <w:marRight w:val="0"/>
      <w:marTop w:val="0"/>
      <w:marBottom w:val="0"/>
      <w:divBdr>
        <w:top w:val="none" w:sz="0" w:space="0" w:color="auto"/>
        <w:left w:val="none" w:sz="0" w:space="0" w:color="auto"/>
        <w:bottom w:val="none" w:sz="0" w:space="0" w:color="auto"/>
        <w:right w:val="none" w:sz="0" w:space="0" w:color="auto"/>
      </w:divBdr>
    </w:div>
    <w:div w:id="295912989">
      <w:bodyDiv w:val="1"/>
      <w:marLeft w:val="0"/>
      <w:marRight w:val="0"/>
      <w:marTop w:val="0"/>
      <w:marBottom w:val="0"/>
      <w:divBdr>
        <w:top w:val="none" w:sz="0" w:space="0" w:color="auto"/>
        <w:left w:val="none" w:sz="0" w:space="0" w:color="auto"/>
        <w:bottom w:val="none" w:sz="0" w:space="0" w:color="auto"/>
        <w:right w:val="none" w:sz="0" w:space="0" w:color="auto"/>
      </w:divBdr>
    </w:div>
    <w:div w:id="355085432">
      <w:bodyDiv w:val="1"/>
      <w:marLeft w:val="0"/>
      <w:marRight w:val="0"/>
      <w:marTop w:val="0"/>
      <w:marBottom w:val="0"/>
      <w:divBdr>
        <w:top w:val="none" w:sz="0" w:space="0" w:color="auto"/>
        <w:left w:val="none" w:sz="0" w:space="0" w:color="auto"/>
        <w:bottom w:val="none" w:sz="0" w:space="0" w:color="auto"/>
        <w:right w:val="none" w:sz="0" w:space="0" w:color="auto"/>
      </w:divBdr>
    </w:div>
    <w:div w:id="438137640">
      <w:bodyDiv w:val="1"/>
      <w:marLeft w:val="0"/>
      <w:marRight w:val="0"/>
      <w:marTop w:val="0"/>
      <w:marBottom w:val="0"/>
      <w:divBdr>
        <w:top w:val="none" w:sz="0" w:space="0" w:color="auto"/>
        <w:left w:val="none" w:sz="0" w:space="0" w:color="auto"/>
        <w:bottom w:val="none" w:sz="0" w:space="0" w:color="auto"/>
        <w:right w:val="none" w:sz="0" w:space="0" w:color="auto"/>
      </w:divBdr>
    </w:div>
    <w:div w:id="488403490">
      <w:bodyDiv w:val="1"/>
      <w:marLeft w:val="0"/>
      <w:marRight w:val="0"/>
      <w:marTop w:val="0"/>
      <w:marBottom w:val="0"/>
      <w:divBdr>
        <w:top w:val="none" w:sz="0" w:space="0" w:color="auto"/>
        <w:left w:val="none" w:sz="0" w:space="0" w:color="auto"/>
        <w:bottom w:val="none" w:sz="0" w:space="0" w:color="auto"/>
        <w:right w:val="none" w:sz="0" w:space="0" w:color="auto"/>
      </w:divBdr>
    </w:div>
    <w:div w:id="507329702">
      <w:bodyDiv w:val="1"/>
      <w:marLeft w:val="0"/>
      <w:marRight w:val="0"/>
      <w:marTop w:val="0"/>
      <w:marBottom w:val="0"/>
      <w:divBdr>
        <w:top w:val="none" w:sz="0" w:space="0" w:color="auto"/>
        <w:left w:val="none" w:sz="0" w:space="0" w:color="auto"/>
        <w:bottom w:val="none" w:sz="0" w:space="0" w:color="auto"/>
        <w:right w:val="none" w:sz="0" w:space="0" w:color="auto"/>
      </w:divBdr>
    </w:div>
    <w:div w:id="536703530">
      <w:bodyDiv w:val="1"/>
      <w:marLeft w:val="0"/>
      <w:marRight w:val="0"/>
      <w:marTop w:val="0"/>
      <w:marBottom w:val="0"/>
      <w:divBdr>
        <w:top w:val="none" w:sz="0" w:space="0" w:color="auto"/>
        <w:left w:val="none" w:sz="0" w:space="0" w:color="auto"/>
        <w:bottom w:val="none" w:sz="0" w:space="0" w:color="auto"/>
        <w:right w:val="none" w:sz="0" w:space="0" w:color="auto"/>
      </w:divBdr>
      <w:divsChild>
        <w:div w:id="753430133">
          <w:marLeft w:val="0"/>
          <w:marRight w:val="0"/>
          <w:marTop w:val="0"/>
          <w:marBottom w:val="0"/>
          <w:divBdr>
            <w:top w:val="none" w:sz="0" w:space="0" w:color="auto"/>
            <w:left w:val="none" w:sz="0" w:space="0" w:color="auto"/>
            <w:bottom w:val="none" w:sz="0" w:space="0" w:color="auto"/>
            <w:right w:val="none" w:sz="0" w:space="0" w:color="auto"/>
          </w:divBdr>
          <w:divsChild>
            <w:div w:id="1440637580">
              <w:marLeft w:val="0"/>
              <w:marRight w:val="0"/>
              <w:marTop w:val="0"/>
              <w:marBottom w:val="0"/>
              <w:divBdr>
                <w:top w:val="none" w:sz="0" w:space="0" w:color="auto"/>
                <w:left w:val="none" w:sz="0" w:space="0" w:color="auto"/>
                <w:bottom w:val="none" w:sz="0" w:space="0" w:color="auto"/>
                <w:right w:val="none" w:sz="0" w:space="0" w:color="auto"/>
              </w:divBdr>
              <w:divsChild>
                <w:div w:id="10816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561">
      <w:bodyDiv w:val="1"/>
      <w:marLeft w:val="0"/>
      <w:marRight w:val="0"/>
      <w:marTop w:val="0"/>
      <w:marBottom w:val="0"/>
      <w:divBdr>
        <w:top w:val="none" w:sz="0" w:space="0" w:color="auto"/>
        <w:left w:val="none" w:sz="0" w:space="0" w:color="auto"/>
        <w:bottom w:val="none" w:sz="0" w:space="0" w:color="auto"/>
        <w:right w:val="none" w:sz="0" w:space="0" w:color="auto"/>
      </w:divBdr>
    </w:div>
    <w:div w:id="697002240">
      <w:bodyDiv w:val="1"/>
      <w:marLeft w:val="0"/>
      <w:marRight w:val="0"/>
      <w:marTop w:val="0"/>
      <w:marBottom w:val="0"/>
      <w:divBdr>
        <w:top w:val="none" w:sz="0" w:space="0" w:color="auto"/>
        <w:left w:val="none" w:sz="0" w:space="0" w:color="auto"/>
        <w:bottom w:val="none" w:sz="0" w:space="0" w:color="auto"/>
        <w:right w:val="none" w:sz="0" w:space="0" w:color="auto"/>
      </w:divBdr>
    </w:div>
    <w:div w:id="701708410">
      <w:bodyDiv w:val="1"/>
      <w:marLeft w:val="0"/>
      <w:marRight w:val="0"/>
      <w:marTop w:val="0"/>
      <w:marBottom w:val="0"/>
      <w:divBdr>
        <w:top w:val="none" w:sz="0" w:space="0" w:color="auto"/>
        <w:left w:val="none" w:sz="0" w:space="0" w:color="auto"/>
        <w:bottom w:val="none" w:sz="0" w:space="0" w:color="auto"/>
        <w:right w:val="none" w:sz="0" w:space="0" w:color="auto"/>
      </w:divBdr>
    </w:div>
    <w:div w:id="703218006">
      <w:bodyDiv w:val="1"/>
      <w:marLeft w:val="0"/>
      <w:marRight w:val="0"/>
      <w:marTop w:val="0"/>
      <w:marBottom w:val="0"/>
      <w:divBdr>
        <w:top w:val="none" w:sz="0" w:space="0" w:color="auto"/>
        <w:left w:val="none" w:sz="0" w:space="0" w:color="auto"/>
        <w:bottom w:val="none" w:sz="0" w:space="0" w:color="auto"/>
        <w:right w:val="none" w:sz="0" w:space="0" w:color="auto"/>
      </w:divBdr>
    </w:div>
    <w:div w:id="743797841">
      <w:bodyDiv w:val="1"/>
      <w:marLeft w:val="0"/>
      <w:marRight w:val="0"/>
      <w:marTop w:val="0"/>
      <w:marBottom w:val="0"/>
      <w:divBdr>
        <w:top w:val="none" w:sz="0" w:space="0" w:color="auto"/>
        <w:left w:val="none" w:sz="0" w:space="0" w:color="auto"/>
        <w:bottom w:val="none" w:sz="0" w:space="0" w:color="auto"/>
        <w:right w:val="none" w:sz="0" w:space="0" w:color="auto"/>
      </w:divBdr>
    </w:div>
    <w:div w:id="756752994">
      <w:bodyDiv w:val="1"/>
      <w:marLeft w:val="0"/>
      <w:marRight w:val="0"/>
      <w:marTop w:val="0"/>
      <w:marBottom w:val="0"/>
      <w:divBdr>
        <w:top w:val="none" w:sz="0" w:space="0" w:color="auto"/>
        <w:left w:val="none" w:sz="0" w:space="0" w:color="auto"/>
        <w:bottom w:val="none" w:sz="0" w:space="0" w:color="auto"/>
        <w:right w:val="none" w:sz="0" w:space="0" w:color="auto"/>
      </w:divBdr>
    </w:div>
    <w:div w:id="763457670">
      <w:bodyDiv w:val="1"/>
      <w:marLeft w:val="0"/>
      <w:marRight w:val="0"/>
      <w:marTop w:val="0"/>
      <w:marBottom w:val="0"/>
      <w:divBdr>
        <w:top w:val="none" w:sz="0" w:space="0" w:color="auto"/>
        <w:left w:val="none" w:sz="0" w:space="0" w:color="auto"/>
        <w:bottom w:val="none" w:sz="0" w:space="0" w:color="auto"/>
        <w:right w:val="none" w:sz="0" w:space="0" w:color="auto"/>
      </w:divBdr>
    </w:div>
    <w:div w:id="786313029">
      <w:bodyDiv w:val="1"/>
      <w:marLeft w:val="0"/>
      <w:marRight w:val="0"/>
      <w:marTop w:val="0"/>
      <w:marBottom w:val="0"/>
      <w:divBdr>
        <w:top w:val="none" w:sz="0" w:space="0" w:color="auto"/>
        <w:left w:val="none" w:sz="0" w:space="0" w:color="auto"/>
        <w:bottom w:val="none" w:sz="0" w:space="0" w:color="auto"/>
        <w:right w:val="none" w:sz="0" w:space="0" w:color="auto"/>
      </w:divBdr>
    </w:div>
    <w:div w:id="801466376">
      <w:bodyDiv w:val="1"/>
      <w:marLeft w:val="0"/>
      <w:marRight w:val="0"/>
      <w:marTop w:val="0"/>
      <w:marBottom w:val="0"/>
      <w:divBdr>
        <w:top w:val="none" w:sz="0" w:space="0" w:color="auto"/>
        <w:left w:val="none" w:sz="0" w:space="0" w:color="auto"/>
        <w:bottom w:val="none" w:sz="0" w:space="0" w:color="auto"/>
        <w:right w:val="none" w:sz="0" w:space="0" w:color="auto"/>
      </w:divBdr>
    </w:div>
    <w:div w:id="802230259">
      <w:bodyDiv w:val="1"/>
      <w:marLeft w:val="0"/>
      <w:marRight w:val="0"/>
      <w:marTop w:val="0"/>
      <w:marBottom w:val="0"/>
      <w:divBdr>
        <w:top w:val="none" w:sz="0" w:space="0" w:color="auto"/>
        <w:left w:val="none" w:sz="0" w:space="0" w:color="auto"/>
        <w:bottom w:val="none" w:sz="0" w:space="0" w:color="auto"/>
        <w:right w:val="none" w:sz="0" w:space="0" w:color="auto"/>
      </w:divBdr>
      <w:divsChild>
        <w:div w:id="8652671">
          <w:marLeft w:val="0"/>
          <w:marRight w:val="0"/>
          <w:marTop w:val="0"/>
          <w:marBottom w:val="0"/>
          <w:divBdr>
            <w:top w:val="none" w:sz="0" w:space="0" w:color="auto"/>
            <w:left w:val="none" w:sz="0" w:space="0" w:color="auto"/>
            <w:bottom w:val="none" w:sz="0" w:space="0" w:color="auto"/>
            <w:right w:val="none" w:sz="0" w:space="0" w:color="auto"/>
          </w:divBdr>
          <w:divsChild>
            <w:div w:id="1373530766">
              <w:marLeft w:val="0"/>
              <w:marRight w:val="0"/>
              <w:marTop w:val="0"/>
              <w:marBottom w:val="0"/>
              <w:divBdr>
                <w:top w:val="none" w:sz="0" w:space="0" w:color="auto"/>
                <w:left w:val="none" w:sz="0" w:space="0" w:color="auto"/>
                <w:bottom w:val="none" w:sz="0" w:space="0" w:color="auto"/>
                <w:right w:val="none" w:sz="0" w:space="0" w:color="auto"/>
              </w:divBdr>
              <w:divsChild>
                <w:div w:id="1311516820">
                  <w:marLeft w:val="0"/>
                  <w:marRight w:val="0"/>
                  <w:marTop w:val="0"/>
                  <w:marBottom w:val="0"/>
                  <w:divBdr>
                    <w:top w:val="none" w:sz="0" w:space="0" w:color="auto"/>
                    <w:left w:val="none" w:sz="0" w:space="0" w:color="auto"/>
                    <w:bottom w:val="none" w:sz="0" w:space="0" w:color="auto"/>
                    <w:right w:val="none" w:sz="0" w:space="0" w:color="auto"/>
                  </w:divBdr>
                  <w:divsChild>
                    <w:div w:id="19340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127259">
      <w:bodyDiv w:val="1"/>
      <w:marLeft w:val="0"/>
      <w:marRight w:val="0"/>
      <w:marTop w:val="0"/>
      <w:marBottom w:val="0"/>
      <w:divBdr>
        <w:top w:val="none" w:sz="0" w:space="0" w:color="auto"/>
        <w:left w:val="none" w:sz="0" w:space="0" w:color="auto"/>
        <w:bottom w:val="none" w:sz="0" w:space="0" w:color="auto"/>
        <w:right w:val="none" w:sz="0" w:space="0" w:color="auto"/>
      </w:divBdr>
    </w:div>
    <w:div w:id="858665112">
      <w:bodyDiv w:val="1"/>
      <w:marLeft w:val="0"/>
      <w:marRight w:val="0"/>
      <w:marTop w:val="0"/>
      <w:marBottom w:val="0"/>
      <w:divBdr>
        <w:top w:val="none" w:sz="0" w:space="0" w:color="auto"/>
        <w:left w:val="none" w:sz="0" w:space="0" w:color="auto"/>
        <w:bottom w:val="none" w:sz="0" w:space="0" w:color="auto"/>
        <w:right w:val="none" w:sz="0" w:space="0" w:color="auto"/>
      </w:divBdr>
    </w:div>
    <w:div w:id="873689580">
      <w:bodyDiv w:val="1"/>
      <w:marLeft w:val="0"/>
      <w:marRight w:val="0"/>
      <w:marTop w:val="0"/>
      <w:marBottom w:val="0"/>
      <w:divBdr>
        <w:top w:val="none" w:sz="0" w:space="0" w:color="auto"/>
        <w:left w:val="none" w:sz="0" w:space="0" w:color="auto"/>
        <w:bottom w:val="none" w:sz="0" w:space="0" w:color="auto"/>
        <w:right w:val="none" w:sz="0" w:space="0" w:color="auto"/>
      </w:divBdr>
    </w:div>
    <w:div w:id="1102602861">
      <w:bodyDiv w:val="1"/>
      <w:marLeft w:val="0"/>
      <w:marRight w:val="0"/>
      <w:marTop w:val="0"/>
      <w:marBottom w:val="0"/>
      <w:divBdr>
        <w:top w:val="none" w:sz="0" w:space="0" w:color="auto"/>
        <w:left w:val="none" w:sz="0" w:space="0" w:color="auto"/>
        <w:bottom w:val="none" w:sz="0" w:space="0" w:color="auto"/>
        <w:right w:val="none" w:sz="0" w:space="0" w:color="auto"/>
      </w:divBdr>
    </w:div>
    <w:div w:id="1139108428">
      <w:bodyDiv w:val="1"/>
      <w:marLeft w:val="0"/>
      <w:marRight w:val="0"/>
      <w:marTop w:val="0"/>
      <w:marBottom w:val="0"/>
      <w:divBdr>
        <w:top w:val="none" w:sz="0" w:space="0" w:color="auto"/>
        <w:left w:val="none" w:sz="0" w:space="0" w:color="auto"/>
        <w:bottom w:val="none" w:sz="0" w:space="0" w:color="auto"/>
        <w:right w:val="none" w:sz="0" w:space="0" w:color="auto"/>
      </w:divBdr>
    </w:div>
    <w:div w:id="1210722233">
      <w:bodyDiv w:val="1"/>
      <w:marLeft w:val="0"/>
      <w:marRight w:val="0"/>
      <w:marTop w:val="0"/>
      <w:marBottom w:val="0"/>
      <w:divBdr>
        <w:top w:val="none" w:sz="0" w:space="0" w:color="auto"/>
        <w:left w:val="none" w:sz="0" w:space="0" w:color="auto"/>
        <w:bottom w:val="none" w:sz="0" w:space="0" w:color="auto"/>
        <w:right w:val="none" w:sz="0" w:space="0" w:color="auto"/>
      </w:divBdr>
    </w:div>
    <w:div w:id="1262302997">
      <w:bodyDiv w:val="1"/>
      <w:marLeft w:val="0"/>
      <w:marRight w:val="0"/>
      <w:marTop w:val="0"/>
      <w:marBottom w:val="0"/>
      <w:divBdr>
        <w:top w:val="none" w:sz="0" w:space="0" w:color="auto"/>
        <w:left w:val="none" w:sz="0" w:space="0" w:color="auto"/>
        <w:bottom w:val="none" w:sz="0" w:space="0" w:color="auto"/>
        <w:right w:val="none" w:sz="0" w:space="0" w:color="auto"/>
      </w:divBdr>
    </w:div>
    <w:div w:id="1325939046">
      <w:bodyDiv w:val="1"/>
      <w:marLeft w:val="0"/>
      <w:marRight w:val="0"/>
      <w:marTop w:val="0"/>
      <w:marBottom w:val="0"/>
      <w:divBdr>
        <w:top w:val="none" w:sz="0" w:space="0" w:color="auto"/>
        <w:left w:val="none" w:sz="0" w:space="0" w:color="auto"/>
        <w:bottom w:val="none" w:sz="0" w:space="0" w:color="auto"/>
        <w:right w:val="none" w:sz="0" w:space="0" w:color="auto"/>
      </w:divBdr>
    </w:div>
    <w:div w:id="1430153160">
      <w:bodyDiv w:val="1"/>
      <w:marLeft w:val="0"/>
      <w:marRight w:val="0"/>
      <w:marTop w:val="0"/>
      <w:marBottom w:val="0"/>
      <w:divBdr>
        <w:top w:val="none" w:sz="0" w:space="0" w:color="auto"/>
        <w:left w:val="none" w:sz="0" w:space="0" w:color="auto"/>
        <w:bottom w:val="none" w:sz="0" w:space="0" w:color="auto"/>
        <w:right w:val="none" w:sz="0" w:space="0" w:color="auto"/>
      </w:divBdr>
    </w:div>
    <w:div w:id="1474638579">
      <w:bodyDiv w:val="1"/>
      <w:marLeft w:val="0"/>
      <w:marRight w:val="0"/>
      <w:marTop w:val="0"/>
      <w:marBottom w:val="0"/>
      <w:divBdr>
        <w:top w:val="none" w:sz="0" w:space="0" w:color="auto"/>
        <w:left w:val="none" w:sz="0" w:space="0" w:color="auto"/>
        <w:bottom w:val="none" w:sz="0" w:space="0" w:color="auto"/>
        <w:right w:val="none" w:sz="0" w:space="0" w:color="auto"/>
      </w:divBdr>
    </w:div>
    <w:div w:id="1475567457">
      <w:bodyDiv w:val="1"/>
      <w:marLeft w:val="0"/>
      <w:marRight w:val="0"/>
      <w:marTop w:val="0"/>
      <w:marBottom w:val="0"/>
      <w:divBdr>
        <w:top w:val="none" w:sz="0" w:space="0" w:color="auto"/>
        <w:left w:val="none" w:sz="0" w:space="0" w:color="auto"/>
        <w:bottom w:val="none" w:sz="0" w:space="0" w:color="auto"/>
        <w:right w:val="none" w:sz="0" w:space="0" w:color="auto"/>
      </w:divBdr>
    </w:div>
    <w:div w:id="1497071189">
      <w:bodyDiv w:val="1"/>
      <w:marLeft w:val="0"/>
      <w:marRight w:val="0"/>
      <w:marTop w:val="0"/>
      <w:marBottom w:val="0"/>
      <w:divBdr>
        <w:top w:val="none" w:sz="0" w:space="0" w:color="auto"/>
        <w:left w:val="none" w:sz="0" w:space="0" w:color="auto"/>
        <w:bottom w:val="none" w:sz="0" w:space="0" w:color="auto"/>
        <w:right w:val="none" w:sz="0" w:space="0" w:color="auto"/>
      </w:divBdr>
      <w:divsChild>
        <w:div w:id="1131092619">
          <w:marLeft w:val="0"/>
          <w:marRight w:val="0"/>
          <w:marTop w:val="0"/>
          <w:marBottom w:val="0"/>
          <w:divBdr>
            <w:top w:val="none" w:sz="0" w:space="0" w:color="auto"/>
            <w:left w:val="none" w:sz="0" w:space="0" w:color="auto"/>
            <w:bottom w:val="none" w:sz="0" w:space="0" w:color="auto"/>
            <w:right w:val="none" w:sz="0" w:space="0" w:color="auto"/>
          </w:divBdr>
          <w:divsChild>
            <w:div w:id="819156139">
              <w:marLeft w:val="0"/>
              <w:marRight w:val="0"/>
              <w:marTop w:val="0"/>
              <w:marBottom w:val="0"/>
              <w:divBdr>
                <w:top w:val="none" w:sz="0" w:space="0" w:color="auto"/>
                <w:left w:val="none" w:sz="0" w:space="0" w:color="auto"/>
                <w:bottom w:val="none" w:sz="0" w:space="0" w:color="auto"/>
                <w:right w:val="none" w:sz="0" w:space="0" w:color="auto"/>
              </w:divBdr>
              <w:divsChild>
                <w:div w:id="1262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38453">
      <w:bodyDiv w:val="1"/>
      <w:marLeft w:val="0"/>
      <w:marRight w:val="0"/>
      <w:marTop w:val="0"/>
      <w:marBottom w:val="0"/>
      <w:divBdr>
        <w:top w:val="none" w:sz="0" w:space="0" w:color="auto"/>
        <w:left w:val="none" w:sz="0" w:space="0" w:color="auto"/>
        <w:bottom w:val="none" w:sz="0" w:space="0" w:color="auto"/>
        <w:right w:val="none" w:sz="0" w:space="0" w:color="auto"/>
      </w:divBdr>
    </w:div>
    <w:div w:id="1571579066">
      <w:bodyDiv w:val="1"/>
      <w:marLeft w:val="0"/>
      <w:marRight w:val="0"/>
      <w:marTop w:val="0"/>
      <w:marBottom w:val="0"/>
      <w:divBdr>
        <w:top w:val="none" w:sz="0" w:space="0" w:color="auto"/>
        <w:left w:val="none" w:sz="0" w:space="0" w:color="auto"/>
        <w:bottom w:val="none" w:sz="0" w:space="0" w:color="auto"/>
        <w:right w:val="none" w:sz="0" w:space="0" w:color="auto"/>
      </w:divBdr>
    </w:div>
    <w:div w:id="1868180279">
      <w:bodyDiv w:val="1"/>
      <w:marLeft w:val="0"/>
      <w:marRight w:val="0"/>
      <w:marTop w:val="0"/>
      <w:marBottom w:val="0"/>
      <w:divBdr>
        <w:top w:val="none" w:sz="0" w:space="0" w:color="auto"/>
        <w:left w:val="none" w:sz="0" w:space="0" w:color="auto"/>
        <w:bottom w:val="none" w:sz="0" w:space="0" w:color="auto"/>
        <w:right w:val="none" w:sz="0" w:space="0" w:color="auto"/>
      </w:divBdr>
    </w:div>
    <w:div w:id="1952318303">
      <w:bodyDiv w:val="1"/>
      <w:marLeft w:val="0"/>
      <w:marRight w:val="0"/>
      <w:marTop w:val="0"/>
      <w:marBottom w:val="0"/>
      <w:divBdr>
        <w:top w:val="none" w:sz="0" w:space="0" w:color="auto"/>
        <w:left w:val="none" w:sz="0" w:space="0" w:color="auto"/>
        <w:bottom w:val="none" w:sz="0" w:space="0" w:color="auto"/>
        <w:right w:val="none" w:sz="0" w:space="0" w:color="auto"/>
      </w:divBdr>
    </w:div>
    <w:div w:id="1977635848">
      <w:bodyDiv w:val="1"/>
      <w:marLeft w:val="0"/>
      <w:marRight w:val="0"/>
      <w:marTop w:val="0"/>
      <w:marBottom w:val="0"/>
      <w:divBdr>
        <w:top w:val="none" w:sz="0" w:space="0" w:color="auto"/>
        <w:left w:val="none" w:sz="0" w:space="0" w:color="auto"/>
        <w:bottom w:val="none" w:sz="0" w:space="0" w:color="auto"/>
        <w:right w:val="none" w:sz="0" w:space="0" w:color="auto"/>
      </w:divBdr>
    </w:div>
    <w:div w:id="2026977533">
      <w:bodyDiv w:val="1"/>
      <w:marLeft w:val="0"/>
      <w:marRight w:val="0"/>
      <w:marTop w:val="0"/>
      <w:marBottom w:val="0"/>
      <w:divBdr>
        <w:top w:val="none" w:sz="0" w:space="0" w:color="auto"/>
        <w:left w:val="none" w:sz="0" w:space="0" w:color="auto"/>
        <w:bottom w:val="none" w:sz="0" w:space="0" w:color="auto"/>
        <w:right w:val="none" w:sz="0" w:space="0" w:color="auto"/>
      </w:divBdr>
      <w:divsChild>
        <w:div w:id="957030605">
          <w:marLeft w:val="0"/>
          <w:marRight w:val="0"/>
          <w:marTop w:val="0"/>
          <w:marBottom w:val="0"/>
          <w:divBdr>
            <w:top w:val="none" w:sz="0" w:space="0" w:color="auto"/>
            <w:left w:val="none" w:sz="0" w:space="0" w:color="auto"/>
            <w:bottom w:val="none" w:sz="0" w:space="0" w:color="auto"/>
            <w:right w:val="none" w:sz="0" w:space="0" w:color="auto"/>
          </w:divBdr>
          <w:divsChild>
            <w:div w:id="601495391">
              <w:marLeft w:val="0"/>
              <w:marRight w:val="0"/>
              <w:marTop w:val="0"/>
              <w:marBottom w:val="0"/>
              <w:divBdr>
                <w:top w:val="none" w:sz="0" w:space="0" w:color="auto"/>
                <w:left w:val="none" w:sz="0" w:space="0" w:color="auto"/>
                <w:bottom w:val="none" w:sz="0" w:space="0" w:color="auto"/>
                <w:right w:val="none" w:sz="0" w:space="0" w:color="auto"/>
              </w:divBdr>
              <w:divsChild>
                <w:div w:id="1604848585">
                  <w:marLeft w:val="0"/>
                  <w:marRight w:val="0"/>
                  <w:marTop w:val="0"/>
                  <w:marBottom w:val="0"/>
                  <w:divBdr>
                    <w:top w:val="none" w:sz="0" w:space="0" w:color="auto"/>
                    <w:left w:val="none" w:sz="0" w:space="0" w:color="auto"/>
                    <w:bottom w:val="none" w:sz="0" w:space="0" w:color="auto"/>
                    <w:right w:val="none" w:sz="0" w:space="0" w:color="auto"/>
                  </w:divBdr>
                  <w:divsChild>
                    <w:div w:id="1010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6415">
      <w:bodyDiv w:val="1"/>
      <w:marLeft w:val="0"/>
      <w:marRight w:val="0"/>
      <w:marTop w:val="0"/>
      <w:marBottom w:val="0"/>
      <w:divBdr>
        <w:top w:val="none" w:sz="0" w:space="0" w:color="auto"/>
        <w:left w:val="none" w:sz="0" w:space="0" w:color="auto"/>
        <w:bottom w:val="none" w:sz="0" w:space="0" w:color="auto"/>
        <w:right w:val="none" w:sz="0" w:space="0" w:color="auto"/>
      </w:divBdr>
    </w:div>
    <w:div w:id="2068455596">
      <w:bodyDiv w:val="1"/>
      <w:marLeft w:val="0"/>
      <w:marRight w:val="0"/>
      <w:marTop w:val="0"/>
      <w:marBottom w:val="0"/>
      <w:divBdr>
        <w:top w:val="none" w:sz="0" w:space="0" w:color="auto"/>
        <w:left w:val="none" w:sz="0" w:space="0" w:color="auto"/>
        <w:bottom w:val="none" w:sz="0" w:space="0" w:color="auto"/>
        <w:right w:val="none" w:sz="0" w:space="0" w:color="auto"/>
      </w:divBdr>
    </w:div>
    <w:div w:id="2074309601">
      <w:bodyDiv w:val="1"/>
      <w:marLeft w:val="0"/>
      <w:marRight w:val="0"/>
      <w:marTop w:val="0"/>
      <w:marBottom w:val="0"/>
      <w:divBdr>
        <w:top w:val="none" w:sz="0" w:space="0" w:color="auto"/>
        <w:left w:val="none" w:sz="0" w:space="0" w:color="auto"/>
        <w:bottom w:val="none" w:sz="0" w:space="0" w:color="auto"/>
        <w:right w:val="none" w:sz="0" w:space="0" w:color="auto"/>
      </w:divBdr>
    </w:div>
    <w:div w:id="2098282068">
      <w:bodyDiv w:val="1"/>
      <w:marLeft w:val="0"/>
      <w:marRight w:val="0"/>
      <w:marTop w:val="0"/>
      <w:marBottom w:val="0"/>
      <w:divBdr>
        <w:top w:val="none" w:sz="0" w:space="0" w:color="auto"/>
        <w:left w:val="none" w:sz="0" w:space="0" w:color="auto"/>
        <w:bottom w:val="none" w:sz="0" w:space="0" w:color="auto"/>
        <w:right w:val="none" w:sz="0" w:space="0" w:color="auto"/>
      </w:divBdr>
    </w:div>
    <w:div w:id="2123643949">
      <w:bodyDiv w:val="1"/>
      <w:marLeft w:val="0"/>
      <w:marRight w:val="0"/>
      <w:marTop w:val="0"/>
      <w:marBottom w:val="0"/>
      <w:divBdr>
        <w:top w:val="none" w:sz="0" w:space="0" w:color="auto"/>
        <w:left w:val="none" w:sz="0" w:space="0" w:color="auto"/>
        <w:bottom w:val="none" w:sz="0" w:space="0" w:color="auto"/>
        <w:right w:val="none" w:sz="0" w:space="0" w:color="auto"/>
      </w:divBdr>
      <w:divsChild>
        <w:div w:id="1414352781">
          <w:marLeft w:val="0"/>
          <w:marRight w:val="0"/>
          <w:marTop w:val="0"/>
          <w:marBottom w:val="0"/>
          <w:divBdr>
            <w:top w:val="none" w:sz="0" w:space="0" w:color="auto"/>
            <w:left w:val="none" w:sz="0" w:space="0" w:color="auto"/>
            <w:bottom w:val="none" w:sz="0" w:space="0" w:color="auto"/>
            <w:right w:val="none" w:sz="0" w:space="0" w:color="auto"/>
          </w:divBdr>
          <w:divsChild>
            <w:div w:id="1445342600">
              <w:marLeft w:val="0"/>
              <w:marRight w:val="0"/>
              <w:marTop w:val="0"/>
              <w:marBottom w:val="0"/>
              <w:divBdr>
                <w:top w:val="none" w:sz="0" w:space="0" w:color="auto"/>
                <w:left w:val="none" w:sz="0" w:space="0" w:color="auto"/>
                <w:bottom w:val="none" w:sz="0" w:space="0" w:color="auto"/>
                <w:right w:val="none" w:sz="0" w:space="0" w:color="auto"/>
              </w:divBdr>
              <w:divsChild>
                <w:div w:id="483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rdan@lse.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D530-FBD3-9D42-A5C5-994A884F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13190</Words>
  <Characters>75187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DEPARTMENT OF SOCIAL POLICY</vt:lpstr>
    </vt:vector>
  </TitlesOfParts>
  <Company>LSE</Company>
  <LinksUpToDate>false</LinksUpToDate>
  <CharactersWithSpaces>88201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SOCIAL POLICY</dc:title>
  <dc:subject/>
  <dc:creator>hallas</dc:creator>
  <cp:keywords/>
  <dc:description/>
  <cp:lastModifiedBy>Akhadova,R</cp:lastModifiedBy>
  <cp:revision>2</cp:revision>
  <cp:lastPrinted>2018-05-31T13:02:00Z</cp:lastPrinted>
  <dcterms:created xsi:type="dcterms:W3CDTF">2022-05-31T10:54:00Z</dcterms:created>
  <dcterms:modified xsi:type="dcterms:W3CDTF">2022-05-31T10:54:00Z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29458a5c-8818-318a-ae71-ee5070396e6e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