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815F0" w14:textId="10618F13" w:rsidR="00BC2DA7" w:rsidRDefault="00BC2DA7" w:rsidP="009B24B5">
      <w:pPr>
        <w:pStyle w:val="Articletitle"/>
      </w:pPr>
    </w:p>
    <w:p w14:paraId="09BA8048" w14:textId="6BE866E4" w:rsidR="00BC2DA7" w:rsidRDefault="00BC2DA7" w:rsidP="00BC2DA7"/>
    <w:p w14:paraId="4DC03821" w14:textId="77777777" w:rsidR="00BC2DA7" w:rsidRPr="00BC2DA7" w:rsidRDefault="00BC2DA7" w:rsidP="00BC2DA7"/>
    <w:p w14:paraId="4738708F" w14:textId="77777777" w:rsidR="00BC2DA7" w:rsidRDefault="00BC2DA7" w:rsidP="009B24B5">
      <w:pPr>
        <w:pStyle w:val="Articletitle"/>
      </w:pPr>
    </w:p>
    <w:p w14:paraId="3CC46C75" w14:textId="77777777" w:rsidR="00BC2DA7" w:rsidRDefault="00BC2DA7" w:rsidP="009B24B5">
      <w:pPr>
        <w:pStyle w:val="Articletitle"/>
      </w:pPr>
    </w:p>
    <w:p w14:paraId="76CB4F8D" w14:textId="57EF4466" w:rsidR="00A803B0" w:rsidRDefault="00A803B0" w:rsidP="0072690F">
      <w:pPr>
        <w:pStyle w:val="Articletitle"/>
        <w:jc w:val="center"/>
      </w:pPr>
      <w:r w:rsidRPr="006D0866">
        <w:t>Remittances, Monetary Institutions, and Autocracies</w:t>
      </w:r>
    </w:p>
    <w:p w14:paraId="5AFA2080" w14:textId="3BB8D4FE" w:rsidR="00266354" w:rsidRDefault="00A803B0" w:rsidP="006D0866">
      <w:pPr>
        <w:pStyle w:val="Abstract"/>
        <w:jc w:val="both"/>
      </w:pPr>
      <w:r w:rsidRPr="000C55AA">
        <w:rPr>
          <w:shd w:val="clear" w:color="auto" w:fill="FFFFFF"/>
          <w:lang w:eastAsia="es-ES"/>
        </w:rPr>
        <w:t>How do remittances affect the choice of exchange rate regimes? Previous research</w:t>
      </w:r>
      <w:r w:rsidRPr="00CB4FCD">
        <w:rPr>
          <w:shd w:val="clear" w:color="auto" w:fill="FFFFFF"/>
          <w:lang w:eastAsia="es-ES"/>
        </w:rPr>
        <w:t xml:space="preserve"> shows that remitta</w:t>
      </w:r>
      <w:r>
        <w:rPr>
          <w:shd w:val="clear" w:color="auto" w:fill="FFFFFF"/>
          <w:lang w:eastAsia="es-ES"/>
        </w:rPr>
        <w:t>nces, by easing the “impossible trinity”,</w:t>
      </w:r>
      <w:r w:rsidRPr="00CB4FCD">
        <w:rPr>
          <w:shd w:val="clear" w:color="auto" w:fill="FFFFFF"/>
          <w:lang w:eastAsia="es-ES"/>
        </w:rPr>
        <w:t xml:space="preserve"> increase the probability of governments adopting fixed exchange rates. However, that research overlooks the conditioning effect of monetary and political institutions. We argue that remittances, by altering recipient governments’ incentives to use monetary policy counter-cyclically, make central bank independence a credible anti-inflationary tool in less credible </w:t>
      </w:r>
      <w:r w:rsidRPr="00CB4FCD">
        <w:rPr>
          <w:rFonts w:eastAsiaTheme="minorEastAsia"/>
          <w:color w:val="000000"/>
          <w:lang w:eastAsia="ja-JP"/>
        </w:rPr>
        <w:t>regimes</w:t>
      </w:r>
      <w:r w:rsidR="00B27D07">
        <w:rPr>
          <w:rFonts w:eastAsiaTheme="minorEastAsia"/>
          <w:color w:val="000000"/>
          <w:lang w:eastAsia="ja-JP"/>
        </w:rPr>
        <w:t>;</w:t>
      </w:r>
      <w:r w:rsidRPr="00CB4FCD">
        <w:rPr>
          <w:rFonts w:eastAsiaTheme="minorEastAsia"/>
          <w:color w:val="000000"/>
          <w:lang w:eastAsia="ja-JP"/>
        </w:rPr>
        <w:t xml:space="preserve"> that is, </w:t>
      </w:r>
      <w:r w:rsidRPr="00CB4FCD">
        <w:rPr>
          <w:shd w:val="clear" w:color="auto" w:fill="FFFFFF"/>
          <w:lang w:eastAsia="es-ES"/>
        </w:rPr>
        <w:t>autocracies. Thus, autocracies that receive remittances do not need to rely on fixed exchange rates</w:t>
      </w:r>
      <w:r w:rsidRPr="00CA7EFE">
        <w:rPr>
          <w:shd w:val="clear" w:color="auto" w:fill="FFFFFF"/>
          <w:lang w:eastAsia="es-ES"/>
        </w:rPr>
        <w:t>. In this way, remittances</w:t>
      </w:r>
      <w:r>
        <w:rPr>
          <w:shd w:val="clear" w:color="auto" w:fill="FFFFFF"/>
          <w:lang w:eastAsia="es-ES"/>
        </w:rPr>
        <w:t xml:space="preserve"> open policy alternatives </w:t>
      </w:r>
      <w:r w:rsidR="00B27D07">
        <w:rPr>
          <w:shd w:val="clear" w:color="auto" w:fill="FFFFFF"/>
          <w:lang w:eastAsia="es-ES"/>
        </w:rPr>
        <w:t xml:space="preserve">for </w:t>
      </w:r>
      <w:r>
        <w:rPr>
          <w:shd w:val="clear" w:color="auto" w:fill="FFFFFF"/>
          <w:lang w:eastAsia="es-ES"/>
        </w:rPr>
        <w:t xml:space="preserve">developing autocracies. </w:t>
      </w:r>
      <w:r w:rsidRPr="00CB4FCD">
        <w:rPr>
          <w:shd w:val="clear" w:color="auto" w:fill="FFFFFF"/>
          <w:lang w:eastAsia="es-ES"/>
        </w:rPr>
        <w:t xml:space="preserve">Statistical tests on a sample of </w:t>
      </w:r>
      <w:r w:rsidR="004E1988" w:rsidRPr="00BB6A07">
        <w:rPr>
          <w:shd w:val="clear" w:color="auto" w:fill="FFFFFF"/>
          <w:lang w:eastAsia="es-ES"/>
        </w:rPr>
        <w:t>87</w:t>
      </w:r>
      <w:r w:rsidRPr="00BB6A07">
        <w:rPr>
          <w:shd w:val="clear" w:color="auto" w:fill="FFFFFF"/>
          <w:lang w:eastAsia="es-ES"/>
        </w:rPr>
        <w:t xml:space="preserve"> developing</w:t>
      </w:r>
      <w:r w:rsidR="004E1988" w:rsidRPr="00BB6A07">
        <w:rPr>
          <w:shd w:val="clear" w:color="auto" w:fill="FFFFFF"/>
          <w:lang w:eastAsia="es-ES"/>
        </w:rPr>
        <w:t xml:space="preserve"> </w:t>
      </w:r>
      <w:r w:rsidR="008C4FBA" w:rsidRPr="00BB6A07">
        <w:rPr>
          <w:shd w:val="clear" w:color="auto" w:fill="FFFFFF"/>
          <w:lang w:eastAsia="es-ES"/>
        </w:rPr>
        <w:t xml:space="preserve">and transition </w:t>
      </w:r>
      <w:r w:rsidR="004E1988" w:rsidRPr="00BB6A07">
        <w:rPr>
          <w:shd w:val="clear" w:color="auto" w:fill="FFFFFF"/>
          <w:lang w:eastAsia="es-ES"/>
        </w:rPr>
        <w:t>countries between 1980 and 2010</w:t>
      </w:r>
      <w:r w:rsidRPr="00BB6A07">
        <w:rPr>
          <w:shd w:val="clear" w:color="auto" w:fill="FFFFFF"/>
          <w:lang w:eastAsia="es-ES"/>
        </w:rPr>
        <w:t xml:space="preserve"> support our argument.</w:t>
      </w:r>
    </w:p>
    <w:p w14:paraId="48BDC7A9" w14:textId="60FB8D1D" w:rsidR="0020415E" w:rsidRDefault="00997B0F" w:rsidP="006D0866">
      <w:pPr>
        <w:pStyle w:val="Keywords"/>
        <w:jc w:val="both"/>
      </w:pPr>
      <w:r w:rsidRPr="00F5230E">
        <w:rPr>
          <w:i/>
        </w:rPr>
        <w:t>Keywords</w:t>
      </w:r>
      <w:r>
        <w:t xml:space="preserve">: </w:t>
      </w:r>
      <w:r w:rsidR="00A803B0">
        <w:t>remittances; central bank independence; exchange rate regimes; autocracies; developing countries.</w:t>
      </w:r>
    </w:p>
    <w:p w14:paraId="2D61762B" w14:textId="3F80D151" w:rsidR="00BC2DA7" w:rsidRDefault="00BC2DA7">
      <w:pPr>
        <w:spacing w:line="240" w:lineRule="auto"/>
      </w:pPr>
      <w:r>
        <w:br w:type="page"/>
      </w:r>
    </w:p>
    <w:p w14:paraId="52E7DA7B" w14:textId="2E25AC3C" w:rsidR="00997B0F" w:rsidRDefault="00A803B0" w:rsidP="00106DAF">
      <w:pPr>
        <w:pStyle w:val="Heading1"/>
      </w:pPr>
      <w:r w:rsidRPr="00CB4FCD">
        <w:rPr>
          <w:szCs w:val="24"/>
        </w:rPr>
        <w:lastRenderedPageBreak/>
        <w:t>Introduction</w:t>
      </w:r>
    </w:p>
    <w:p w14:paraId="23B5720F" w14:textId="3CCFF921" w:rsidR="00997B0F" w:rsidRDefault="00A803B0" w:rsidP="00CF0A1B">
      <w:pPr>
        <w:pStyle w:val="Paragraph"/>
      </w:pPr>
      <w:r w:rsidRPr="00CB4FCD">
        <w:t xml:space="preserve">In 2016, expatriates sent back home 429 billion dollars, </w:t>
      </w:r>
      <w:r w:rsidRPr="00CB4FCD">
        <w:rPr>
          <w:lang w:eastAsia="es-ES"/>
        </w:rPr>
        <w:t xml:space="preserve">second only to foreign direct investment as a source of foreign income for developing countries </w:t>
      </w:r>
      <w:r w:rsidRPr="00CB4FCD">
        <w:rPr>
          <w:lang w:eastAsia="es-ES"/>
        </w:rPr>
        <w:fldChar w:fldCharType="begin"/>
      </w:r>
      <w:r w:rsidRPr="00CB4FCD">
        <w:rPr>
          <w:lang w:eastAsia="es-ES"/>
        </w:rPr>
        <w:instrText xml:space="preserve"> ADDIN EN.CITE &lt;EndNote&gt;&lt;Cite&gt;&lt;Author&gt;World Bank&lt;/Author&gt;&lt;Year&gt;2017&lt;/Year&gt;&lt;RecNum&gt;3906&lt;/RecNum&gt;&lt;DisplayText&gt;(World Bank, 2017)&lt;/DisplayText&gt;&lt;record&gt;&lt;rec-number&gt;3906&lt;/rec-number&gt;&lt;foreign-keys&gt;&lt;key app="EN" db-id="wxw9eet5tpa22ve22arv5vv0ttr2rawvxwwp" timestamp="1494609792"&gt;3906&lt;/key&gt;&lt;/foreign-keys&gt;&lt;ref-type name="Web Page"&gt;12&lt;/ref-type&gt;&lt;contributors&gt;&lt;authors&gt;&lt;author&gt;World Bank,&lt;/author&gt;&lt;/authors&gt;&lt;/contributors&gt;&lt;titles&gt;&lt;title&gt;Trends in Migration and Remittances&lt;/title&gt;&lt;/titles&gt;&lt;volume&gt;2017&lt;/volume&gt;&lt;number&gt;May 12, 2017&lt;/number&gt;&lt;dates&gt;&lt;year&gt;2017&lt;/year&gt;&lt;/dates&gt;&lt;urls&gt;&lt;related-urls&gt;&lt;url&gt;http://www.worldbank.org/en/news/infographic/2017/04/21/trends-in-migration-and-remittances-2017&lt;/url&gt;&lt;/related-urls&gt;&lt;/urls&gt;&lt;/record&gt;&lt;/Cite&gt;&lt;/EndNote&gt;</w:instrText>
      </w:r>
      <w:r w:rsidRPr="00CB4FCD">
        <w:rPr>
          <w:lang w:eastAsia="es-ES"/>
        </w:rPr>
        <w:fldChar w:fldCharType="separate"/>
      </w:r>
      <w:r w:rsidRPr="00CB4FCD">
        <w:rPr>
          <w:noProof/>
          <w:lang w:eastAsia="es-ES"/>
        </w:rPr>
        <w:t>(World Bank, 2017)</w:t>
      </w:r>
      <w:r w:rsidRPr="00CB4FCD">
        <w:rPr>
          <w:lang w:eastAsia="es-ES"/>
        </w:rPr>
        <w:fldChar w:fldCharType="end"/>
      </w:r>
      <w:r w:rsidRPr="00CB4FCD">
        <w:rPr>
          <w:lang w:eastAsia="es-ES"/>
        </w:rPr>
        <w:t>.</w:t>
      </w:r>
      <w:r w:rsidR="00FB6B17">
        <w:rPr>
          <w:lang w:eastAsia="es-ES"/>
        </w:rPr>
        <w:t xml:space="preserve"> The magnitude of these </w:t>
      </w:r>
      <w:r w:rsidRPr="00CB4FCD">
        <w:rPr>
          <w:lang w:eastAsia="es-ES"/>
        </w:rPr>
        <w:t xml:space="preserve">flows and their stability relative to other private capital inflows, justify the </w:t>
      </w:r>
      <w:r w:rsidRPr="00CB4FCD">
        <w:t xml:space="preserve">growing interest in understanding the political and economic consequences of remittances </w:t>
      </w:r>
      <w:r w:rsidRPr="00CB4FCD">
        <w:fldChar w:fldCharType="begin"/>
      </w:r>
      <w:r w:rsidR="00AC132B">
        <w:instrText xml:space="preserve"> ADDIN EN.CITE &lt;EndNote&gt;&lt;Cite&gt;&lt;Author&gt;World Bank&lt;/Author&gt;&lt;Year&gt;2006&lt;/Year&gt;&lt;RecNum&gt;3676&lt;/RecNum&gt;&lt;DisplayText&gt;(Combes, Ebeke, &amp;amp; Maurel, 2015; World Bank, 2006)&lt;/DisplayText&gt;&lt;record&gt;&lt;rec-number&gt;3676&lt;/rec-number&gt;&lt;foreign-keys&gt;&lt;key app="EN" db-id="wxw9eet5tpa22ve22arv5vv0ttr2rawvxwwp" timestamp="1472010093"&gt;3676&lt;/key&gt;&lt;/foreign-keys&gt;&lt;ref-type name="Report"&gt;27&lt;/ref-type&gt;&lt;contributors&gt;&lt;authors&gt;&lt;author&gt;World Bank,&lt;/author&gt;&lt;/authors&gt;&lt;/contributors&gt;&lt;titles&gt;&lt;title&gt;Global  Economic  Prospects:  Economic  Implications  of  Remittances  and  Migration&lt;/title&gt;&lt;/titles&gt;&lt;dates&gt;&lt;year&gt;2006&lt;/year&gt;&lt;/dates&gt;&lt;pub-location&gt;Washington, D.C.&lt;/pub-location&gt;&lt;publisher&gt;International Monetary Fund&lt;/publisher&gt;&lt;urls&gt;&lt;/urls&gt;&lt;/record&gt;&lt;/Cite&gt;&lt;Cite&gt;&lt;Author&gt;Combes&lt;/Author&gt;&lt;Year&gt;2015&lt;/Year&gt;&lt;RecNum&gt;4192&lt;/RecNum&gt;&lt;record&gt;&lt;rec-number&gt;4192&lt;/rec-number&gt;&lt;foreign-keys&gt;&lt;key app="EN" db-id="wxw9eet5tpa22ve22arv5vv0ttr2rawvxwwp" timestamp="1527699797"&gt;4192&lt;/key&gt;&lt;/foreign-keys&gt;&lt;ref-type name="Journal Article"&gt;17&lt;/ref-type&gt;&lt;contributors&gt;&lt;authors&gt;&lt;author&gt;Combes, Jean-Louis&lt;/author&gt;&lt;author&gt;Ebeke, Christian&lt;/author&gt;&lt;author&gt;Maurel, Mathilde&lt;/author&gt;&lt;/authors&gt;&lt;/contributors&gt;&lt;titles&gt;&lt;title&gt;The Effect of Remittances Prior to an Election&lt;/title&gt;&lt;secondary-title&gt;Applied Economics&lt;/secondary-title&gt;&lt;/titles&gt;&lt;periodical&gt;&lt;full-title&gt;Applied Economics&lt;/full-title&gt;&lt;/periodical&gt;&lt;pages&gt;4074-4089&lt;/pages&gt;&lt;volume&gt;47&lt;/volume&gt;&lt;number&gt;38&lt;/number&gt;&lt;dates&gt;&lt;year&gt;2015&lt;/year&gt;&lt;pub-dates&gt;&lt;date&gt;2015/08/15&lt;/date&gt;&lt;/pub-dates&gt;&lt;/dates&gt;&lt;publisher&gt;Routledge&lt;/publisher&gt;&lt;isbn&gt;0003-6846&lt;/isbn&gt;&lt;urls&gt;&lt;related-urls&gt;&lt;url&gt;https://doi.org/10.1080/00036846.2015.1023945&lt;/url&gt;&lt;/related-urls&gt;&lt;/urls&gt;&lt;electronic-resource-num&gt;10.1080/00036846.2015.1023945&lt;/electronic-resource-num&gt;&lt;/record&gt;&lt;/Cite&gt;&lt;/EndNote&gt;</w:instrText>
      </w:r>
      <w:r w:rsidRPr="00CB4FCD">
        <w:fldChar w:fldCharType="separate"/>
      </w:r>
      <w:r w:rsidR="00AC132B">
        <w:rPr>
          <w:noProof/>
        </w:rPr>
        <w:t>(Combes, Ebeke, &amp; Maurel, 2015; World Bank, 2006)</w:t>
      </w:r>
      <w:r w:rsidRPr="00CB4FCD">
        <w:fldChar w:fldCharType="end"/>
      </w:r>
      <w:r w:rsidRPr="00CB4FCD">
        <w:t xml:space="preserve">. Recent research sheds light on some effects of remittances on domestic and global governance, in issues that range from moral hazard </w:t>
      </w:r>
      <w:r w:rsidRPr="00CB4FCD">
        <w:fldChar w:fldCharType="begin"/>
      </w:r>
      <w:r w:rsidRPr="00CB4FCD">
        <w:instrText xml:space="preserve"> ADDIN EN.CITE &lt;EndNote&gt;&lt;Cite&gt;&lt;Author&gt;Ebeke&lt;/Author&gt;&lt;Year&gt;2012&lt;/Year&gt;&lt;RecNum&gt;3911&lt;/RecNum&gt;&lt;DisplayText&gt;(Ebeke, 2012)&lt;/DisplayText&gt;&lt;record&gt;&lt;rec-number&gt;3911&lt;/rec-number&gt;&lt;foreign-keys&gt;&lt;key app="EN" db-id="wxw9eet5tpa22ve22arv5vv0ttr2rawvxwwp" timestamp="1494611399"&gt;3911&lt;/key&gt;&lt;/foreign-keys&gt;&lt;ref-type name="Journal Article"&gt;17&lt;/ref-type&gt;&lt;contributors&gt;&lt;authors&gt;&lt;author&gt;Ebeke, Christian Hubert&lt;/author&gt;&lt;/authors&gt;&lt;/contributors&gt;&lt;titles&gt;&lt;title&gt;Do Remittances Lead to a Public Moral Hazard in Developing Countries? An Empirical Investigation&lt;/title&gt;&lt;secondary-title&gt;The Journal of Development Studies&lt;/secondary-title&gt;&lt;/titles&gt;&lt;periodical&gt;&lt;full-title&gt;The Journal of Development Studies&lt;/full-title&gt;&lt;/periodical&gt;&lt;pages&gt;1009-1025&lt;/pages&gt;&lt;volume&gt;48&lt;/volume&gt;&lt;number&gt;8&lt;/number&gt;&lt;dates&gt;&lt;year&gt;2012&lt;/year&gt;&lt;pub-dates&gt;&lt;date&gt;2012/08/01&lt;/date&gt;&lt;/pub-dates&gt;&lt;/dates&gt;&lt;publisher&gt;Routledge&lt;/publisher&gt;&lt;isbn&gt;0022-0388&lt;/isbn&gt;&lt;urls&gt;&lt;related-urls&gt;&lt;url&gt;http://dx.doi.org/10.1080/00220388.2011.615918&lt;/url&gt;&lt;/related-urls&gt;&lt;/urls&gt;&lt;electronic-resource-num&gt;10.1080/00220388.2011.615918&lt;/electronic-resource-num&gt;&lt;/record&gt;&lt;/Cite&gt;&lt;/EndNote&gt;</w:instrText>
      </w:r>
      <w:r w:rsidRPr="00CB4FCD">
        <w:fldChar w:fldCharType="separate"/>
      </w:r>
      <w:r w:rsidRPr="00CB4FCD">
        <w:rPr>
          <w:noProof/>
        </w:rPr>
        <w:t>(Ebeke, 2012)</w:t>
      </w:r>
      <w:r w:rsidRPr="00CB4FCD">
        <w:fldChar w:fldCharType="end"/>
      </w:r>
      <w:r w:rsidRPr="00CB4FCD">
        <w:t xml:space="preserve"> to corruption </w:t>
      </w:r>
      <w:r w:rsidRPr="00CB4FCD">
        <w:fldChar w:fldCharType="begin">
          <w:fldData xml:space="preserve">PEVuZE5vdGU+PENpdGU+PEF1dGhvcj5UeWJ1cnNraTwvQXV0aG9yPjxZZWFyPjIwMTI8L1llYXI+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</w:fldData>
        </w:fldChar>
      </w:r>
      <w:r>
        <w:instrText xml:space="preserve"> ADDIN EN.CITE </w:instrText>
      </w:r>
      <w:r>
        <w:fldChar w:fldCharType="begin">
          <w:fldData xml:space="preserve">PEVuZE5vdGU+PENpdGU+PEF1dGhvcj5UeWJ1cnNraTwvQXV0aG9yPjxZZWFyPjIwMTI8L1llYXI+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</w:fldData>
        </w:fldChar>
      </w:r>
      <w:r>
        <w:instrText xml:space="preserve"> ADDIN EN.CITE.DATA </w:instrText>
      </w:r>
      <w:r>
        <w:fldChar w:fldCharType="end"/>
      </w:r>
      <w:r w:rsidRPr="00CB4FCD">
        <w:fldChar w:fldCharType="separate"/>
      </w:r>
      <w:r>
        <w:rPr>
          <w:noProof/>
        </w:rPr>
        <w:t>(Abdih, Chami, Dagher, &amp; Montiel, 2012; Tyburski, 2012, 2014)</w:t>
      </w:r>
      <w:r w:rsidRPr="00CB4FCD">
        <w:fldChar w:fldCharType="end"/>
      </w:r>
      <w:r w:rsidRPr="00CB4FCD">
        <w:t xml:space="preserve">, foreign aid policy choices </w:t>
      </w:r>
      <w:r w:rsidRPr="00CB4FCD">
        <w:fldChar w:fldCharType="begin"/>
      </w:r>
      <w:r>
        <w:instrText xml:space="preserve"> ADDIN EN.CITE &lt;EndNote&gt;&lt;Cite&gt;&lt;Author&gt;Bermeo&lt;/Author&gt;&lt;Year&gt;2015&lt;/Year&gt;&lt;RecNum&gt;3905&lt;/RecNum&gt;&lt;DisplayText&gt;(Bermeo &amp;amp; Leblang, 2015)&lt;/DisplayText&gt;&lt;record&gt;&lt;rec-number&gt;3905&lt;/rec-number&gt;&lt;foreign-keys&gt;&lt;key app="EN" db-id="wxw9eet5tpa22ve22arv5vv0ttr2rawvxwwp" timestamp="1494608129"&gt;3905&lt;/key&gt;&lt;/foreign-keys&gt;&lt;ref-type name="Journal Article"&gt;17&lt;/ref-type&gt;&lt;contributors&gt;&lt;authors&gt;&lt;author&gt;Bermeo, Sarah Blodgett&lt;/author&gt;&lt;author&gt;Leblang, David&lt;/author&gt;&lt;/authors&gt;&lt;/contributors&gt;&lt;titles&gt;&lt;title&gt;Migration and Foreign Aid&lt;/title&gt;&lt;secondary-title&gt;International Organization&lt;/secondary-title&gt;&lt;/titles&gt;&lt;periodical&gt;&lt;full-title&gt;International Organization&lt;/full-title&gt;&lt;abbr-1&gt;IO&lt;/abbr-1&gt;&lt;/periodical&gt;&lt;pages&gt;627-657&lt;/pages&gt;&lt;volume&gt;69&lt;/volume&gt;&lt;number&gt;3&lt;/number&gt;&lt;edition&gt;05/20&lt;/edition&gt;&lt;dates&gt;&lt;year&gt;2015&lt;/year&gt;&lt;/dates&gt;&lt;publisher&gt;Cambridge University Press&lt;/publisher&gt;&lt;isbn&gt;0020-8183&lt;/isbn&gt;&lt;urls&gt;&lt;related-urls&gt;&lt;url&gt;https://www.cambridge.org/core/article/migration-and-foreign-aid/3ABECDC0D0EC0C885B9739EB738C85AD&lt;/url&gt;&lt;/related-urls&gt;&lt;/urls&gt;&lt;electronic-resource-num&gt;10.1017/S0020818315000119&lt;/electronic-resource-num&gt;&lt;remote-database-name&gt;Cambridge Core&lt;/remote-database-name&gt;&lt;remote-database-provider&gt;Cambridge University Press&lt;/remote-database-provider&gt;&lt;/record&gt;&lt;/Cite&gt;&lt;/EndNote&gt;</w:instrText>
      </w:r>
      <w:r w:rsidRPr="00CB4FCD">
        <w:fldChar w:fldCharType="separate"/>
      </w:r>
      <w:r>
        <w:rPr>
          <w:noProof/>
        </w:rPr>
        <w:t>(Bermeo &amp; Leblang, 2015)</w:t>
      </w:r>
      <w:r w:rsidRPr="00CB4FCD">
        <w:fldChar w:fldCharType="end"/>
      </w:r>
      <w:r w:rsidRPr="00CB4FCD">
        <w:t xml:space="preserve">, and foreign direct investment </w:t>
      </w:r>
      <w:r w:rsidRPr="00CB4FCD">
        <w:fldChar w:fldCharType="begin"/>
      </w:r>
      <w:r w:rsidRPr="00CB4FCD">
        <w:instrText xml:space="preserve"> ADDIN EN.CITE &lt;EndNote&gt;&lt;Cite&gt;&lt;Author&gt;Leblang&lt;/Author&gt;&lt;Year&gt;2010&lt;/Year&gt;&lt;RecNum&gt;3020&lt;/RecNum&gt;&lt;DisplayText&gt;(Leblang, 2010)&lt;/DisplayText&gt;&lt;record&gt;&lt;rec-number&gt;3020&lt;/rec-number&gt;&lt;foreign-keys&gt;&lt;key app="EN" db-id="wxw9eet5tpa22ve22arv5vv0ttr2rawvxwwp" timestamp="0"&gt;3020&lt;/key&gt;&lt;/foreign-keys&gt;&lt;ref-type name="Journal Article"&gt;17&lt;/ref-type&gt;&lt;contributors&gt;&lt;authors&gt;&lt;author&gt;Leblang, David&lt;/author&gt;&lt;/authors&gt;&lt;/contributors&gt;&lt;titles&gt;&lt;title&gt;Familiarity Breeds Investment: Diaspora Networks and International Investment&lt;/title&gt;&lt;secondary-title&gt;American Political Science Review&lt;/secondary-title&gt;&lt;/titles&gt;&lt;periodical&gt;&lt;full-title&gt;American Political Science Review&lt;/full-title&gt;&lt;abbr-1&gt;APSR&lt;/abbr-1&gt;&lt;/periodical&gt;&lt;pages&gt;584-600&lt;/pages&gt;&lt;volume&gt;104&lt;/volume&gt;&lt;number&gt;3&lt;/number&gt;&lt;dates&gt;&lt;year&gt;2010&lt;/year&gt;&lt;/dates&gt;&lt;urls&gt;&lt;/urls&gt;&lt;/record&gt;&lt;/Cite&gt;&lt;/EndNote&gt;</w:instrText>
      </w:r>
      <w:r w:rsidRPr="00CB4FCD">
        <w:fldChar w:fldCharType="separate"/>
      </w:r>
      <w:r w:rsidRPr="00CB4FCD">
        <w:rPr>
          <w:noProof/>
        </w:rPr>
        <w:t>(Leblang, 2010)</w:t>
      </w:r>
      <w:r w:rsidRPr="00CB4FCD">
        <w:fldChar w:fldCharType="end"/>
      </w:r>
      <w:r w:rsidRPr="00CB4FCD">
        <w:t>.</w:t>
      </w:r>
      <w:r>
        <w:t xml:space="preserve"> </w:t>
      </w:r>
      <w:r w:rsidRPr="00CA7EFE">
        <w:t>However, we know less about the effect of remittances on</w:t>
      </w:r>
      <w:r w:rsidR="00156C09">
        <w:t xml:space="preserve"> the choice of</w:t>
      </w:r>
      <w:r w:rsidRPr="00CA7EFE">
        <w:t xml:space="preserve"> exchange rate regimes.</w:t>
      </w:r>
    </w:p>
    <w:p w14:paraId="7EA0FABD" w14:textId="24271D40" w:rsidR="00A803B0" w:rsidRPr="00CB4FCD" w:rsidRDefault="006D0866" w:rsidP="00A803B0">
      <w:pPr>
        <w:ind w:firstLine="708"/>
        <w:jc w:val="both"/>
      </w:pPr>
      <w:proofErr w:type="gramStart"/>
      <w:r>
        <w:t>An</w:t>
      </w:r>
      <w:proofErr w:type="gramEnd"/>
      <w:r>
        <w:t xml:space="preserve"> </w:t>
      </w:r>
      <w:r w:rsidR="00CC450E">
        <w:t xml:space="preserve">significant body of </w:t>
      </w:r>
      <w:r>
        <w:t>literature analys</w:t>
      </w:r>
      <w:r w:rsidR="00B00F9B">
        <w:t>es how financial internationalis</w:t>
      </w:r>
      <w:r w:rsidR="00A803B0" w:rsidRPr="00CB4FCD">
        <w:t xml:space="preserve">ation and capital movements may </w:t>
      </w:r>
      <w:r w:rsidR="00A803B0" w:rsidRPr="00CB4FCD">
        <w:rPr>
          <w:i/>
        </w:rPr>
        <w:t>constrain</w:t>
      </w:r>
      <w:r w:rsidR="00A803B0" w:rsidRPr="00CB4FCD">
        <w:t xml:space="preserve"> domestic policy options </w:t>
      </w:r>
      <w:r w:rsidR="00A803B0" w:rsidRPr="00CA7EFE">
        <w:fldChar w:fldCharType="begin">
          <w:fldData xml:space="preserve">PEVuZE5vdGU+PENpdGU+PEF1dGhvcj5HYXJyZXR0PC9BdXRob3I+PFllYXI+MTk5MTwvWWVhcj48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</w:fldData>
        </w:fldChar>
      </w:r>
      <w:r w:rsidR="00A803B0">
        <w:instrText xml:space="preserve"> ADDIN EN.CITE </w:instrText>
      </w:r>
      <w:r w:rsidR="00A803B0">
        <w:fldChar w:fldCharType="begin">
          <w:fldData xml:space="preserve">PEVuZE5vdGU+PENpdGU+PEF1dGhvcj5HYXJyZXR0PC9BdXRob3I+PFllYXI+MTk5MTwvWWVhcj48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</w:fldData>
        </w:fldChar>
      </w:r>
      <w:r w:rsidR="00A803B0">
        <w:instrText xml:space="preserve"> ADDIN EN.CITE.DATA </w:instrText>
      </w:r>
      <w:r w:rsidR="00A803B0">
        <w:fldChar w:fldCharType="end"/>
      </w:r>
      <w:r w:rsidR="00A803B0" w:rsidRPr="00CA7EFE">
        <w:fldChar w:fldCharType="separate"/>
      </w:r>
      <w:r w:rsidR="00A803B0">
        <w:rPr>
          <w:noProof/>
        </w:rPr>
        <w:t>(Dion, 2009; Garrett &amp; Lange, 1991; Rudra, 2002)</w:t>
      </w:r>
      <w:r w:rsidR="00A803B0" w:rsidRPr="00CA7EFE">
        <w:fldChar w:fldCharType="end"/>
      </w:r>
      <w:r w:rsidR="00A803B0" w:rsidRPr="00CA7EFE">
        <w:t>. In contrast,</w:t>
      </w:r>
      <w:r w:rsidR="00A803B0" w:rsidRPr="00CA7EFE">
        <w:rPr>
          <w:color w:val="FF0000"/>
        </w:rPr>
        <w:t xml:space="preserve"> </w:t>
      </w:r>
      <w:r w:rsidR="00A803B0" w:rsidRPr="00CA7EFE">
        <w:t>this paper</w:t>
      </w:r>
      <w:r w:rsidR="00A803B0" w:rsidRPr="00CB4FCD">
        <w:t xml:space="preserve"> shows ways in which remittances may make certa</w:t>
      </w:r>
      <w:r w:rsidR="00A803B0">
        <w:t>in policy options available in</w:t>
      </w:r>
      <w:r w:rsidR="00A803B0" w:rsidRPr="00CB4FCD">
        <w:t xml:space="preserve"> institutional contexts</w:t>
      </w:r>
      <w:r w:rsidR="00A803B0">
        <w:t xml:space="preserve"> often encountered in developing countries</w:t>
      </w:r>
      <w:r w:rsidR="00A803B0" w:rsidRPr="00CB4FCD">
        <w:t xml:space="preserve">. </w:t>
      </w:r>
      <w:r w:rsidR="00A803B0" w:rsidRPr="000D76EE">
        <w:t>In particular, we study the effect of remittances on the choice of exchange rate regimes, a</w:t>
      </w:r>
      <w:r w:rsidR="00A803B0" w:rsidRPr="00CB4FCD">
        <w:t xml:space="preserve"> policy with profound repercussions both on countries’ domestic econom</w:t>
      </w:r>
      <w:r w:rsidR="00A936EB">
        <w:t>ies</w:t>
      </w:r>
      <w:r w:rsidR="00A803B0" w:rsidRPr="00CB4FCD">
        <w:t xml:space="preserve"> and their foreign economic relations </w:t>
      </w:r>
      <w:r w:rsidR="00A803B0" w:rsidRPr="00CB4FCD">
        <w:fldChar w:fldCharType="begin"/>
      </w:r>
      <w:r w:rsidR="00A803B0" w:rsidRPr="00CB4FCD">
        <w:instrText xml:space="preserve"> ADDIN EN.CITE &lt;EndNote&gt;&lt;Cite&gt;&lt;Author&gt;Frieden&lt;/Author&gt;&lt;Year&gt;2015&lt;/Year&gt;&lt;RecNum&gt;3727&lt;/RecNum&gt;&lt;DisplayText&gt;(Frieden, 1991, 2015)&lt;/DisplayText&gt;&lt;record&gt;&lt;rec-number&gt;3727&lt;/rec-number&gt;&lt;foreign-keys&gt;&lt;key app="EN" db-id="wxw9eet5tpa22ve22arv5vv0ttr2rawvxwwp" timestamp="1476805364"&gt;3727&lt;/key&gt;&lt;/foreign-keys&gt;&lt;ref-type name="Book"&gt;6&lt;/ref-type&gt;&lt;contributors&gt;&lt;authors&gt;&lt;author&gt;Frieden, Jeffry A.&lt;/author&gt;&lt;/authors&gt;&lt;/contributors&gt;&lt;titles&gt;&lt;title&gt;Currency Politics: The Political Economy of Exchange Rate Policy&lt;/title&gt;&lt;/titles&gt;&lt;dates&gt;&lt;year&gt;2015&lt;/year&gt;&lt;/dates&gt;&lt;pub-location&gt;Princeton, NJ&lt;/pub-location&gt;&lt;publisher&gt;Princeton University Press&lt;/publisher&gt;&lt;isbn&gt;9781400865345&lt;/isbn&gt;&lt;urls&gt;&lt;related-urls&gt;&lt;url&gt;https://books.google.com.mx/books?id=IKWaBAAAQBAJ&lt;/url&gt;&lt;/related-urls&gt;&lt;/urls&gt;&lt;/record&gt;&lt;/Cite&gt;&lt;Cite&gt;&lt;Author&gt;Frieden&lt;/Author&gt;&lt;Year&gt;1991&lt;/Year&gt;&lt;RecNum&gt;813&lt;/RecNum&gt;&lt;record&gt;&lt;rec-number&gt;813&lt;/rec-number&gt;&lt;foreign-keys&gt;&lt;key app="EN" db-id="wxw9eet5tpa22ve22arv5vv0ttr2rawvxwwp" timestamp="0"&gt;813&lt;/key&gt;&lt;/foreign-keys&gt;&lt;ref-type name="Journal Article"&gt;17&lt;/ref-type&gt;&lt;contributors&gt;&lt;authors&gt;&lt;author&gt;Jeffry A. Frieden &lt;/author&gt;&lt;/authors&gt;&lt;/contributors&gt;&lt;titles&gt;&lt;title&gt;Invested Interests: The Politics of National Economic Policies in a World of Global Finance&lt;/title&gt;&lt;secondary-title&gt;International Organization&lt;/secondary-title&gt;&lt;/titles&gt;&lt;periodical&gt;&lt;full-title&gt;International Organization&lt;/full-title&gt;&lt;abbr-1&gt;IO&lt;/abbr-1&gt;&lt;/periodical&gt;&lt;pages&gt;425-451&lt;/pages&gt;&lt;volume&gt;45&lt;/volume&gt;&lt;number&gt;4&lt;/number&gt;&lt;keywords&gt;&lt;keyword&gt;Monetary policy&lt;/keyword&gt;&lt;keyword&gt;Capital movement&lt;/keyword&gt;&lt;keyword&gt;Exchange rate&lt;/keyword&gt;&lt;keyword&gt;Coordination&lt;/keyword&gt;&lt;keyword&gt;Globalization&lt;/keyword&gt;&lt;keyword&gt;Mundell-Fleming&lt;/keyword&gt;&lt;/keywords&gt;&lt;dates&gt;&lt;year&gt;1991&lt;/year&gt;&lt;pub-dates&gt;&lt;date&gt;Autumn, 1991&lt;/date&gt;&lt;/pub-dates&gt;&lt;/dates&gt;&lt;urls&gt;&lt;/urls&gt;&lt;/record&gt;&lt;/Cite&gt;&lt;/EndNote&gt;</w:instrText>
      </w:r>
      <w:r w:rsidR="00A803B0" w:rsidRPr="00CB4FCD">
        <w:fldChar w:fldCharType="separate"/>
      </w:r>
      <w:r w:rsidR="00A803B0" w:rsidRPr="00CB4FCD">
        <w:rPr>
          <w:noProof/>
        </w:rPr>
        <w:t>(Frieden, 1991, 2015)</w:t>
      </w:r>
      <w:r w:rsidR="00A803B0" w:rsidRPr="00CB4FCD">
        <w:fldChar w:fldCharType="end"/>
      </w:r>
      <w:r w:rsidR="00A803B0" w:rsidRPr="00CB4FCD">
        <w:t xml:space="preserve">. Although remittances do not accrue to governments directly, they have the potential to alter incumbents’ incentives to adopt different economic </w:t>
      </w:r>
      <w:r w:rsidR="00A803B0" w:rsidRPr="00CA7EFE">
        <w:t>policies. In this paper, we argue that remittances allow governments to adopt less costly, more flexible exchange rate arrangements, while credibly committing to control</w:t>
      </w:r>
      <w:r w:rsidR="00A67181">
        <w:t>ling</w:t>
      </w:r>
      <w:r w:rsidR="00A803B0" w:rsidRPr="00CA7EFE">
        <w:t xml:space="preserve"> inflation. This effect, however</w:t>
      </w:r>
      <w:r w:rsidR="00A803B0">
        <w:t>,</w:t>
      </w:r>
      <w:r w:rsidR="00A803B0" w:rsidRPr="00CB4FCD">
        <w:t xml:space="preserve"> depends on the country’s monetary and political institutions, as already suggested by </w:t>
      </w:r>
      <w:r w:rsidR="00A803B0" w:rsidRPr="00CB4FCD">
        <w:rPr>
          <w:noProof/>
        </w:rPr>
        <w:t xml:space="preserve">Bernhard et al. </w:t>
      </w:r>
      <w:r w:rsidR="00A803B0" w:rsidRPr="00CB4FCD">
        <w:fldChar w:fldCharType="begin"/>
      </w:r>
      <w:r w:rsidR="00A803B0" w:rsidRPr="00CB4FCD">
        <w:instrText xml:space="preserve"> ADDIN EN.CITE &lt;EndNote&gt;&lt;Cite ExcludeAuth="1"&gt;&lt;Author&gt;Bernhard&lt;/Author&gt;&lt;Year&gt;2002&lt;/Year&gt;&lt;RecNum&gt;1169&lt;/RecNum&gt;&lt;DisplayText&gt;(2002)&lt;/DisplayText&gt;&lt;record&gt;&lt;rec-number&gt;1169&lt;/rec-number&gt;&lt;foreign-keys&gt;&lt;key app="EN" db-id="wxw9eet5tpa22ve22arv5vv0ttr2rawvxwwp" timestamp="0"&gt;1169&lt;/key&gt;&lt;/foreign-keys&gt;&lt;ref-type name="Journal Article"&gt;17&lt;/ref-type&gt;&lt;contributors&gt;&lt;authors&gt;&lt;author&gt;William Bernhard&lt;/author&gt;&lt;author&gt;J. Lawrence Broz&lt;/author&gt;&lt;author&gt;William Roberts Clark &lt;/author&gt;&lt;/authors&gt;&lt;/contributors&gt;&lt;titles&gt;&lt;title&gt;The Political Economy of Monetary Institutions&lt;/title&gt;&lt;secondary-title&gt;International Organization&lt;/secondary-title&gt;&lt;/titles&gt;&lt;periodical&gt;&lt;full-title&gt;International Organization&lt;/full-title&gt;&lt;abbr-1&gt;IO&lt;/abbr-1&gt;&lt;/periodical&gt;&lt;pages&gt;693-723&lt;/pages&gt;&lt;volume&gt;56&lt;/volume&gt;&lt;number&gt;4, The Political Economy of Monetary Institutions&lt;/number&gt;&lt;dates&gt;&lt;year&gt;2002&lt;/year&gt;&lt;/dates&gt;&lt;urls&gt;&lt;related-urls&gt;&lt;url&gt;CBI&lt;/url&gt;&lt;/related-urls&gt;&lt;/urls&gt;&lt;/record&gt;&lt;/Cite&gt;&lt;/EndNote&gt;</w:instrText>
      </w:r>
      <w:r w:rsidR="00A803B0" w:rsidRPr="00CB4FCD">
        <w:fldChar w:fldCharType="separate"/>
      </w:r>
      <w:r w:rsidR="00A803B0" w:rsidRPr="00CB4FCD">
        <w:rPr>
          <w:noProof/>
        </w:rPr>
        <w:t>(2002)</w:t>
      </w:r>
      <w:r w:rsidR="00A803B0" w:rsidRPr="00CB4FCD">
        <w:fldChar w:fldCharType="end"/>
      </w:r>
      <w:r w:rsidR="00A803B0" w:rsidRPr="00CB4FCD">
        <w:t xml:space="preserve"> and others. </w:t>
      </w:r>
    </w:p>
    <w:p w14:paraId="00C01582" w14:textId="2B86C844" w:rsidR="00A803B0" w:rsidRPr="00CA7EFE" w:rsidRDefault="00A803B0" w:rsidP="00AC132B">
      <w:pPr>
        <w:pStyle w:val="Heading4Paragraph"/>
        <w:rPr>
          <w:i/>
        </w:rPr>
      </w:pPr>
      <w:r w:rsidRPr="00CB4FCD">
        <w:lastRenderedPageBreak/>
        <w:t xml:space="preserve">There are two ways through which remittances can affect exchange rate regimes. </w:t>
      </w:r>
      <w:r>
        <w:t>First</w:t>
      </w:r>
      <w:r w:rsidRPr="00CB4FCD">
        <w:t xml:space="preserve">, the stability and anti-cyclicality of remittances </w:t>
      </w:r>
      <w:r>
        <w:t xml:space="preserve">can </w:t>
      </w:r>
      <w:r w:rsidRPr="00CB4FCD">
        <w:t>mitigate</w:t>
      </w:r>
      <w:r>
        <w:t xml:space="preserve"> the costs of adopting</w:t>
      </w:r>
      <w:r w:rsidRPr="00CB4FCD">
        <w:t xml:space="preserve"> fixed exchange rate</w:t>
      </w:r>
      <w:r>
        <w:t>s. Thus</w:t>
      </w:r>
      <w:r w:rsidRPr="00CB4FCD">
        <w:t xml:space="preserve">, </w:t>
      </w:r>
      <w:r>
        <w:t>remittances should increase the probability</w:t>
      </w:r>
      <w:r w:rsidRPr="00CB4FCD">
        <w:t xml:space="preserve"> </w:t>
      </w:r>
      <w:r>
        <w:t>of observing</w:t>
      </w:r>
      <w:r w:rsidRPr="00CB4FCD">
        <w:t xml:space="preserve"> </w:t>
      </w:r>
      <w:r>
        <w:t>fixed</w:t>
      </w:r>
      <w:r w:rsidRPr="00CB4FCD">
        <w:t xml:space="preserve"> exchange rate</w:t>
      </w:r>
      <w:r>
        <w:t>s</w:t>
      </w:r>
      <w:r w:rsidRPr="00CB4FCD">
        <w:t xml:space="preserve">, as suggested in Singer </w:t>
      </w:r>
      <w:r w:rsidRPr="00CB4FCD">
        <w:fldChar w:fldCharType="begin"/>
      </w:r>
      <w:r w:rsidRPr="00CB4FCD">
        <w:instrText xml:space="preserve"> ADDIN EN.CITE &lt;EndNote&gt;&lt;Cite ExcludeAuth="1"&gt;&lt;Author&gt;Singer&lt;/Author&gt;&lt;Year&gt;2010&lt;/Year&gt;&lt;RecNum&gt;3604&lt;/RecNum&gt;&lt;DisplayText&gt;(2010)&lt;/DisplayText&gt;&lt;record&gt;&lt;rec-number&gt;3604&lt;/rec-number&gt;&lt;foreign-keys&gt;&lt;key app="EN" db-id="wxw9eet5tpa22ve22arv5vv0ttr2rawvxwwp" timestamp="1469906995"&gt;3604&lt;/key&gt;&lt;/foreign-keys&gt;&lt;ref-type name="Journal Article"&gt;17&lt;/ref-type&gt;&lt;contributors&gt;&lt;authors&gt;&lt;author&gt;Singer, David Andrew&lt;/author&gt;&lt;/authors&gt;&lt;/contributors&gt;&lt;titles&gt;&lt;title&gt;Migrant Remittances and Exchange Rate Regimes in the Developing World&lt;/title&gt;&lt;secondary-title&gt;American Political Science Review&lt;/secondary-title&gt;&lt;/titles&gt;&lt;periodical&gt;&lt;full-title&gt;American Political Science Review&lt;/full-title&gt;&lt;abbr-1&gt;APSR&lt;/abbr-1&gt;&lt;/periodical&gt;&lt;pages&gt;307-323&lt;/pages&gt;&lt;volume&gt;104&lt;/volume&gt;&lt;number&gt;02&lt;/number&gt;&lt;dates&gt;&lt;year&gt;2010&lt;/year&gt;&lt;/dates&gt;&lt;isbn&gt;1537-5943&lt;/isbn&gt;&lt;urls&gt;&lt;related-urls&gt;&lt;url&gt;http://dx.doi.org/10.1017/S0003055410000110&lt;/url&gt;&lt;/related-urls&gt;&lt;/urls&gt;&lt;electronic-resource-num&gt;doi:10.1017/S0003055410000110&lt;/electronic-resource-num&gt;&lt;access-date&gt;2010&lt;/access-date&gt;&lt;/record&gt;&lt;/Cite&gt;&lt;/EndNote&gt;</w:instrText>
      </w:r>
      <w:r w:rsidRPr="00CB4FCD">
        <w:fldChar w:fldCharType="separate"/>
      </w:r>
      <w:r w:rsidRPr="00CB4FCD">
        <w:rPr>
          <w:noProof/>
        </w:rPr>
        <w:t>(2010)</w:t>
      </w:r>
      <w:r w:rsidRPr="00CB4FCD">
        <w:fldChar w:fldCharType="end"/>
      </w:r>
      <w:r w:rsidRPr="00CB4FCD">
        <w:t xml:space="preserve">. </w:t>
      </w:r>
      <w:r>
        <w:t xml:space="preserve">In this author’s account, </w:t>
      </w:r>
      <w:r w:rsidRPr="00536773">
        <w:t>th</w:t>
      </w:r>
      <w:r w:rsidR="00E249EC">
        <w:t>e</w:t>
      </w:r>
      <w:r w:rsidRPr="00536773">
        <w:t xml:space="preserve"> effect is not mediated by political </w:t>
      </w:r>
      <w:r w:rsidRPr="00CA7EFE">
        <w:t xml:space="preserve">regime or other monetary institutions. In contrast, we focus on the conditioning effects of political and monetary institutions, and propose that under some circumstances, the stability and anti-cyclicality of remittances should enhance the credibility of central bank independence (CBI) as an anti-inflationary </w:t>
      </w:r>
      <w:proofErr w:type="gramStart"/>
      <w:r w:rsidRPr="00CA7EFE">
        <w:t>tool, and</w:t>
      </w:r>
      <w:proofErr w:type="gramEnd"/>
      <w:r w:rsidRPr="00CA7EFE">
        <w:t xml:space="preserve"> reduce the need to rely on fixed exchange rates. We argue that this effect is especially relevant in autocracies, where the credibility of CBI is more easily compromised </w:t>
      </w:r>
      <w:r w:rsidRPr="00CA7EFE">
        <w:fldChar w:fldCharType="begin"/>
      </w:r>
      <w:r w:rsidRPr="00CA7EFE">
        <w:instrText xml:space="preserve"> ADDIN EN.CITE &lt;EndNote&gt;&lt;Cite&gt;&lt;Author&gt;Broz&lt;/Author&gt;&lt;Year&gt;2002&lt;/Year&gt;&lt;RecNum&gt;47&lt;/RecNum&gt;&lt;DisplayText&gt;(Broz, 2002)&lt;/DisplayText&gt;&lt;record&gt;&lt;rec-number&gt;47&lt;/rec-number&gt;&lt;foreign-keys&gt;&lt;key app="EN" db-id="wxw9eet5tpa22ve22arv5vv0ttr2rawvxwwp" timestamp="0"&gt;47&lt;/key&gt;&lt;/foreign-keys&gt;&lt;ref-type name="Journal Article"&gt;17&lt;/ref-type&gt;&lt;contributors&gt;&lt;authors&gt;&lt;author&gt;J. Lawrence Broz&lt;/author&gt;&lt;/authors&gt;&lt;/contributors&gt;&lt;titles&gt;&lt;title&gt;Political System Transparency and Monetary Commitment Regimes&lt;/title&gt;&lt;secondary-title&gt;International Organization&lt;/secondary-title&gt;&lt;/titles&gt;&lt;periodical&gt;&lt;full-title&gt;International Organization&lt;/full-title&gt;&lt;abbr-1&gt;IO&lt;/abbr-1&gt;&lt;/periodical&gt;&lt;pages&gt;861-887&lt;/pages&gt;&lt;volume&gt;56&lt;/volume&gt;&lt;number&gt;4&lt;/number&gt;&lt;keywords&gt;&lt;keyword&gt;Central Bank Independence&lt;/keyword&gt;&lt;keyword&gt;Exchange rate&lt;/keyword&gt;&lt;keyword&gt;Inflation&lt;/keyword&gt;&lt;keyword&gt;Monetary policy&lt;/keyword&gt;&lt;keyword&gt;Time inconsistency&lt;/keyword&gt;&lt;keyword&gt;*&lt;/keyword&gt;&lt;/keywords&gt;&lt;dates&gt;&lt;year&gt;2002&lt;/year&gt;&lt;pub-dates&gt;&lt;date&gt;Autumn 2002&lt;/date&gt;&lt;/pub-dates&gt;&lt;/dates&gt;&lt;urls&gt;&lt;related-urls&gt;&lt;url&gt;CBI.  Political&lt;/url&gt;&lt;url&gt;IPE-W4: CBI&lt;/url&gt;&lt;/related-urls&gt;&lt;/urls&gt;&lt;/record&gt;&lt;/Cite&gt;&lt;/EndNote&gt;</w:instrText>
      </w:r>
      <w:r w:rsidRPr="00CA7EFE">
        <w:fldChar w:fldCharType="separate"/>
      </w:r>
      <w:r w:rsidRPr="00CA7EFE">
        <w:rPr>
          <w:noProof/>
        </w:rPr>
        <w:t>(Broz, 2002)</w:t>
      </w:r>
      <w:r w:rsidRPr="00CA7EFE">
        <w:fldChar w:fldCharType="end"/>
      </w:r>
      <w:r w:rsidRPr="00CA7EFE">
        <w:t>. Thus</w:t>
      </w:r>
      <w:r w:rsidRPr="00CB4FCD">
        <w:t>, the scope conditions of this credibility effect are both the existence</w:t>
      </w:r>
      <w:r>
        <w:t xml:space="preserve"> of an independent central bank</w:t>
      </w:r>
      <w:r w:rsidRPr="00CB4FCD">
        <w:t xml:space="preserve"> and less transparent regimes (autocracies). </w:t>
      </w:r>
      <w:r w:rsidRPr="00CA7EFE">
        <w:rPr>
          <w:i/>
        </w:rPr>
        <w:t>We find that in autocracies with independent central banks, remittances are associated wi</w:t>
      </w:r>
      <w:r w:rsidR="007C4B8C">
        <w:rPr>
          <w:i/>
        </w:rPr>
        <w:t>th a greater likelihood of observing</w:t>
      </w:r>
      <w:r w:rsidRPr="00CA7EFE">
        <w:rPr>
          <w:i/>
        </w:rPr>
        <w:t xml:space="preserve"> flexible exchange rate regimes</w:t>
      </w:r>
      <w:r w:rsidR="00E249EC">
        <w:rPr>
          <w:i/>
        </w:rPr>
        <w:t>.</w:t>
      </w:r>
      <w:r w:rsidRPr="00CA7EFE">
        <w:rPr>
          <w:i/>
        </w:rPr>
        <w:t xml:space="preserve"> </w:t>
      </w:r>
    </w:p>
    <w:p w14:paraId="6405BE9E" w14:textId="140AE71C" w:rsidR="00A803B0" w:rsidRPr="00CB4FCD" w:rsidRDefault="00A803B0" w:rsidP="00AC132B">
      <w:pPr>
        <w:pStyle w:val="Newparagraph"/>
      </w:pPr>
      <w:r w:rsidRPr="00CB4FCD">
        <w:t>This paper</w:t>
      </w:r>
      <w:r w:rsidR="00B00F9B">
        <w:t xml:space="preserve"> bridges two literatures. On</w:t>
      </w:r>
      <w:r w:rsidRPr="00CB4FCD">
        <w:t xml:space="preserve"> one hand, studies on the effects of international migration show that remittances have significant effects on national economies, with consequences for a wide range of </w:t>
      </w:r>
      <w:r>
        <w:t>development</w:t>
      </w:r>
      <w:r w:rsidRPr="00CB4FCD">
        <w:t xml:space="preserve"> outcomes </w:t>
      </w:r>
      <w:r w:rsidRPr="00CB4FCD">
        <w:fldChar w:fldCharType="begin">
          <w:fldData xml:space="preserve">PEVuZE5vdGU+PENpdGU+PEF1dGhvcj5Eb3lsZTwvQXV0aG9yPjxZZWFyPjIwMTc8L1llYXI+PFJl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</w:fldData>
        </w:fldChar>
      </w:r>
      <w:r w:rsidR="00AC132B">
        <w:instrText xml:space="preserve"> ADDIN EN.CITE </w:instrText>
      </w:r>
      <w:r w:rsidR="00AC132B">
        <w:fldChar w:fldCharType="begin">
          <w:fldData xml:space="preserve">PEVuZE5vdGU+PENpdGU+PEF1dGhvcj5Eb3lsZTwvQXV0aG9yPjxZZWFyPjIwMTc8L1llYXI+PFJl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</w:fldData>
        </w:fldChar>
      </w:r>
      <w:r w:rsidR="00AC132B">
        <w:instrText xml:space="preserve"> ADDIN EN.CITE.DATA </w:instrText>
      </w:r>
      <w:r w:rsidR="00AC132B">
        <w:fldChar w:fldCharType="end"/>
      </w:r>
      <w:r w:rsidRPr="00CB4FCD">
        <w:fldChar w:fldCharType="separate"/>
      </w:r>
      <w:r w:rsidR="00AC132B">
        <w:rPr>
          <w:noProof/>
        </w:rPr>
        <w:t>(Abdih et al., 2012; Ahmed, 2012; Combes &amp; Ebeke, 2011; Escribà-Folch, Meseguer, &amp; Wright, 2015)</w:t>
      </w:r>
      <w:r w:rsidRPr="00CB4FCD">
        <w:fldChar w:fldCharType="end"/>
      </w:r>
      <w:r w:rsidRPr="00CB4FCD">
        <w:t xml:space="preserve">. On the other hand, research on the choice of exchange rate regimes and monetary institutions under capital mobility indicates that the choice of monetary and exchange rate arrangements cannot be thought of as independent of each other </w:t>
      </w:r>
      <w:r w:rsidRPr="00CB4FCD">
        <w:fldChar w:fldCharType="begin">
          <w:fldData xml:space="preserve">PEVuZE5vdGU+PENpdGU+PEF1dGhvcj5CZXJuaGFyZDwvQXV0aG9yPjxZZWFyPjIwMDI8L1llYXI+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</w:fldData>
        </w:fldChar>
      </w:r>
      <w:r w:rsidRPr="00CB4FCD">
        <w:instrText xml:space="preserve"> ADDIN EN.CITE </w:instrText>
      </w:r>
      <w:r w:rsidRPr="00CB4FCD">
        <w:fldChar w:fldCharType="begin">
          <w:fldData xml:space="preserve">PEVuZE5vdGU+PENpdGU+PEF1dGhvcj5CZXJuaGFyZDwvQXV0aG9yPjxZZWFyPjIwMDI8L1llYXI+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</w:fldData>
        </w:fldChar>
      </w:r>
      <w:r w:rsidRPr="00CB4FCD">
        <w:instrText xml:space="preserve"> ADDIN EN.CITE.DATA </w:instrText>
      </w:r>
      <w:r w:rsidRPr="00CB4FCD">
        <w:fldChar w:fldCharType="end"/>
      </w:r>
      <w:r w:rsidRPr="00CB4FCD">
        <w:fldChar w:fldCharType="separate"/>
      </w:r>
      <w:r w:rsidRPr="00CB4FCD">
        <w:rPr>
          <w:noProof/>
        </w:rPr>
        <w:t>(Bearce, 2002, 2008; Bernhard et al., 2002; Bodea, 2010)</w:t>
      </w:r>
      <w:r w:rsidRPr="00CB4FCD">
        <w:fldChar w:fldCharType="end"/>
      </w:r>
      <w:r w:rsidRPr="00CB4FCD">
        <w:t xml:space="preserve">. Only a few studies have sought to connect these two literatures </w:t>
      </w:r>
      <w:r w:rsidRPr="00CB4FCD">
        <w:fldChar w:fldCharType="begin">
          <w:fldData xml:space="preserve">PEVuZE5vdGU+PENpdGU+PEF1dGhvcj5TaW5nZXI8L0F1dGhvcj48WWVhcj4yMDEwPC9ZZWFyPjxS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</w:fldData>
        </w:fldChar>
      </w:r>
      <w:r w:rsidRPr="00CB4FCD">
        <w:instrText xml:space="preserve"> ADDIN EN.CITE </w:instrText>
      </w:r>
      <w:r w:rsidRPr="00CB4FCD">
        <w:fldChar w:fldCharType="begin">
          <w:fldData xml:space="preserve">PEVuZE5vdGU+PENpdGU+PEF1dGhvcj5TaW5nZXI8L0F1dGhvcj48WWVhcj4yMDEwPC9ZZWFyPjxS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</w:fldData>
        </w:fldChar>
      </w:r>
      <w:r w:rsidRPr="00CB4FCD">
        <w:instrText xml:space="preserve"> ADDIN EN.CITE.DATA </w:instrText>
      </w:r>
      <w:r w:rsidRPr="00CB4FCD">
        <w:fldChar w:fldCharType="end"/>
      </w:r>
      <w:r w:rsidRPr="00CB4FCD">
        <w:fldChar w:fldCharType="separate"/>
      </w:r>
      <w:r w:rsidRPr="00CB4FCD">
        <w:rPr>
          <w:noProof/>
        </w:rPr>
        <w:t>(Mandelman, 2013; Singer, 2010)</w:t>
      </w:r>
      <w:r w:rsidRPr="00CB4FCD">
        <w:fldChar w:fldCharType="end"/>
      </w:r>
      <w:r w:rsidRPr="00CB4FCD">
        <w:t>. However, these studies do not discuss the interactions between exchange rate regime</w:t>
      </w:r>
      <w:r>
        <w:t xml:space="preserve">s and CBI </w:t>
      </w:r>
      <w:r w:rsidRPr="00CB4FCD">
        <w:t xml:space="preserve">in the presence of remittances, nor do these works discuss the potential diverging effects in different </w:t>
      </w:r>
      <w:r w:rsidRPr="00CB4FCD">
        <w:lastRenderedPageBreak/>
        <w:t xml:space="preserve">types of political regimes </w:t>
      </w:r>
      <w:r w:rsidRPr="00CB4FCD">
        <w:fldChar w:fldCharType="begin">
          <w:fldData xml:space="preserve">PEVuZE5vdGU+PENpdGU+PEF1dGhvcj5TdGVpbmJlcmc8L0F1dGhvcj48WWVhcj4yMDE0PC9ZZWFy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</w:fldData>
        </w:fldChar>
      </w:r>
      <w:r>
        <w:instrText xml:space="preserve"> ADDIN EN.CITE </w:instrText>
      </w:r>
      <w:r>
        <w:fldChar w:fldCharType="begin">
          <w:fldData xml:space="preserve">PEVuZE5vdGU+PENpdGU+PEF1dGhvcj5TdGVpbmJlcmc8L0F1dGhvcj48WWVhcj4yMDE0PC9ZZWFy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</w:fldData>
        </w:fldChar>
      </w:r>
      <w:r>
        <w:instrText xml:space="preserve"> ADDIN EN.CITE.DATA </w:instrText>
      </w:r>
      <w:r>
        <w:fldChar w:fldCharType="end"/>
      </w:r>
      <w:r w:rsidRPr="00CB4FCD">
        <w:fldChar w:fldCharType="separate"/>
      </w:r>
      <w:r>
        <w:rPr>
          <w:noProof/>
        </w:rPr>
        <w:t>(Bearce, 2014; Leblang, 2003; Steinberg &amp; Malhotra, 2014)</w:t>
      </w:r>
      <w:r w:rsidRPr="00CB4FCD">
        <w:fldChar w:fldCharType="end"/>
      </w:r>
      <w:r w:rsidRPr="00CB4FCD">
        <w:t>. Accounting for these interactions provides a better understanding of the scope conditions that shape the effect of remittances on the choice of exchange rate regime</w:t>
      </w:r>
      <w:r>
        <w:t xml:space="preserve"> in developing countries</w:t>
      </w:r>
      <w:r w:rsidRPr="00CB4FCD">
        <w:t>.</w:t>
      </w:r>
    </w:p>
    <w:p w14:paraId="4B6E9B8D" w14:textId="35954C6E" w:rsidR="00A803B0" w:rsidRPr="00CB4FCD" w:rsidRDefault="00A803B0" w:rsidP="00AC132B">
      <w:pPr>
        <w:pStyle w:val="Newparagraph"/>
      </w:pPr>
      <w:r>
        <w:t>W</w:t>
      </w:r>
      <w:r w:rsidRPr="00CB4FCD">
        <w:t xml:space="preserve">e contribute to a growing literature showing that although remittances bypass incumbents, they have profound implications for home countries in policies as diverse as social spending </w:t>
      </w:r>
      <w:r w:rsidRPr="00CB4FCD">
        <w:fldChar w:fldCharType="begin"/>
      </w:r>
      <w:r>
        <w:instrText xml:space="preserve"> ADDIN EN.CITE &lt;EndNote&gt;&lt;Cite&gt;&lt;Author&gt;Doyle&lt;/Author&gt;&lt;Year&gt;2015&lt;/Year&gt;&lt;RecNum&gt;3673&lt;/RecNum&gt;&lt;DisplayText&gt;(Doyle, 2015; Easton &amp;amp; Montinola, 2016)&lt;/DisplayText&gt;&lt;record&gt;&lt;rec-number&gt;3673&lt;/rec-number&gt;&lt;foreign-keys&gt;&lt;key app="EN" db-id="wxw9eet5tpa22ve22arv5vv0ttr2rawvxwwp" timestamp="1472009668"&gt;3673&lt;/key&gt;&lt;/foreign-keys&gt;&lt;ref-type name="Journal Article"&gt;17&lt;/ref-type&gt;&lt;contributors&gt;&lt;authors&gt;&lt;author&gt;Doyle, David&lt;/author&gt;&lt;/authors&gt;&lt;/contributors&gt;&lt;titles&gt;&lt;title&gt;Remittances and Social Spending&lt;/title&gt;&lt;secondary-title&gt;American Political Science Review&lt;/secondary-title&gt;&lt;/titles&gt;&lt;periodical&gt;&lt;full-title&gt;American Political Science Review&lt;/full-title&gt;&lt;abbr-1&gt;APSR&lt;/abbr-1&gt;&lt;/periodical&gt;&lt;pages&gt;785-802&lt;/pages&gt;&lt;volume&gt;109&lt;/volume&gt;&lt;number&gt;04&lt;/number&gt;&lt;dates&gt;&lt;year&gt;2015&lt;/year&gt;&lt;/dates&gt;&lt;isbn&gt;1537-5943&lt;/isbn&gt;&lt;urls&gt;&lt;related-urls&gt;&lt;url&gt;http://dx.doi.org/10.1017/S0003055415000416&lt;/url&gt;&lt;/related-urls&gt;&lt;/urls&gt;&lt;electronic-resource-num&gt;doi:10.1017/S0003055415000416&lt;/electronic-resource-num&gt;&lt;access-date&gt;2015&lt;/access-date&gt;&lt;/record&gt;&lt;/Cite&gt;&lt;Cite&gt;&lt;Author&gt;Easton&lt;/Author&gt;&lt;Year&gt;2016&lt;/Year&gt;&lt;RecNum&gt;3845&lt;/RecNum&gt;&lt;record&gt;&lt;rec-number&gt;3845&lt;/rec-number&gt;&lt;foreign-keys&gt;&lt;key app="EN" db-id="wxw9eet5tpa22ve22arv5vv0ttr2rawvxwwp" timestamp="1486331692"&gt;3845&lt;/key&gt;&lt;/foreign-keys&gt;&lt;ref-type name="Journal Article"&gt;17&lt;/ref-type&gt;&lt;contributors&gt;&lt;authors&gt;&lt;author&gt;Easton, Malcolm R.&lt;/author&gt;&lt;author&gt;Montinola, Gabriella R.&lt;/author&gt;&lt;/authors&gt;&lt;/contributors&gt;&lt;titles&gt;&lt;title&gt;Remittances, Regime Type, and Government Spending Priorities&lt;/title&gt;&lt;secondary-title&gt;Studies in Comparative International Development&lt;/secondary-title&gt;&lt;/titles&gt;&lt;periodical&gt;&lt;full-title&gt;Studies in Comparative International Development&lt;/full-title&gt;&lt;/periodical&gt;&lt;pages&gt;1-23&lt;/pages&gt;&lt;dates&gt;&lt;year&gt;2016&lt;/year&gt;&lt;/dates&gt;&lt;isbn&gt;1936-6167&lt;/isbn&gt;&lt;label&gt;Easton2016&lt;/label&gt;&lt;work-type&gt;journal article&lt;/work-type&gt;&lt;urls&gt;&lt;related-urls&gt;&lt;url&gt;http://dx.doi.org/10.1007/s12116-016-9233-7&lt;/url&gt;&lt;/related-urls&gt;&lt;/urls&gt;&lt;electronic-resource-num&gt;10.1007/s12116-016-9233-7&lt;/electronic-resource-num&gt;&lt;/record&gt;&lt;/Cite&gt;&lt;/EndNote&gt;</w:instrText>
      </w:r>
      <w:r w:rsidRPr="00CB4FCD">
        <w:fldChar w:fldCharType="separate"/>
      </w:r>
      <w:r>
        <w:rPr>
          <w:noProof/>
        </w:rPr>
        <w:t>(Doyle, 2015; Easton &amp; Montinola, 2016)</w:t>
      </w:r>
      <w:r w:rsidRPr="00CB4FCD">
        <w:fldChar w:fldCharType="end"/>
      </w:r>
      <w:r w:rsidRPr="00CB4FCD">
        <w:t xml:space="preserve">, diaspora engagement </w:t>
      </w:r>
      <w:r w:rsidRPr="00CB4FCD">
        <w:fldChar w:fldCharType="begin"/>
      </w:r>
      <w:r w:rsidRPr="00CB4FCD">
        <w:instrText xml:space="preserve"> ADDIN EN.CITE &lt;EndNote&gt;&lt;Cite&gt;&lt;Author&gt;Leblang&lt;/Author&gt;&lt;Year&gt;2015&lt;/Year&gt;&lt;RecNum&gt;3674&lt;/RecNum&gt;&lt;DisplayText&gt;(Leblang, 2015)&lt;/DisplayText&gt;&lt;record&gt;&lt;rec-number&gt;3674&lt;/rec-number&gt;&lt;foreign-keys&gt;&lt;key app="EN" db-id="wxw9eet5tpa22ve22arv5vv0ttr2rawvxwwp" timestamp="1472009841"&gt;3674&lt;/key&gt;&lt;/foreign-keys&gt;&lt;ref-type name="Journal Article"&gt;17&lt;/ref-type&gt;&lt;contributors&gt;&lt;authors&gt;&lt;author&gt;Leblang, David&lt;/author&gt;&lt;/authors&gt;&lt;/contributors&gt;&lt;titles&gt;&lt;title&gt;Harnessing the Diaspora: Dual Citizenship, Migrant Return Remittances&lt;/title&gt;&lt;secondary-title&gt;Comparative Political Studies&lt;/secondary-title&gt;&lt;/titles&gt;&lt;periodical&gt;&lt;full-title&gt;Comparative Political Studies&lt;/full-title&gt;&lt;/periodical&gt;&lt;dates&gt;&lt;year&gt;2015&lt;/year&gt;&lt;pub-dates&gt;&lt;date&gt;September 29, 2015&lt;/date&gt;&lt;/pub-dates&gt;&lt;/dates&gt;&lt;urls&gt;&lt;related-urls&gt;&lt;url&gt;http://cps.sagepub.com/content/early/2015/09/28/0010414015606736.abstract&lt;/url&gt;&lt;/related-urls&gt;&lt;/urls&gt;&lt;electronic-resource-num&gt;10.1177/0010414015606736&lt;/electronic-resource-num&gt;&lt;/record&gt;&lt;/Cite&gt;&lt;/EndNote&gt;</w:instrText>
      </w:r>
      <w:r w:rsidRPr="00CB4FCD">
        <w:fldChar w:fldCharType="separate"/>
      </w:r>
      <w:r w:rsidRPr="00CB4FCD">
        <w:rPr>
          <w:noProof/>
        </w:rPr>
        <w:t>(Leblang, 2015)</w:t>
      </w:r>
      <w:r w:rsidRPr="00CB4FCD">
        <w:fldChar w:fldCharType="end"/>
      </w:r>
      <w:r w:rsidRPr="00CB4FCD">
        <w:t xml:space="preserve">, and debt sustainability </w:t>
      </w:r>
      <w:r w:rsidRPr="00CB4FCD">
        <w:fldChar w:fldCharType="begin"/>
      </w:r>
      <w:r w:rsidRPr="00CB4FCD">
        <w:instrText xml:space="preserve"> ADDIN EN.CITE &lt;EndNote&gt;&lt;Cite&gt;&lt;Author&gt;Chami&lt;/Author&gt;&lt;Year&gt;2008&lt;/Year&gt;&lt;RecNum&gt;3672&lt;/RecNum&gt;&lt;DisplayText&gt;(Chami et al., 2008)&lt;/DisplayText&gt;&lt;record&gt;&lt;rec-number&gt;3672&lt;/rec-number&gt;&lt;foreign-keys&gt;&lt;key app="EN" db-id="wxw9eet5tpa22ve22arv5vv0ttr2rawvxwwp" timestamp="1472009439"&gt;3672&lt;/key&gt;&lt;/foreign-keys&gt;&lt;ref-type name="Report"&gt;27&lt;/ref-type&gt;&lt;contributors&gt;&lt;authors&gt;&lt;author&gt;Ralph Chami&lt;/author&gt;&lt;author&gt;Adolfo Barajas&lt;/author&gt;&lt;author&gt;Thomas Cosimano&lt;/author&gt;&lt;author&gt;Connel Fullenkamp&lt;/author&gt;&lt;author&gt;Michael Gapen&lt;/author&gt;&lt;author&gt;Peter Montiel&lt;/author&gt;&lt;/authors&gt;&lt;/contributors&gt;&lt;titles&gt;&lt;title&gt;Macroeconomic Consequences of Remittances&lt;/title&gt;&lt;secondary-title&gt;IMF Occasional Paper, 259&lt;/secondary-title&gt;&lt;/titles&gt;&lt;dates&gt;&lt;year&gt;2008&lt;/year&gt;&lt;/dates&gt;&lt;pub-location&gt;Washington, D.C.&lt;/pub-location&gt;&lt;publisher&gt;International Monetary Fund&lt;/publisher&gt;&lt;urls&gt;&lt;/urls&gt;&lt;/record&gt;&lt;/Cite&gt;&lt;/EndNote&gt;</w:instrText>
      </w:r>
      <w:r w:rsidRPr="00CB4FCD">
        <w:fldChar w:fldCharType="separate"/>
      </w:r>
      <w:r w:rsidRPr="00CB4FCD">
        <w:rPr>
          <w:noProof/>
        </w:rPr>
        <w:t>(Chami et al., 2008)</w:t>
      </w:r>
      <w:r w:rsidRPr="00CB4FCD">
        <w:fldChar w:fldCharType="end"/>
      </w:r>
      <w:r w:rsidRPr="00CB4FCD">
        <w:t xml:space="preserve">. </w:t>
      </w:r>
      <w:r>
        <w:t>We also</w:t>
      </w:r>
      <w:r w:rsidRPr="00CB4FCD">
        <w:t xml:space="preserve"> </w:t>
      </w:r>
      <w:r>
        <w:t>contribute</w:t>
      </w:r>
      <w:r w:rsidRPr="00CB4FCD">
        <w:t xml:space="preserve"> to new research showing that country institutional characteristics may affect the constraining eff</w:t>
      </w:r>
      <w:r>
        <w:t>ects of the “impossible trinity</w:t>
      </w:r>
      <w:r w:rsidRPr="00CB4FCD">
        <w:t xml:space="preserve">” </w:t>
      </w:r>
      <w:r w:rsidRPr="00CB4FCD">
        <w:fldChar w:fldCharType="begin">
          <w:fldData xml:space="preserve">PEVuZE5vdGU+PENpdGU+PEF1dGhvcj5SZXk8L0F1dGhvcj48WWVhcj4yMDE1PC9ZZWFyPjxSZWNO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</w:fldData>
        </w:fldChar>
      </w:r>
      <w:r>
        <w:instrText xml:space="preserve"> ADDIN EN.CITE </w:instrText>
      </w:r>
      <w:r>
        <w:fldChar w:fldCharType="begin">
          <w:fldData xml:space="preserve">PEVuZE5vdGU+PENpdGU+PEF1dGhvcj5SZXk8L0F1dGhvcj48WWVhcj4yMDE1PC9ZZWFyPjxSZWNO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</w:fldData>
        </w:fldChar>
      </w:r>
      <w:r>
        <w:instrText xml:space="preserve"> ADDIN EN.CITE.DATA </w:instrText>
      </w:r>
      <w:r>
        <w:fldChar w:fldCharType="end"/>
      </w:r>
      <w:r w:rsidRPr="00CB4FCD">
        <w:fldChar w:fldCharType="separate"/>
      </w:r>
      <w:r>
        <w:rPr>
          <w:noProof/>
        </w:rPr>
        <w:t>(Barajas, Chami, Ebeke, &amp; Oeking, 2016; Rey, 2015, 2016)</w:t>
      </w:r>
      <w:r w:rsidRPr="00CB4FCD">
        <w:fldChar w:fldCharType="end"/>
      </w:r>
      <w:r w:rsidRPr="00CB4FCD">
        <w:t>.</w:t>
      </w:r>
      <w:r w:rsidRPr="00CB4FCD">
        <w:rPr>
          <w:rStyle w:val="FootnoteReference"/>
        </w:rPr>
        <w:footnoteReference w:id="1"/>
      </w:r>
      <w:r w:rsidRPr="00CB4FCD">
        <w:t xml:space="preserve"> </w:t>
      </w:r>
    </w:p>
    <w:p w14:paraId="07AB481A" w14:textId="2360D7CA" w:rsidR="00A803B0" w:rsidRDefault="00A803B0" w:rsidP="00AC132B">
      <w:pPr>
        <w:pStyle w:val="Newparagraph"/>
      </w:pPr>
      <w:r w:rsidRPr="00CB4FCD">
        <w:t>The paper proceeds as follows. The following section provides the background on the choice of monetary institutions. Next, we review the role of remittances in affecting the credibility o</w:t>
      </w:r>
      <w:r>
        <w:t>f different monetary instruments</w:t>
      </w:r>
      <w:r w:rsidRPr="00CB4FCD">
        <w:t xml:space="preserve">. Following this discussion, we derive our main testable hypothesis. We then present the data and </w:t>
      </w:r>
      <w:proofErr w:type="gramStart"/>
      <w:r w:rsidRPr="00CB4FCD">
        <w:t>methods, and</w:t>
      </w:r>
      <w:proofErr w:type="gramEnd"/>
      <w:r w:rsidRPr="00CB4FCD">
        <w:t xml:space="preserve"> discuss our findings. We finish with a conclusion and propose further steps for research.</w:t>
      </w:r>
    </w:p>
    <w:p w14:paraId="50F9C5DE" w14:textId="77777777" w:rsidR="00A803B0" w:rsidRPr="00CB4FCD" w:rsidRDefault="00A803B0" w:rsidP="00AC132B">
      <w:pPr>
        <w:pStyle w:val="Heading1"/>
      </w:pPr>
      <w:r w:rsidRPr="00CB4FCD">
        <w:t>The Political Economy of Exchange Rate Regimes</w:t>
      </w:r>
    </w:p>
    <w:p w14:paraId="1928A6E0" w14:textId="56E49E92" w:rsidR="00A803B0" w:rsidRPr="00CB4FCD" w:rsidRDefault="00A803B0" w:rsidP="00AC132B">
      <w:pPr>
        <w:pStyle w:val="Paragraph"/>
      </w:pPr>
      <w:r>
        <w:t>The “impossible trinity</w:t>
      </w:r>
      <w:r w:rsidRPr="00CB4FCD">
        <w:t xml:space="preserve">” posits that governments can simultaneously achieve only two out of three desirable policy outcomes: high capital mobility, stable exchange rates, and an autonomous monetary policy </w:t>
      </w:r>
      <w:r w:rsidRPr="00CB4FCD">
        <w:fldChar w:fldCharType="begin"/>
      </w:r>
      <w:r w:rsidRPr="00CB4FCD">
        <w:instrText xml:space="preserve"> ADDIN EN.CITE &lt;EndNote&gt;&lt;Cite&gt;&lt;Author&gt;Mundell&lt;/Author&gt;&lt;Year&gt;1961&lt;/Year&gt;&lt;RecNum&gt;134&lt;/RecNum&gt;&lt;DisplayText&gt;(Fleming, 1962; Mundell, 1961)&lt;/DisplayText&gt;&lt;record&gt;&lt;rec-number&gt;134&lt;/rec-number&gt;&lt;foreign-keys&gt;&lt;key app="EN" db-id="wxw9eet5tpa22ve22arv5vv0ttr2rawvxwwp" timestamp="0"&gt;134&lt;/key&gt;&lt;/foreign-keys&gt;&lt;ref-type name="Journal Article"&gt;17&lt;/ref-type&gt;&lt;contributors&gt;&lt;authors&gt;&lt;author&gt;Mundell, Robert A.&lt;/author&gt;&lt;/authors&gt;&lt;/contributors&gt;&lt;titles&gt;&lt;title&gt;A Theory of Optimum Currency Areas&lt;/title&gt;&lt;secondary-title&gt;American Economic Review&lt;/secondary-title&gt;&lt;/titles&gt;&lt;periodical&gt;&lt;full-title&gt;American Economic Review&lt;/full-title&gt;&lt;/periodical&gt;&lt;pages&gt;657-665&lt;/pages&gt;&lt;volume&gt;51&lt;/volume&gt;&lt;number&gt;4&lt;/number&gt;&lt;dates&gt;&lt;year&gt;1961&lt;/year&gt;&lt;/dates&gt;&lt;urls&gt;&lt;/urls&gt;&lt;/record&gt;&lt;/Cite&gt;&lt;Cite&gt;&lt;Author&gt;Fleming&lt;/Author&gt;&lt;Year&gt;1962&lt;/Year&gt;&lt;RecNum&gt;133&lt;/RecNum&gt;&lt;record&gt;&lt;rec-number&gt;133&lt;/rec-number&gt;&lt;foreign-keys&gt;&lt;key app="EN" db-id="wxw9eet5tpa22ve22arv5vv0ttr2rawvxwwp" timestamp="0"&gt;133&lt;/key&gt;&lt;/foreign-keys&gt;&lt;ref-type name="Journal Article"&gt;17&lt;/ref-type&gt;&lt;contributors&gt;&lt;authors&gt;&lt;author&gt;J. Marcus Fleming&lt;/author&gt;&lt;/authors&gt;&lt;/contributors&gt;&lt;titles&gt;&lt;title&gt;Domestic Financial Policies Under Fixed and Floating Exchange Rates&lt;/title&gt;&lt;secondary-title&gt;IMF Staff Papers&lt;/secondary-title&gt;&lt;/titles&gt;&lt;periodical&gt;&lt;full-title&gt;IMF Staff Papers&lt;/full-title&gt;&lt;/periodical&gt;&lt;pages&gt;369-380&lt;/pages&gt;&lt;volume&gt;9&lt;/volume&gt;&lt;number&gt;3&lt;/number&gt;&lt;dates&gt;&lt;year&gt;1962&lt;/year&gt;&lt;/dates&gt;&lt;urls&gt;&lt;/urls&gt;&lt;/record&gt;&lt;/Cite&gt;&lt;/EndNote&gt;</w:instrText>
      </w:r>
      <w:r w:rsidRPr="00CB4FCD">
        <w:fldChar w:fldCharType="separate"/>
      </w:r>
      <w:r w:rsidRPr="00CB4FCD">
        <w:rPr>
          <w:noProof/>
        </w:rPr>
        <w:t>(Fleming, 1962; Mundell, 1961)</w:t>
      </w:r>
      <w:r w:rsidRPr="00CB4FCD">
        <w:fldChar w:fldCharType="end"/>
      </w:r>
      <w:r w:rsidRPr="00CB4FCD">
        <w:t xml:space="preserve">. In the post–Bretton Woods </w:t>
      </w:r>
      <w:r w:rsidRPr="00BB6A07">
        <w:t>era, characteri</w:t>
      </w:r>
      <w:r w:rsidR="008C4FBA" w:rsidRPr="00BB6A07">
        <w:t>s</w:t>
      </w:r>
      <w:r w:rsidRPr="00BB6A07">
        <w:t>ed by the removal of capital controls, the trilemma</w:t>
      </w:r>
      <w:r w:rsidRPr="00CB4FCD">
        <w:t xml:space="preserve"> is reduced to </w:t>
      </w:r>
      <w:r w:rsidRPr="00CB4FCD">
        <w:lastRenderedPageBreak/>
        <w:t xml:space="preserve">the choice between enjoying exchange rate stability or an autonomous monetary policy </w:t>
      </w:r>
      <w:r w:rsidRPr="00CB4FCD">
        <w:fldChar w:fldCharType="begin"/>
      </w:r>
      <w:r>
        <w:instrText xml:space="preserve"> ADDIN EN.CITE &lt;EndNote&gt;&lt;Cite&gt;&lt;Author&gt;Obstfeld&lt;/Author&gt;&lt;Year&gt;2005&lt;/Year&gt;&lt;RecNum&gt;2035&lt;/RecNum&gt;&lt;DisplayText&gt;(Obstfeld, Shambaugh, &amp;amp; Taylor, 2005; Rey, 2015)&lt;/DisplayText&gt;&lt;record&gt;&lt;rec-number&gt;2035&lt;/rec-number&gt;&lt;foreign-keys&gt;&lt;key app="EN" db-id="wxw9eet5tpa22ve22arv5vv0ttr2rawvxwwp" timestamp="1276890705"&gt;2035&lt;/key&gt;&lt;/foreign-keys&gt;&lt;ref-type name="Journal Article"&gt;17&lt;/ref-type&gt;&lt;contributors&gt;&lt;authors&gt;&lt;author&gt;Obstfeld, Maurice&lt;/author&gt;&lt;author&gt;Jay C. Shambaugh&lt;/author&gt;&lt;author&gt;Alan M. Taylor&lt;/author&gt;&lt;/authors&gt;&lt;/contributors&gt;&lt;titles&gt;&lt;title&gt;The Trilemma in History: Tradeoffs among Exchange Rates, Monetary Policies, and Capital Mobility&lt;/title&gt;&lt;secondary-title&gt;Review of Economics and Statistics&lt;/secondary-title&gt;&lt;/titles&gt;&lt;periodical&gt;&lt;full-title&gt;Review of Economics and Statistics&lt;/full-title&gt;&lt;/periodical&gt;&lt;pages&gt;423-438&lt;/pages&gt;&lt;volume&gt;87&lt;/volume&gt;&lt;number&gt;3&lt;/number&gt;&lt;dates&gt;&lt;year&gt;2005&lt;/year&gt;&lt;/dates&gt;&lt;urls&gt;&lt;/urls&gt;&lt;/record&gt;&lt;/Cite&gt;&lt;Cite&gt;&lt;Author&gt;Rey&lt;/Author&gt;&lt;Year&gt;2015&lt;/Year&gt;&lt;RecNum&gt;3915&lt;/RecNum&gt;&lt;record&gt;&lt;rec-number&gt;3915&lt;/rec-number&gt;&lt;foreign-keys&gt;&lt;key app="EN" db-id="wxw9eet5tpa22ve22arv5vv0ttr2rawvxwwp" timestamp="1496067779"&gt;3915&lt;/key&gt;&lt;/foreign-keys&gt;&lt;ref-type name="Report"&gt;27&lt;/ref-type&gt;&lt;contributors&gt;&lt;authors&gt;&lt;author&gt;Rey, Hélène&lt;/author&gt;&lt;/authors&gt;&lt;/contributors&gt;&lt;titles&gt;&lt;title&gt;Dilemma Not Trilemma: The Global Financial Cycle and Monetary Policy Independence&lt;/title&gt;&lt;/titles&gt;&lt;dates&gt;&lt;year&gt;2015&lt;/year&gt;&lt;/dates&gt;&lt;publisher&gt;National Bureau of Economic Research&lt;/publisher&gt;&lt;urls&gt;&lt;/urls&gt;&lt;/record&gt;&lt;/Cite&gt;&lt;/EndNote&gt;</w:instrText>
      </w:r>
      <w:r w:rsidRPr="00CB4FCD">
        <w:fldChar w:fldCharType="separate"/>
      </w:r>
      <w:r>
        <w:rPr>
          <w:noProof/>
        </w:rPr>
        <w:t>(Obstfeld, Shambaugh, &amp; Taylor, 2005; Rey, 2015)</w:t>
      </w:r>
      <w:r w:rsidRPr="00CB4FCD">
        <w:fldChar w:fldCharType="end"/>
      </w:r>
      <w:r w:rsidRPr="00CB4FCD">
        <w:t xml:space="preserve">. </w:t>
      </w:r>
      <w:r>
        <w:t>W</w:t>
      </w:r>
      <w:r w:rsidRPr="00CB4FCD">
        <w:t xml:space="preserve">e </w:t>
      </w:r>
      <w:r>
        <w:t>should</w:t>
      </w:r>
      <w:r w:rsidRPr="00CB4FCD">
        <w:t xml:space="preserve"> observe floating exchange rates in countries that prefer the ability to respond to recessions or economic shocks. In contrast, countries that prioritize the stability of their foreign economic relations, or that need to signa</w:t>
      </w:r>
      <w:r>
        <w:t>l commitment to price stability,</w:t>
      </w:r>
      <w:r w:rsidRPr="00CB4FCD">
        <w:t xml:space="preserve"> </w:t>
      </w:r>
      <w:r w:rsidR="001E35B6">
        <w:t>could be expected to</w:t>
      </w:r>
      <w:r w:rsidR="001E35B6" w:rsidRPr="00CB4FCD">
        <w:t xml:space="preserve"> </w:t>
      </w:r>
      <w:r w:rsidRPr="00CB4FCD">
        <w:t>choose fixed exchange rates – and forfeit monetary autonomy.</w:t>
      </w:r>
    </w:p>
    <w:p w14:paraId="47968EF4" w14:textId="1F4D0435" w:rsidR="00A803B0" w:rsidRPr="00CB4FCD" w:rsidRDefault="00A803B0" w:rsidP="0064197B">
      <w:pPr>
        <w:pStyle w:val="Newparagraph"/>
        <w:rPr>
          <w:color w:val="FF0000"/>
        </w:rPr>
      </w:pPr>
      <w:r>
        <w:t>W</w:t>
      </w:r>
      <w:r w:rsidRPr="00CB4FCD">
        <w:t xml:space="preserve">e focus on one of these important roles that </w:t>
      </w:r>
      <w:r>
        <w:t xml:space="preserve">fixed </w:t>
      </w:r>
      <w:r w:rsidRPr="00CB4FCD">
        <w:t>exchange rate regimes play, especially relevant for developing countries</w:t>
      </w:r>
      <w:r>
        <w:t>:</w:t>
      </w:r>
      <w:r w:rsidRPr="00CB4FCD">
        <w:t xml:space="preserve"> back</w:t>
      </w:r>
      <w:r>
        <w:t>ing</w:t>
      </w:r>
      <w:r w:rsidRPr="00CB4FCD">
        <w:t xml:space="preserve"> anti-inflationary or orthodox monetary commitments</w:t>
      </w:r>
      <w:r>
        <w:t>.</w:t>
      </w:r>
      <w:r w:rsidRPr="00D46F04">
        <w:t xml:space="preserve"> </w:t>
      </w:r>
      <w:r>
        <w:t>T</w:t>
      </w:r>
      <w:r w:rsidRPr="00CB4FCD">
        <w:t>o control inflation –</w:t>
      </w:r>
      <w:r w:rsidRPr="00CB4FCD">
        <w:rPr>
          <w:rStyle w:val="FootnoteReference"/>
        </w:rPr>
        <w:t xml:space="preserve"> </w:t>
      </w:r>
      <w:r w:rsidRPr="00CB4FCD">
        <w:t>and to signal commitment to this policy goal – countries can either fix their exchange rate or increase</w:t>
      </w:r>
      <w:r>
        <w:t xml:space="preserve"> </w:t>
      </w:r>
      <w:r w:rsidRPr="00BB6A07">
        <w:t>CBI.</w:t>
      </w:r>
      <w:r w:rsidR="0064197B" w:rsidRPr="00BB6A07">
        <w:rPr>
          <w:rStyle w:val="FootnoteReference"/>
        </w:rPr>
        <w:footnoteReference w:id="2"/>
      </w:r>
      <w:r w:rsidRPr="00BB6A07">
        <w:t xml:space="preserve"> CBI is less costly than fixed exchange rates because it does not imply giving up</w:t>
      </w:r>
      <w:r w:rsidR="00B00F9B" w:rsidRPr="00BB6A07">
        <w:t xml:space="preserve"> monetary policy for stabilis</w:t>
      </w:r>
      <w:r w:rsidRPr="00BB6A07">
        <w:t xml:space="preserve">ation purposes </w:t>
      </w:r>
      <w:r w:rsidRPr="00BB6A07">
        <w:fldChar w:fldCharType="begin"/>
      </w:r>
      <w:r w:rsidRPr="00BB6A07">
        <w:instrText xml:space="preserve"> ADDIN EN.CITE &lt;EndNote&gt;&lt;Cite&gt;&lt;Author&gt;Obstfeld&lt;/Author&gt;&lt;Year&gt;1995&lt;/Year&gt;&lt;RecNum&gt;3682&lt;/RecNum&gt;&lt;Suffix&gt;:74&lt;/Suffix&gt;&lt;DisplayText&gt;(Obstfeld &amp;amp; Rogoff, 1995:74)&lt;/DisplayText&gt;&lt;record&gt;&lt;rec-number&gt;3682&lt;/rec-number&gt;&lt;foreign-keys&gt;&lt;key app="EN" db-id="wxw9eet5tpa22ve22arv5vv0ttr2rawvxwwp" timestamp="1472058781"&gt;3682&lt;/key&gt;&lt;/foreign-keys&gt;&lt;ref-type name="Journal Article"&gt;17&lt;/ref-type&gt;&lt;contributors&gt;&lt;authors&gt;&lt;author&gt;Obstfeld, Maurice&lt;/author&gt;&lt;author&gt;Rogoff, Kenneth&lt;/author&gt;&lt;/authors&gt;&lt;/contributors&gt;&lt;titles&gt;&lt;title&gt;The Mirage of Fixed Exchange Rates&lt;/title&gt;&lt;secondary-title&gt;The Journal of Economic Perspectives&lt;/secondary-title&gt;&lt;/titles&gt;&lt;periodical&gt;&lt;full-title&gt;The Journal of Economic Perspectives&lt;/full-title&gt;&lt;/periodical&gt;&lt;pages&gt;73-96&lt;/pages&gt;&lt;volume&gt;9&lt;/volume&gt;&lt;number&gt;4&lt;/number&gt;&lt;dates&gt;&lt;year&gt;1995&lt;/year&gt;&lt;/dates&gt;&lt;publisher&gt;American Economic Association&lt;/publisher&gt;&lt;isbn&gt;08953309&lt;/isbn&gt;&lt;urls&gt;&lt;related-urls&gt;&lt;url&gt;http://www.jstor.org/stable/2138391&lt;/url&gt;&lt;/related-urls&gt;&lt;/urls&gt;&lt;custom1&gt;Full publication date: Autumn, 1995&lt;/custom1&gt;&lt;/record&gt;&lt;/Cite&gt;&lt;/EndNote&gt;</w:instrText>
      </w:r>
      <w:r w:rsidRPr="00BB6A07">
        <w:fldChar w:fldCharType="separate"/>
      </w:r>
      <w:r w:rsidRPr="00BB6A07">
        <w:rPr>
          <w:noProof/>
        </w:rPr>
        <w:t>(Obstfeld &amp; Rogoff, 1995:74)</w:t>
      </w:r>
      <w:r w:rsidRPr="00BB6A07">
        <w:fldChar w:fldCharType="end"/>
      </w:r>
      <w:r w:rsidRPr="00BB6A07">
        <w:t xml:space="preserve">. However, a government’s commitment to respecting CBI is also less transparent: it is harder to learn whether the government imposes its preferences over the central bank board than to observe deviations from a fixed exchange rate </w:t>
      </w:r>
      <w:r w:rsidRPr="00BB6A07">
        <w:fldChar w:fldCharType="begin"/>
      </w:r>
      <w:r w:rsidRPr="00BB6A07">
        <w:instrText xml:space="preserve"> ADDIN EN.CITE &lt;EndNote&gt;&lt;Cite&gt;&lt;Author&gt;Broz&lt;/Author&gt;&lt;Year&gt;2002&lt;/Year&gt;&lt;RecNum&gt;47&lt;/RecNum&gt;&lt;DisplayText&gt;(Broz, 2002)&lt;/DisplayText&gt;&lt;record&gt;&lt;rec-number&gt;47&lt;/rec-number&gt;&lt;foreign-keys&gt;&lt;key app="EN" db-id="wxw9eet5tpa22ve22arv5vv0ttr2rawvxwwp" timestamp="0"&gt;47&lt;/key&gt;&lt;/foreign-keys&gt;&lt;ref-type name="Journal Article"&gt;17&lt;/ref-type&gt;&lt;contributors&gt;&lt;authors&gt;&lt;author&gt;J. Lawrence Broz&lt;/author&gt;&lt;/authors&gt;&lt;/contributors&gt;&lt;titles&gt;&lt;title&gt;Political System Transparency and Monetary Commitment Regimes&lt;/title&gt;&lt;secondary-title&gt;International Organization&lt;/secondary-title&gt;&lt;/titles&gt;&lt;periodical&gt;&lt;full-title&gt;International Organization&lt;/full-title&gt;&lt;abbr-1&gt;IO&lt;/abbr-1&gt;&lt;/periodical&gt;&lt;pages&gt;861-887&lt;/pages&gt;&lt;volume&gt;56&lt;/volume&gt;&lt;number&gt;4&lt;/number&gt;&lt;keywords&gt;&lt;keyword&gt;Central Bank Independence&lt;/keyword&gt;&lt;keyword&gt;Exchange rate&lt;/keyword&gt;&lt;keyword&gt;Inflation&lt;/keyword&gt;&lt;keyword&gt;Monetary policy&lt;/keyword&gt;&lt;keyword&gt;Time inconsistency&lt;/keyword&gt;&lt;keyword&gt;*&lt;/keyword&gt;&lt;/keywords&gt;&lt;dates&gt;&lt;year&gt;2002&lt;/year&gt;&lt;pub-dates&gt;&lt;date&gt;Autumn 2002&lt;/date&gt;&lt;/pub-dates&gt;&lt;/dates&gt;&lt;urls&gt;&lt;related-urls&gt;&lt;url&gt;CBI.  Political&lt;/url&gt;&lt;url&gt;IPE-W4: CBI&lt;/url&gt;&lt;/related-urls&gt;&lt;/urls&gt;&lt;/record&gt;&lt;/Cite&gt;&lt;/EndNote&gt;</w:instrText>
      </w:r>
      <w:r w:rsidRPr="00BB6A07">
        <w:fldChar w:fldCharType="separate"/>
      </w:r>
      <w:r w:rsidRPr="00BB6A07">
        <w:rPr>
          <w:noProof/>
        </w:rPr>
        <w:t>(Broz, 2002)</w:t>
      </w:r>
      <w:r w:rsidRPr="00BB6A07">
        <w:fldChar w:fldCharType="end"/>
      </w:r>
      <w:r w:rsidRPr="00BB6A07">
        <w:t xml:space="preserve">. This reduced ability to observe compliance may affect the credibility of the commitment. Here, regime type matters. Democracies can rely on the regime’s credibility and commit to price stability through institutional mechanisms. Autocracies cannot credibly commit to respecting CBI </w:t>
      </w:r>
      <w:r w:rsidRPr="00BB6A07">
        <w:fldChar w:fldCharType="begin"/>
      </w:r>
      <w:r w:rsidRPr="00BB6A07">
        <w:instrText xml:space="preserve"> ADDIN EN.CITE &lt;EndNote&gt;&lt;Cite&gt;&lt;Author&gt;Broz&lt;/Author&gt;&lt;Year&gt;2002&lt;/Year&gt;&lt;RecNum&gt;47&lt;/RecNum&gt;&lt;DisplayText&gt;(Broz, 2002)&lt;/DisplayText&gt;&lt;record&gt;&lt;rec-number&gt;47&lt;/rec-number&gt;&lt;foreign-keys&gt;&lt;key app="EN" db-id="wxw9eet5tpa22ve22arv5vv0ttr2rawvxwwp" timestamp="0"&gt;47&lt;/key&gt;&lt;/foreign-keys&gt;&lt;ref-type name="Journal Article"&gt;17&lt;/ref-type&gt;&lt;contributors&gt;&lt;authors&gt;&lt;author&gt;J. Lawrence Broz&lt;/author&gt;&lt;/authors&gt;&lt;/contributors&gt;&lt;titles&gt;&lt;title&gt;Political System Transparency and Monetary Commitment Regimes&lt;/title&gt;&lt;secondary-title&gt;International Organization&lt;/secondary-title&gt;&lt;/titles&gt;&lt;periodical&gt;&lt;full-title&gt;International Organization&lt;/full-title&gt;&lt;abbr-1&gt;IO&lt;/abbr-1&gt;&lt;/periodical&gt;&lt;pages&gt;861-887&lt;/pages&gt;&lt;volume&gt;56&lt;/volume&gt;&lt;number&gt;4&lt;/number&gt;&lt;keywords&gt;&lt;keyword&gt;Central Bank Independence&lt;/keyword&gt;&lt;keyword&gt;Exchange rate&lt;/keyword&gt;&lt;keyword&gt;Inflation&lt;/keyword&gt;&lt;keyword&gt;Monetary policy&lt;/keyword&gt;&lt;keyword&gt;Time inconsistency&lt;/keyword&gt;&lt;keyword&gt;*&lt;/keyword&gt;&lt;/keywords&gt;&lt;dates&gt;&lt;year&gt;2002&lt;/year&gt;&lt;pub-dates&gt;&lt;date&gt;Autumn 2002&lt;/date&gt;&lt;/pub-dates&gt;&lt;/dates&gt;&lt;urls&gt;&lt;related-urls&gt;&lt;url&gt;CBI.  Political&lt;/url&gt;&lt;url&gt;IPE-W4: CBI&lt;/url&gt;&lt;/related-urls&gt;&lt;/urls&gt;&lt;/record&gt;&lt;/Cite&gt;&lt;/EndNote&gt;</w:instrText>
      </w:r>
      <w:r w:rsidRPr="00BB6A07">
        <w:fldChar w:fldCharType="separate"/>
      </w:r>
      <w:r w:rsidRPr="00BB6A07">
        <w:rPr>
          <w:noProof/>
        </w:rPr>
        <w:t>(Broz, 2002)</w:t>
      </w:r>
      <w:r w:rsidRPr="00BB6A07">
        <w:fldChar w:fldCharType="end"/>
      </w:r>
      <w:r w:rsidRPr="00BB6A07">
        <w:t>. Therefore, they should rely on a costlier commitment technology to control inflation, namely, fixed exchange rates.</w:t>
      </w:r>
      <w:r w:rsidR="0064197B" w:rsidRPr="00BB6A07">
        <w:rPr>
          <w:rStyle w:val="FootnoteReference"/>
        </w:rPr>
        <w:t xml:space="preserve"> </w:t>
      </w:r>
      <w:r w:rsidR="0064197B" w:rsidRPr="00BB6A07">
        <w:rPr>
          <w:rStyle w:val="FootnoteReference"/>
        </w:rPr>
        <w:footnoteReference w:id="3"/>
      </w:r>
    </w:p>
    <w:p w14:paraId="75F70D97" w14:textId="3EA78FC9" w:rsidR="00A803B0" w:rsidRDefault="00A803B0" w:rsidP="00AC132B">
      <w:pPr>
        <w:pStyle w:val="Newparagraph"/>
      </w:pPr>
      <w:r w:rsidRPr="00CA7EFE">
        <w:lastRenderedPageBreak/>
        <w:t xml:space="preserve">We argue that remittances may enable autocracies to use CBI to signal </w:t>
      </w:r>
      <w:r w:rsidR="000A7B86">
        <w:t xml:space="preserve">their </w:t>
      </w:r>
      <w:r w:rsidRPr="00CA7EFE">
        <w:t>commitment to price stability. Holding constant other incentives to adopt different exchange rate regimes, we argue that remittances alter the incentives to adopt a fixed exchange rate in the presence of an independent central bank.</w:t>
      </w:r>
      <w:r w:rsidRPr="00CA7EFE">
        <w:rPr>
          <w:rStyle w:val="FootnoteReference"/>
        </w:rPr>
        <w:footnoteReference w:id="4"/>
      </w:r>
    </w:p>
    <w:p w14:paraId="75061F63" w14:textId="77777777" w:rsidR="00A803B0" w:rsidRPr="00CB4FCD" w:rsidRDefault="00A803B0" w:rsidP="00A803B0">
      <w:pPr>
        <w:pStyle w:val="Heading1"/>
        <w:rPr>
          <w:szCs w:val="24"/>
        </w:rPr>
      </w:pPr>
      <w:r w:rsidRPr="00CA7EFE">
        <w:rPr>
          <w:szCs w:val="24"/>
        </w:rPr>
        <w:t>Remittances, Central Bank Independence, and Exchange Rates</w:t>
      </w:r>
    </w:p>
    <w:p w14:paraId="06EF095C" w14:textId="1BA42EAB" w:rsidR="00A803B0" w:rsidRPr="00CB4FCD" w:rsidRDefault="00A803B0" w:rsidP="00AC132B">
      <w:pPr>
        <w:pStyle w:val="Paragraph"/>
      </w:pPr>
      <w:r w:rsidRPr="00CB4FCD">
        <w:t>Remittances are a more stable source of foreign revenue than other capital flows</w:t>
      </w:r>
      <w:r>
        <w:t>, such as private portfolio investment</w:t>
      </w:r>
      <w:r w:rsidRPr="00CB4FCD">
        <w:t xml:space="preserve">. Furthermore, remittances are sent counter-cyclically, increasing during adverse economic conditions, natural catastrophes, and during war and conflict in home countries </w:t>
      </w:r>
      <w:r w:rsidRPr="00CB4FCD">
        <w:fldChar w:fldCharType="begin">
          <w:fldData xml:space="preserve">PEVuZE5vdGU+PENpdGU+PEF1dGhvcj5Xb3JsZCBCYW5rPC9BdXRob3I+PFllYXI+MjAwNjwvWWVh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</w:fldData>
        </w:fldChar>
      </w:r>
      <w:r>
        <w:instrText xml:space="preserve"> ADDIN EN.CITE </w:instrText>
      </w:r>
      <w:r>
        <w:fldChar w:fldCharType="begin">
          <w:fldData xml:space="preserve">PEVuZE5vdGU+PENpdGU+PEF1dGhvcj5Xb3JsZCBCYW5rPC9BdXRob3I+PFllYXI+MjAwNjwvWWVh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</w:fldData>
        </w:fldChar>
      </w:r>
      <w:r>
        <w:instrText xml:space="preserve"> ADDIN EN.CITE.DATA </w:instrText>
      </w:r>
      <w:r>
        <w:fldChar w:fldCharType="end"/>
      </w:r>
      <w:r w:rsidRPr="00CB4FCD">
        <w:fldChar w:fldCharType="separate"/>
      </w:r>
      <w:r>
        <w:rPr>
          <w:noProof/>
        </w:rPr>
        <w:t>(Frankel, 2011; World Bank, 2006; Yang &amp; Choi, 2007)</w:t>
      </w:r>
      <w:r w:rsidRPr="00CB4FCD">
        <w:fldChar w:fldCharType="end"/>
      </w:r>
      <w:r w:rsidRPr="00CB4FCD">
        <w:t xml:space="preserve">. Thus, remittances have an income smoothing effect that performs an insurance role, helping families to weather adverse economic times </w:t>
      </w:r>
      <w:r w:rsidRPr="00CB4FCD">
        <w:fldChar w:fldCharType="begin"/>
      </w:r>
      <w:r w:rsidR="00AC132B">
        <w:instrText xml:space="preserve"> ADDIN EN.CITE &lt;EndNote&gt;&lt;Cite&gt;&lt;Author&gt;Combes&lt;/Author&gt;&lt;Year&gt;2011&lt;/Year&gt;&lt;RecNum&gt;3848&lt;/RecNum&gt;&lt;DisplayText&gt;(Combes &amp;amp; Ebeke, 2011)&lt;/DisplayText&gt;&lt;record&gt;&lt;rec-number&gt;3848&lt;/rec-number&gt;&lt;foreign-keys&gt;&lt;key app="EN" db-id="wxw9eet5tpa22ve22arv5vv0ttr2rawvxwwp" timestamp="1486333116"&gt;3848&lt;/key&gt;&lt;/foreign-keys&gt;&lt;ref-type name="Journal Article"&gt;17&lt;/ref-type&gt;&lt;contributors&gt;&lt;authors&gt;&lt;author&gt;Combes, Jean-Louis&lt;/author&gt;&lt;author&gt;Ebeke, Christian&lt;/author&gt;&lt;/authors&gt;&lt;/contributors&gt;&lt;titles&gt;&lt;title&gt;Remittances and Household Consumption Instability in Developing Countries&lt;/title&gt;&lt;secondary-title&gt;World Development&lt;/secondary-title&gt;&lt;/titles&gt;&lt;periodical&gt;&lt;full-title&gt;World Development&lt;/full-title&gt;&lt;/periodical&gt;&lt;pages&gt;1076-1089&lt;/pages&gt;&lt;volume&gt;39&lt;/volume&gt;&lt;number&gt;7&lt;/number&gt;&lt;keywords&gt;&lt;keyword&gt;remittances&lt;/keyword&gt;&lt;keyword&gt;consumption instability&lt;/keyword&gt;&lt;keyword&gt;financial development&lt;/keyword&gt;&lt;keyword&gt;shocks&lt;/keyword&gt;&lt;keyword&gt;threshold effects&lt;/keyword&gt;&lt;keyword&gt;developing countries&lt;/keyword&gt;&lt;/keywords&gt;&lt;dates&gt;&lt;year&gt;2011&lt;/year&gt;&lt;pub-dates&gt;&lt;date&gt;7//&lt;/date&gt;&lt;/pub-dates&gt;&lt;/dates&gt;&lt;isbn&gt;0305-750X&lt;/isbn&gt;&lt;urls&gt;&lt;related-urls&gt;&lt;url&gt;//www.sciencedirect.com/science/article/pii/S0305750X10002287&lt;/url&gt;&lt;/related-urls&gt;&lt;/urls&gt;&lt;electronic-resource-num&gt;http://dx.doi.org/10.1016/j.worlddev.2010.10.006&lt;/electronic-resource-num&gt;&lt;/record&gt;&lt;/Cite&gt;&lt;/EndNote&gt;</w:instrText>
      </w:r>
      <w:r w:rsidRPr="00CB4FCD">
        <w:fldChar w:fldCharType="separate"/>
      </w:r>
      <w:r w:rsidR="00AC132B">
        <w:rPr>
          <w:noProof/>
        </w:rPr>
        <w:t>(Combes &amp; Ebeke, 2011)</w:t>
      </w:r>
      <w:r w:rsidRPr="00CB4FCD">
        <w:fldChar w:fldCharType="end"/>
      </w:r>
      <w:r w:rsidRPr="00CB4FCD">
        <w:t xml:space="preserve">. </w:t>
      </w:r>
      <w:r w:rsidR="00C11EE0">
        <w:t>Through</w:t>
      </w:r>
      <w:r w:rsidRPr="00CB4FCD">
        <w:t xml:space="preserve"> remittances, migrants often become non-state providers of public goods at the local level </w:t>
      </w:r>
      <w:r w:rsidRPr="00CB4FCD">
        <w:fldChar w:fldCharType="begin">
          <w:fldData xml:space="preserve">PEVuZE5vdGU+PENpdGU+PEF1dGhvcj5BZGlkYTwvQXV0aG9yPjxZZWFyPjIwMTE8L1llYXI+PFJl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</w:fldData>
        </w:fldChar>
      </w:r>
      <w:r>
        <w:instrText xml:space="preserve"> ADDIN EN.CITE </w:instrText>
      </w:r>
      <w:r>
        <w:fldChar w:fldCharType="begin">
          <w:fldData xml:space="preserve">PEVuZE5vdGU+PENpdGU+PEF1dGhvcj5BZGlkYTwvQXV0aG9yPjxZZWFyPjIwMTE8L1llYXI+PFJl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</w:fldData>
        </w:fldChar>
      </w:r>
      <w:r>
        <w:instrText xml:space="preserve"> ADDIN EN.CITE.DATA </w:instrText>
      </w:r>
      <w:r>
        <w:fldChar w:fldCharType="end"/>
      </w:r>
      <w:r w:rsidRPr="00CB4FCD">
        <w:fldChar w:fldCharType="separate"/>
      </w:r>
      <w:r>
        <w:rPr>
          <w:noProof/>
        </w:rPr>
        <w:t>(Adida &amp; Girod, 2011; Aparicio &amp; Meseguer, 2012; Duquette-Rury, 2014)</w:t>
      </w:r>
      <w:r w:rsidRPr="00CB4FCD">
        <w:fldChar w:fldCharType="end"/>
      </w:r>
      <w:r w:rsidRPr="00CB4FCD">
        <w:t>, easing demands on governments to provide public and social goods.</w:t>
      </w:r>
    </w:p>
    <w:p w14:paraId="1B46D395" w14:textId="22C87949" w:rsidR="00A803B0" w:rsidRPr="00BB6A07" w:rsidRDefault="00A803B0" w:rsidP="00AC132B">
      <w:pPr>
        <w:pStyle w:val="Newparagraph"/>
      </w:pPr>
      <w:r w:rsidRPr="00CB4FCD">
        <w:t xml:space="preserve">Numerous studies across different regions provide evidence of a substitution effect by which households invest substantial amounts of the money they receive from </w:t>
      </w:r>
      <w:r w:rsidRPr="00CB4FCD">
        <w:lastRenderedPageBreak/>
        <w:t xml:space="preserve">relatives abroad on education and health, as well as on other investments such as housing or starting private businesses </w:t>
      </w:r>
      <w:r w:rsidRPr="00CB4FCD">
        <w:fldChar w:fldCharType="begin"/>
      </w:r>
      <w:r>
        <w:instrText xml:space="preserve"> ADDIN EN.CITE &lt;EndNote&gt;&lt;Cite&gt;&lt;Author&gt;Adams&lt;/Author&gt;&lt;Year&gt;2010&lt;/Year&gt;&lt;RecNum&gt;3884&lt;/RecNum&gt;&lt;DisplayText&gt;(Adams &amp;amp; Cuecuecha, 2010; Ebeke &amp;amp; Drabo, 2011)&lt;/DisplayText&gt;&lt;record&gt;&lt;rec-number&gt;3884&lt;/rec-number&gt;&lt;foreign-keys&gt;&lt;key app="EN" db-id="wxw9eet5tpa22ve22arv5vv0ttr2rawvxwwp" timestamp="1489761284"&gt;3884&lt;/key&gt;&lt;/foreign-keys&gt;&lt;ref-type name="Journal Article"&gt;17&lt;/ref-type&gt;&lt;contributors&gt;&lt;authors&gt;&lt;author&gt;Adams, Richard H.&lt;/author&gt;&lt;author&gt;Cuecuecha, Alfredo&lt;/author&gt;&lt;/authors&gt;&lt;/contributors&gt;&lt;titles&gt;&lt;title&gt;Remittances, Household Expenditure and Investment in Guatemala&lt;/title&gt;&lt;secondary-title&gt;World Development&lt;/secondary-title&gt;&lt;/titles&gt;&lt;periodical&gt;&lt;full-title&gt;World Development&lt;/full-title&gt;&lt;/periodical&gt;&lt;pages&gt;1626-1641&lt;/pages&gt;&lt;volume&gt;38&lt;/volume&gt;&lt;number&gt;11&lt;/number&gt;&lt;keywords&gt;&lt;keyword&gt;remittances&lt;/keyword&gt;&lt;keyword&gt;consumption&lt;/keyword&gt;&lt;keyword&gt;investment&lt;/keyword&gt;&lt;keyword&gt;Guatemala&lt;/keyword&gt;&lt;/keywords&gt;&lt;dates&gt;&lt;year&gt;2010&lt;/year&gt;&lt;pub-dates&gt;&lt;date&gt;11//&lt;/date&gt;&lt;/pub-dates&gt;&lt;/dates&gt;&lt;isbn&gt;0305-750X&lt;/isbn&gt;&lt;urls&gt;&lt;related-urls&gt;&lt;url&gt;http://www.sciencedirect.com/science/article/pii/S0305750X10000495&lt;/url&gt;&lt;/related-urls&gt;&lt;/urls&gt;&lt;electronic-resource-num&gt;http://dx.doi.org/10.1016/j.worlddev.2010.03.003&lt;/electronic-resource-num&gt;&lt;/record&gt;&lt;/Cite&gt;&lt;Cite&gt;&lt;Author&gt;Ebeke&lt;/Author&gt;&lt;Year&gt;2011&lt;/Year&gt;&lt;RecNum&gt;3885&lt;/RecNum&gt;&lt;record&gt;&lt;rec-number&gt;3885&lt;/rec-number&gt;&lt;foreign-keys&gt;&lt;key app="EN" db-id="wxw9eet5tpa22ve22arv5vv0ttr2rawvxwwp" timestamp="1489761328"&gt;3885&lt;/key&gt;&lt;/foreign-keys&gt;&lt;ref-type name="Unpublished Work"&gt;34&lt;/ref-type&gt;&lt;contributors&gt;&lt;authors&gt;&lt;author&gt;Ebeke, Christian Hubert&lt;/author&gt;&lt;author&gt;Drabo, Alassane&lt;/author&gt;&lt;/authors&gt;&lt;/contributors&gt;&lt;titles&gt;&lt;title&gt;Remittances, Public Health Spending and Foreign Aid in the Access to Health Care Services in Developing Countries&lt;/title&gt;&lt;secondary-title&gt;Etudes et Documents du CERDI&lt;/secondary-title&gt;&lt;/titles&gt;&lt;periodical&gt;&lt;full-title&gt;Etudes et Documents du CERDI&lt;/full-title&gt;&lt;/periodical&gt;&lt;dates&gt;&lt;year&gt;2011&lt;/year&gt;&lt;/dates&gt;&lt;urls&gt;&lt;/urls&gt;&lt;/record&gt;&lt;/Cite&gt;&lt;/EndNote&gt;</w:instrText>
      </w:r>
      <w:r w:rsidRPr="00CB4FCD">
        <w:fldChar w:fldCharType="separate"/>
      </w:r>
      <w:r>
        <w:rPr>
          <w:noProof/>
        </w:rPr>
        <w:t>(Adams &amp; Cuecuecha, 2010; Ebeke &amp; Drabo, 2011)</w:t>
      </w:r>
      <w:r w:rsidRPr="00CB4FCD">
        <w:fldChar w:fldCharType="end"/>
      </w:r>
      <w:r w:rsidRPr="00CB4FCD">
        <w:t xml:space="preserve">. Through a variety of channels, remittances reduce poverty </w:t>
      </w:r>
      <w:r w:rsidRPr="00CB4FCD">
        <w:fldChar w:fldCharType="begin">
          <w:fldData xml:space="preserve">PEVuZE5vdGU+PENpdGU+PEF1dGhvcj5BZGFtczwvQXV0aG9yPjxZZWFyPjIwMDU8L1llYXI+PFJl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</w:fldData>
        </w:fldChar>
      </w:r>
      <w:r>
        <w:instrText xml:space="preserve"> ADDIN EN.CITE </w:instrText>
      </w:r>
      <w:r>
        <w:fldChar w:fldCharType="begin">
          <w:fldData xml:space="preserve">PEVuZE5vdGU+PENpdGU+PEF1dGhvcj5BZGFtczwvQXV0aG9yPjxZZWFyPjIwMDU8L1llYXI+PFJl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</w:fldData>
        </w:fldChar>
      </w:r>
      <w:r>
        <w:instrText xml:space="preserve"> ADDIN EN.CITE.DATA </w:instrText>
      </w:r>
      <w:r>
        <w:fldChar w:fldCharType="end"/>
      </w:r>
      <w:r w:rsidRPr="00CB4FCD">
        <w:fldChar w:fldCharType="separate"/>
      </w:r>
      <w:r>
        <w:rPr>
          <w:noProof/>
        </w:rPr>
        <w:t>(Adams &amp; Page, 2005; Fajnzylber &amp; López, 2008; World Bank, 2006)</w:t>
      </w:r>
      <w:r w:rsidRPr="00CB4FCD">
        <w:fldChar w:fldCharType="end"/>
      </w:r>
      <w:r w:rsidRPr="00CB4FCD">
        <w:t xml:space="preserve">, making it less pressing </w:t>
      </w:r>
      <w:r w:rsidR="007E0DA9" w:rsidRPr="00CB4FCD">
        <w:t xml:space="preserve">overall </w:t>
      </w:r>
      <w:r w:rsidRPr="00CB4FCD">
        <w:t xml:space="preserve">for governments to invest in social policies as recipients’ autonomy from the state increases </w:t>
      </w:r>
      <w:r w:rsidRPr="00CB4FCD">
        <w:fldChar w:fldCharType="begin"/>
      </w:r>
      <w:r w:rsidRPr="00CB4FCD">
        <w:instrText xml:space="preserve"> ADDIN EN.CITE &lt;EndNote&gt;&lt;Cite&gt;&lt;Author&gt;McMann&lt;/Author&gt;&lt;Year&gt;2006&lt;/Year&gt;&lt;RecNum&gt;3886&lt;/RecNum&gt;&lt;DisplayText&gt;(McMann, 2006)&lt;/DisplayText&gt;&lt;record&gt;&lt;rec-number&gt;3886&lt;/rec-number&gt;&lt;foreign-keys&gt;&lt;key app="EN" db-id="wxw9eet5tpa22ve22arv5vv0ttr2rawvxwwp" timestamp="1489761569"&gt;3886&lt;/key&gt;&lt;/foreign-keys&gt;&lt;ref-type name="Book"&gt;6&lt;/ref-type&gt;&lt;contributors&gt;&lt;authors&gt;&lt;author&gt;McMann, Kelly M&lt;/author&gt;&lt;/authors&gt;&lt;/contributors&gt;&lt;titles&gt;&lt;title&gt;Economic Autonomy and Democracy: Hybrid Regimes in Russia and Kyrgyzstan&lt;/title&gt;&lt;/titles&gt;&lt;dates&gt;&lt;year&gt;2006&lt;/year&gt;&lt;/dates&gt;&lt;publisher&gt;Cambridge University Press&lt;/publisher&gt;&lt;isbn&gt;1139455052&lt;/isbn&gt;&lt;urls&gt;&lt;/urls&gt;&lt;/record&gt;&lt;/Cite&gt;&lt;/EndNote&gt;</w:instrText>
      </w:r>
      <w:r w:rsidRPr="00CB4FCD">
        <w:fldChar w:fldCharType="separate"/>
      </w:r>
      <w:r w:rsidRPr="00CB4FCD">
        <w:rPr>
          <w:noProof/>
        </w:rPr>
        <w:t>(McMann, 2006)</w:t>
      </w:r>
      <w:r w:rsidRPr="00CB4FCD">
        <w:fldChar w:fldCharType="end"/>
      </w:r>
      <w:r w:rsidRPr="00CB4FCD">
        <w:t xml:space="preserve">. Ahmed </w:t>
      </w:r>
      <w:r w:rsidRPr="00CB4FCD">
        <w:fldChar w:fldCharType="begin">
          <w:fldData xml:space="preserve">PEVuZE5vdGU+PENpdGUgRXhjbHVkZUF1dGg9IjEiPjxBdXRob3I+QWhtZWQ8L0F1dGhvcj48WWVh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</w:fldData>
        </w:fldChar>
      </w:r>
      <w:r w:rsidRPr="00CB4FCD">
        <w:instrText xml:space="preserve"> ADDIN EN.CITE </w:instrText>
      </w:r>
      <w:r w:rsidRPr="00CB4FCD">
        <w:fldChar w:fldCharType="begin">
          <w:fldData xml:space="preserve">PEVuZE5vdGU+PENpdGUgRXhjbHVkZUF1dGg9IjEiPjxBdXRob3I+QWhtZWQ8L0F1dGhvcj48WWVh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</w:fldData>
        </w:fldChar>
      </w:r>
      <w:r w:rsidRPr="00CB4FCD">
        <w:instrText xml:space="preserve"> ADDIN EN.CITE.DATA </w:instrText>
      </w:r>
      <w:r w:rsidRPr="00CB4FCD">
        <w:fldChar w:fldCharType="end"/>
      </w:r>
      <w:r w:rsidRPr="00CB4FCD">
        <w:fldChar w:fldCharType="separate"/>
      </w:r>
      <w:r w:rsidRPr="00CB4FCD">
        <w:rPr>
          <w:noProof/>
        </w:rPr>
        <w:t>(2012, 2013)</w:t>
      </w:r>
      <w:r w:rsidRPr="00CB4FCD">
        <w:fldChar w:fldCharType="end"/>
      </w:r>
      <w:r>
        <w:t xml:space="preserve"> and </w:t>
      </w:r>
      <w:r w:rsidRPr="00CB4FCD">
        <w:t xml:space="preserve">Easton and </w:t>
      </w:r>
      <w:proofErr w:type="spellStart"/>
      <w:r w:rsidRPr="00CB4FCD">
        <w:t>Montinola</w:t>
      </w:r>
      <w:proofErr w:type="spellEnd"/>
      <w:r w:rsidRPr="00CB4FCD">
        <w:t xml:space="preserve"> </w:t>
      </w:r>
      <w:r w:rsidRPr="00CB4FCD">
        <w:fldChar w:fldCharType="begin"/>
      </w:r>
      <w:r w:rsidRPr="00CB4FCD">
        <w:instrText xml:space="preserve"> ADDIN EN.CITE &lt;EndNote&gt;&lt;Cite ExcludeAuth="1"&gt;&lt;Author&gt;Easton&lt;/Author&gt;&lt;Year&gt;2016&lt;/Year&gt;&lt;RecNum&gt;3845&lt;/RecNum&gt;&lt;DisplayText&gt;(2016)&lt;/DisplayText&gt;&lt;record&gt;&lt;rec-number&gt;3845&lt;/rec-number&gt;&lt;foreign-keys&gt;&lt;key app="EN" db-id="wxw9eet5tpa22ve22arv5vv0ttr2rawvxwwp" timestamp="1486331692"&gt;3845&lt;/key&gt;&lt;/foreign-keys&gt;&lt;ref-type name="Journal Article"&gt;17&lt;/ref-type&gt;&lt;contributors&gt;&lt;authors&gt;&lt;author&gt;Easton, Malcolm R.&lt;/author&gt;&lt;author&gt;Montinola, Gabriella R.&lt;/author&gt;&lt;/authors&gt;&lt;/contributors&gt;&lt;titles&gt;&lt;title&gt;Remittances, Regime Type, and Government Spending Priorities&lt;/title&gt;&lt;secondary-title&gt;Studies in Comparative International Development&lt;/secondary-title&gt;&lt;/titles&gt;&lt;periodical&gt;&lt;full-title&gt;Studies in Comparative International Development&lt;/full-title&gt;&lt;/periodical&gt;&lt;pages&gt;1-23&lt;/pages&gt;&lt;dates&gt;&lt;year&gt;2016&lt;/year&gt;&lt;/dates&gt;&lt;isbn&gt;1936-6167&lt;/isbn&gt;&lt;label&gt;Easton2016&lt;/label&gt;&lt;work-type&gt;journal article&lt;/work-type&gt;&lt;urls&gt;&lt;related-urls&gt;&lt;url&gt;http://dx.doi.org/10.1007/s12116-016-9233-7&lt;/url&gt;&lt;/related-urls&gt;&lt;/urls&gt;&lt;electronic-resource-num&gt;10.1007/s12116-016-9233-7&lt;/electronic-resource-num&gt;&lt;/record&gt;&lt;/Cite&gt;&lt;/EndNote&gt;</w:instrText>
      </w:r>
      <w:r w:rsidRPr="00CB4FCD">
        <w:fldChar w:fldCharType="separate"/>
      </w:r>
      <w:r w:rsidRPr="00CB4FCD">
        <w:rPr>
          <w:noProof/>
        </w:rPr>
        <w:t>(2016)</w:t>
      </w:r>
      <w:r w:rsidRPr="00CB4FCD">
        <w:fldChar w:fldCharType="end"/>
      </w:r>
      <w:r w:rsidRPr="00CB4FCD">
        <w:t xml:space="preserve"> document that as a result of the substitution effect of remittances, autocracies that receive remittances spend less on social transfers and more on p</w:t>
      </w:r>
      <w:r w:rsidR="00F52FDD">
        <w:t>atronage and military spending.</w:t>
      </w:r>
      <w:r w:rsidR="00F52FDD">
        <w:rPr>
          <w:rStyle w:val="FootnoteReference"/>
        </w:rPr>
        <w:footnoteReference w:id="5"/>
      </w:r>
      <w:r w:rsidR="00F52FDD">
        <w:t xml:space="preserve"> </w:t>
      </w:r>
      <w:r w:rsidRPr="00CB4FCD">
        <w:t xml:space="preserve">Doyle </w:t>
      </w:r>
      <w:r w:rsidRPr="00CB4FCD">
        <w:fldChar w:fldCharType="begin"/>
      </w:r>
      <w:r w:rsidRPr="00CB4FCD">
        <w:instrText xml:space="preserve"> ADDIN EN.CITE &lt;EndNote&gt;&lt;Cite ExcludeAuth="1"&gt;&lt;Author&gt;Doyle&lt;/Author&gt;&lt;Year&gt;2015&lt;/Year&gt;&lt;RecNum&gt;3673&lt;/RecNum&gt;&lt;DisplayText&gt;(2015)&lt;/DisplayText&gt;&lt;record&gt;&lt;rec-number&gt;3673&lt;/rec-number&gt;&lt;foreign-keys&gt;&lt;key app="EN" db-id="wxw9eet5tpa22ve22arv5vv0ttr2rawvxwwp" timestamp="1472009668"&gt;3673&lt;/key&gt;&lt;/foreign-keys&gt;&lt;ref-type name="Journal Article"&gt;17&lt;/ref-type&gt;&lt;contributors&gt;&lt;authors&gt;&lt;author&gt;Doyle, David&lt;/author&gt;&lt;/authors&gt;&lt;/contributors&gt;&lt;titles&gt;&lt;title&gt;Remittances and Social Spending&lt;/title&gt;&lt;secondary-title&gt;American Political Science Review&lt;/secondary-title&gt;&lt;/titles&gt;&lt;periodical&gt;&lt;full-title&gt;American Political Science Review&lt;/full-title&gt;&lt;abbr-1&gt;APSR&lt;/abbr-1&gt;&lt;/periodical&gt;&lt;pages&gt;785-802&lt;/pages&gt;&lt;volume&gt;109&lt;/volume&gt;&lt;number&gt;04&lt;/number&gt;&lt;dates&gt;&lt;year&gt;2015&lt;/year&gt;&lt;/dates&gt;&lt;isbn&gt;1537-5943&lt;/isbn&gt;&lt;urls&gt;&lt;related-urls&gt;&lt;url&gt;http://dx.doi.org/10.1017/S0003055415000416&lt;/url&gt;&lt;/related-urls&gt;&lt;/urls&gt;&lt;electronic-resource-num&gt;doi:10.1017/S0003055415000416&lt;/electronic-resource-num&gt;&lt;access-date&gt;2015&lt;/access-date&gt;&lt;/record&gt;&lt;/Cite&gt;&lt;/EndNote&gt;</w:instrText>
      </w:r>
      <w:r w:rsidRPr="00CB4FCD">
        <w:fldChar w:fldCharType="separate"/>
      </w:r>
      <w:r w:rsidRPr="00CB4FCD">
        <w:rPr>
          <w:noProof/>
        </w:rPr>
        <w:t>(2015)</w:t>
      </w:r>
      <w:r w:rsidRPr="00CB4FCD">
        <w:fldChar w:fldCharType="end"/>
      </w:r>
      <w:r w:rsidRPr="00CB4FCD">
        <w:t xml:space="preserve"> shows that Latin American governments have reduced social spending as a result of remittances, partly due to the change in preferences for redistribution among remittance recipients, away from higher taxation. Also, while remittances are rarely directly taxed, they increase household consumption and provide an extra source of revenue for governments via indirect taxation </w:t>
      </w:r>
      <w:r w:rsidRPr="00CB4FCD">
        <w:fldChar w:fldCharType="begin"/>
      </w:r>
      <w:r>
        <w:instrText xml:space="preserve"> ADDIN EN.CITE &lt;EndNote&gt;&lt;Cite&gt;&lt;Author&gt;Chami&lt;/Author&gt;&lt;Year&gt;2008&lt;/Year&gt;&lt;RecNum&gt;3672&lt;/RecNum&gt;&lt;DisplayText&gt;(Chami et al., 2008; Ebeke, 2014)&lt;/DisplayText&gt;&lt;record&gt;&lt;rec-number&gt;3672&lt;/rec-number&gt;&lt;foreign-keys&gt;&lt;key app="EN" db-id="wxw9eet5tpa22ve22arv5vv0ttr2rawvxwwp" timestamp="1472009439"&gt;3672&lt;/key&gt;&lt;/foreign-keys&gt;&lt;ref-type name="Report"&gt;27&lt;/ref-type</w:instrText>
      </w:r>
      <w:r w:rsidRPr="004E0786">
        <w:instrText>&gt;&lt;contributors&gt;&lt;authors&gt;&lt;author&gt;Ralph Chami&lt;/author&gt;&lt;author&gt;Adolfo Barajas&lt;/author&gt;&lt;author&gt;Thomas Cosimano&lt;/author&gt;&lt;author&gt;Connel Fullenkamp&lt;/author&gt;&lt;author&gt;Michael Gapen&lt;/author&gt;&lt;author&gt;Peter Montiel&lt;/author&gt;&lt;/authors&gt;&lt;/contributors&gt;&lt;titles&gt;&lt;title&gt;Macroeconomic Consequences of Remittances&lt;/title&gt;&lt;secondary-title&gt;IMF Occasional Paper, 259&lt;/secondary-title&gt;&lt;/titles&gt;&lt;dates&gt;&lt;year&gt;2008&lt;/year&gt;&lt;/dates&gt;&lt;pub-location&gt;Washington, D.C.&lt;/pub-location&gt;&lt;publisher&gt;International Monetary Fund&lt;/publisher&gt;&lt;urls&gt;&lt;/urls&gt;&lt;/record&gt;&lt;/Cite&gt;&lt;Cite&gt;&lt;Author&gt;Hubert&lt;/Author&gt;&lt;Year&gt;2014&lt;/Year&gt;&lt;RecNum&gt;4191&lt;/RecNum&gt;&lt;record&gt;&lt;rec-number&gt;4191&lt;/rec-number&gt;&lt;foreign-keys&gt;&lt;key app="EN" db-id="wxw9eet5tpa22ve22arv5vv0ttr2rawvxwwp" timestamp="1527699585"&gt;4191&lt;/key&gt;&lt;/foreign-keys&gt;&lt;ref-type name="Journal Article"&gt;17&lt;/ref-type&gt;&lt;contributors&gt;&lt;authors&gt;&lt;author&gt;Ebeke, Christian Hubert&lt;/author&gt;&lt;/authors&gt;&lt;/contributors&gt;&lt;titles&gt;&lt;title&gt;Do International Remittances Affect the Level and the Volatility of Government Tax Revenues? &lt;/title&gt;&lt;secondary-title&gt;Journal of International Development&lt;/secondary-title&gt;&lt;/titles&gt;&lt;periodical&gt;&lt;full-title&gt;Journal of International Development&lt;/full-title&gt;&lt;/periodical&gt;&lt;pages&gt;1039-1053&lt;/pages&gt;&lt;volume&gt;26&lt;/volume&gt;&lt;number&gt;7&lt;/number&gt;&lt;dates&gt;&lt;year&gt;2014&lt;/year&gt;&lt;/dates&gt;&lt;urls&gt;&lt;related-urls&gt;&lt;url&gt;https://onlinelibrary.wiley.com/doi/abs/10.1002/jid.2979&lt;/url&gt;&lt;/related-urls&gt;&lt;/urls&gt;&lt;electronic-resource-num&gt;doi:10.1002/jid.2979&lt;/electronic-resource-num&gt;&lt;/record&gt;&lt;/Cite&gt;&lt;/EndNote&gt;</w:instrText>
      </w:r>
      <w:r w:rsidRPr="00CB4FCD">
        <w:fldChar w:fldCharType="separate"/>
      </w:r>
      <w:r w:rsidRPr="004E0786">
        <w:rPr>
          <w:noProof/>
        </w:rPr>
        <w:t>(Chami et al., 2008; Ebeke, 2014)</w:t>
      </w:r>
      <w:r w:rsidRPr="00CB4FCD">
        <w:fldChar w:fldCharType="end"/>
      </w:r>
      <w:r w:rsidRPr="004E0786">
        <w:t>.</w:t>
      </w:r>
      <w:r w:rsidR="00226E8A">
        <w:rPr>
          <w:rStyle w:val="FootnoteReference"/>
        </w:rPr>
        <w:footnoteReference w:id="6"/>
      </w:r>
      <w:r w:rsidRPr="004E0786">
        <w:t xml:space="preserve"> </w:t>
      </w:r>
      <w:proofErr w:type="spellStart"/>
      <w:r w:rsidR="004E0786" w:rsidRPr="00BB6A07">
        <w:t>Bugamelli</w:t>
      </w:r>
      <w:proofErr w:type="spellEnd"/>
      <w:r w:rsidR="004E0786" w:rsidRPr="00BB6A07">
        <w:t xml:space="preserve"> &amp; Paterno (2009) show that remittances </w:t>
      </w:r>
      <w:r w:rsidR="007E0DA9" w:rsidRPr="00BB6A07">
        <w:t xml:space="preserve">above </w:t>
      </w:r>
      <w:r w:rsidR="004E0786" w:rsidRPr="00BB6A07">
        <w:t>3</w:t>
      </w:r>
      <w:r w:rsidR="007E0DA9" w:rsidRPr="00BB6A07">
        <w:t>–</w:t>
      </w:r>
      <w:r w:rsidR="004E0786" w:rsidRPr="00BB6A07">
        <w:t xml:space="preserve">4% of GDP </w:t>
      </w:r>
      <w:r w:rsidR="004E0786" w:rsidRPr="00BB6A07">
        <w:lastRenderedPageBreak/>
        <w:t xml:space="preserve">contribute to financial stability by lowering the probability of current account reversals. This is because the stable and low-cyclical character of remittances can </w:t>
      </w:r>
      <w:r w:rsidR="00703796" w:rsidRPr="00BB6A07">
        <w:t>enhance countries’ credibility in international markets in terms of debt sustainability</w:t>
      </w:r>
      <w:r w:rsidR="004E0786" w:rsidRPr="00BB6A07">
        <w:t>. Remittances also improve countries’ credit ratings</w:t>
      </w:r>
      <w:r w:rsidR="00703796" w:rsidRPr="00BB6A07">
        <w:t xml:space="preserve"> </w:t>
      </w:r>
      <w:r w:rsidR="00703796" w:rsidRPr="00BB6A07">
        <w:fldChar w:fldCharType="begin">
          <w:fldData xml:space="preserve">PEVuZE5vdGU+PENpdGU+PEF1dGhvcj5BdmVuZGFubzwvQXV0aG9yPjxZZWFyPjIwMTE8L1llYXI+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</w:fldData>
        </w:fldChar>
      </w:r>
      <w:r w:rsidR="00703796" w:rsidRPr="00BB6A07">
        <w:instrText xml:space="preserve"> ADDIN EN.CITE </w:instrText>
      </w:r>
      <w:r w:rsidR="00703796" w:rsidRPr="00BB6A07">
        <w:fldChar w:fldCharType="begin">
          <w:fldData xml:space="preserve">PEVuZE5vdGU+PENpdGU+PEF1dGhvcj5BdmVuZGFubzwvQXV0aG9yPjxZZWFyPjIwMTE8L1llYXI+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</w:fldData>
        </w:fldChar>
      </w:r>
      <w:r w:rsidR="00703796" w:rsidRPr="00BB6A07">
        <w:instrText xml:space="preserve"> ADDIN EN.CITE.DATA </w:instrText>
      </w:r>
      <w:r w:rsidR="00703796" w:rsidRPr="00BB6A07">
        <w:fldChar w:fldCharType="end"/>
      </w:r>
      <w:r w:rsidR="00703796" w:rsidRPr="00BB6A07">
        <w:fldChar w:fldCharType="separate"/>
      </w:r>
      <w:r w:rsidR="00703796" w:rsidRPr="00BB6A07">
        <w:t>(Avendano, Gaillard, &amp; Nieto-Parra, 2011; Chami et al., 2008:72; Ncube &amp; Brixiova, 2013</w:t>
      </w:r>
      <w:r w:rsidR="004E0786" w:rsidRPr="00BB6A07">
        <w:t>; World Bank 2006</w:t>
      </w:r>
      <w:r w:rsidR="00703796" w:rsidRPr="00BB6A07">
        <w:t>)</w:t>
      </w:r>
      <w:r w:rsidR="00703796" w:rsidRPr="00BB6A07">
        <w:fldChar w:fldCharType="end"/>
      </w:r>
      <w:r w:rsidR="00703796" w:rsidRPr="00BB6A07">
        <w:t xml:space="preserve">. </w:t>
      </w:r>
      <w:r w:rsidRPr="00BB6A07">
        <w:t>Through all these channels, remittances improve the overall economic outlook of the countries that receive them, and make it less pressing for governments to intervene in the event of economic slowdown</w:t>
      </w:r>
      <w:r w:rsidR="0083431C" w:rsidRPr="00BB6A07">
        <w:t>. Unsurprisingly, many governments in outmigration countries reach out to</w:t>
      </w:r>
      <w:r w:rsidR="00E74FAD" w:rsidRPr="00BB6A07">
        <w:t xml:space="preserve"> </w:t>
      </w:r>
      <w:r w:rsidR="0083431C" w:rsidRPr="00BB6A07">
        <w:t xml:space="preserve">their diasporas to entice those abroad to invest in their communities of origin through co-production schemes </w:t>
      </w:r>
      <w:proofErr w:type="gramStart"/>
      <w:r w:rsidR="007F0426" w:rsidRPr="00BB6A07">
        <w:t xml:space="preserve">as a </w:t>
      </w:r>
      <w:r w:rsidR="0054561D" w:rsidRPr="00BB6A07">
        <w:t xml:space="preserve">way </w:t>
      </w:r>
      <w:r w:rsidR="007F0426" w:rsidRPr="00BB6A07">
        <w:t>to</w:t>
      </w:r>
      <w:proofErr w:type="gramEnd"/>
      <w:r w:rsidR="007F0426" w:rsidRPr="00BB6A07">
        <w:t xml:space="preserve"> expand their budgets </w:t>
      </w:r>
      <w:r w:rsidR="0083431C" w:rsidRPr="00BB6A07">
        <w:t>(Aparicio &amp; Meseguer 2012; Duquette-</w:t>
      </w:r>
      <w:proofErr w:type="spellStart"/>
      <w:r w:rsidR="0083431C" w:rsidRPr="00BB6A07">
        <w:t>Rury</w:t>
      </w:r>
      <w:proofErr w:type="spellEnd"/>
      <w:r w:rsidR="0083431C" w:rsidRPr="00BB6A07">
        <w:t xml:space="preserve"> 2014</w:t>
      </w:r>
      <w:r w:rsidR="009F0489" w:rsidRPr="00BB6A07">
        <w:t>).</w:t>
      </w:r>
      <w:r w:rsidR="00CF1552" w:rsidRPr="00BB6A07">
        <w:rPr>
          <w:rStyle w:val="FootnoteReference"/>
        </w:rPr>
        <w:footnoteReference w:id="7"/>
      </w:r>
      <w:r w:rsidR="009F0489" w:rsidRPr="00BB6A07">
        <w:t xml:space="preserve"> </w:t>
      </w:r>
    </w:p>
    <w:p w14:paraId="072FC7B6" w14:textId="5DCD3CBD" w:rsidR="00A803B0" w:rsidRPr="00CB4FCD" w:rsidRDefault="00A803B0" w:rsidP="00AC132B">
      <w:pPr>
        <w:pStyle w:val="Newparagraph"/>
      </w:pPr>
      <w:r w:rsidRPr="00BB6A07">
        <w:t xml:space="preserve">Based on this compensatory logic of remittances, Singer argues that because remittances “mitigate the costs of forgone domestic monetary policy autonomy,” they should increase the likelihood that policy makers adopt fixed exchange rates </w:t>
      </w:r>
      <w:r w:rsidRPr="00BB6A07">
        <w:fldChar w:fldCharType="begin"/>
      </w:r>
      <w:r w:rsidRPr="00BB6A07">
        <w:instrText xml:space="preserve"> ADDIN EN.CITE &lt;EndNote&gt;&lt;Cite&gt;&lt;Author&gt;Singer&lt;/Author&gt;&lt;Year&gt;2010&lt;/Year&gt;&lt;RecNum&gt;3604&lt;/RecNum&gt;&lt;Suffix&gt;:307&lt;/Suffix&gt;&lt;DisplayText&gt;(Singer, 2010:307)&lt;/DisplayText&gt;&lt;record&gt;&lt;rec-number&gt;3604&lt;/rec-number&gt;&lt;foreign-keys&gt;&lt;key app="EN" db-id="wxw9eet5tpa22ve22arv5vv0ttr2rawvxwwp" timestamp="1469906995"&gt;3604&lt;/key&gt;&lt;/foreign-keys&gt;&lt;ref-type name="Journal Article"&gt;17&lt;/ref-type&gt;&lt;contributors&gt;&lt;authors&gt;&lt;author&gt;Singer, David Andrew&lt;/author&gt;&lt;/authors&gt;&lt;/contributors&gt;&lt;titles&gt;&lt;title&gt;Migrant Remittances and Exchange Rate Regimes in the Developing World&lt;/title&gt;&lt;secondary-title&gt;American Political Science Review&lt;/secondary-title&gt;&lt;/titles&gt;&lt;periodical&gt;&lt;full-title&gt;American Political Science Review&lt;/full-title&gt;&lt;abbr-1&gt;APSR&lt;/abbr-1&gt;&lt;/periodical&gt;&lt;pages&gt;307-323&lt;/pages&gt;&lt;volume&gt;104&lt;/volume&gt;&lt;number&gt;02&lt;/number&gt;&lt;dates&gt;&lt;year&gt;2010&lt;/year&gt;&lt;/dates&gt;&lt;isbn&gt;1537-5943&lt;/isbn&gt;&lt;urls&gt;&lt;related-urls&gt;&lt;url&gt;http://dx.doi.org/10.1017/S0003055410000110&lt;/url&gt;&lt;/related-urls&gt;&lt;/urls&gt;&lt;electronic-resource-num&gt;doi:10.1017/S0003055410000110&lt;/electronic-resource-num&gt;&lt;access-date&gt;2010&lt;/access-date&gt;&lt;/record&gt;&lt;/Cite&gt;&lt;/EndNote&gt;</w:instrText>
      </w:r>
      <w:r w:rsidRPr="00BB6A07">
        <w:fldChar w:fldCharType="separate"/>
      </w:r>
      <w:r w:rsidRPr="00BB6A07">
        <w:rPr>
          <w:noProof/>
        </w:rPr>
        <w:t>(Singer, 2010:307)</w:t>
      </w:r>
      <w:r w:rsidRPr="00BB6A07">
        <w:fldChar w:fldCharType="end"/>
      </w:r>
      <w:r w:rsidRPr="00BB6A07">
        <w:t>. In other words, in a context of capital mobility, remittances h</w:t>
      </w:r>
      <w:r w:rsidR="007C4B8C" w:rsidRPr="00BB6A07">
        <w:t>elp ease the trilemma</w:t>
      </w:r>
      <w:r w:rsidRPr="00BB6A07">
        <w:t xml:space="preserve"> by decreasing the need for an autonomous monetary policy. This author finds that remittances (unconditionally) increase the likelihood of having fixed exchange rates</w:t>
      </w:r>
      <w:r w:rsidR="00E74FAD" w:rsidRPr="00BB6A07">
        <w:t xml:space="preserve"> in developing countries</w:t>
      </w:r>
      <w:r w:rsidRPr="00BB6A07">
        <w:t>.</w:t>
      </w:r>
      <w:r w:rsidRPr="00CB4FCD">
        <w:t xml:space="preserve"> </w:t>
      </w:r>
    </w:p>
    <w:p w14:paraId="4F0D36A8" w14:textId="77777777" w:rsidR="00A803B0" w:rsidRPr="00CB4FCD" w:rsidRDefault="00A803B0" w:rsidP="00AC132B">
      <w:pPr>
        <w:pStyle w:val="Newparagraph"/>
      </w:pPr>
      <w:r w:rsidRPr="00CB4FCD">
        <w:lastRenderedPageBreak/>
        <w:t xml:space="preserve">This account, however, is not clear regarding why </w:t>
      </w:r>
      <w:r w:rsidRPr="00CB4FCD">
        <w:rPr>
          <w:i/>
        </w:rPr>
        <w:t>all</w:t>
      </w:r>
      <w:r w:rsidRPr="00CB4FCD">
        <w:t xml:space="preserve"> governments would prefer to tie their hands with a fixed exchange rate.</w:t>
      </w:r>
      <w:r w:rsidRPr="00CB4FCD">
        <w:rPr>
          <w:rStyle w:val="FootnoteReference"/>
        </w:rPr>
        <w:footnoteReference w:id="8"/>
      </w:r>
      <w:r w:rsidRPr="00CB4FCD">
        <w:t xml:space="preserve"> First</w:t>
      </w:r>
      <w:r>
        <w:t>, if a</w:t>
      </w:r>
      <w:r w:rsidRPr="00CB4FCD">
        <w:t xml:space="preserve"> government needs to signal their anti-inflationary commitment – a frequent concern in developing countries – </w:t>
      </w:r>
      <w:r>
        <w:t>CBI</w:t>
      </w:r>
      <w:r w:rsidRPr="00CB4FCD">
        <w:t xml:space="preserve"> is a less costly mechanism that can deliver similar results. Second</w:t>
      </w:r>
      <w:r>
        <w:t>ly</w:t>
      </w:r>
      <w:r w:rsidRPr="00CB4FCD">
        <w:t xml:space="preserve">, assuming that all governments prefer fixed exchange rates is at odds with the fact that fixed exchange rates are especially onerous for countries with high exposure to volatile capital flows, or highly dependent on them </w:t>
      </w:r>
      <w:r w:rsidRPr="00CB4FCD">
        <w:fldChar w:fldCharType="begin"/>
      </w:r>
      <w:r>
        <w:instrText xml:space="preserve"> ADDIN EN.CITE &lt;EndNote&gt;&lt;Cite&gt;&lt;Author&gt;Fernandez&lt;/Author&gt;&lt;Year&gt;2004&lt;/Year&gt;&lt;RecNum&gt;3860&lt;/RecNum&gt;&lt;DisplayText&gt;(Fernandez, Karacadag, &amp;amp; Duttagupta, 2004; Rogoff, Husain, Mody, Brooks, &amp;amp; Oomes, 2004)&lt;/DisplayText&gt;&lt;record&gt;&lt;rec-number&gt;3860&lt;/rec-number&gt;&lt;foreign-keys&gt;&lt;key app="EN" db-id="wxw9eet5tpa22ve22arv5vv0ttr2rawvxwwp" timestamp="1486757055"&gt;3860&lt;/key&gt;&lt;/foreign-keys&gt;&lt;ref-type name="Report"&gt;27&lt;/ref-type&gt;&lt;contributors&gt;&lt;authors&gt;&lt;author&gt;Fernandez, Gilda&lt;/author&gt;&lt;author&gt;Karacadag, Cem&lt;/author&gt;&lt;author&gt;Duttagupta, Rupa&lt;/author&gt;&lt;/authors&gt;&lt;/contributors&gt;&lt;titles&gt;&lt;title&gt;From Fixed to Float: Operational Aspects of Moving towards Exchange Rate Flexibility&lt;/title&gt;&lt;secondary-title&gt;WP/04/126&lt;/secondary-title&gt;&lt;/titles&gt;&lt;number&gt;4-126&lt;/number&gt;&lt;dates&gt;&lt;year&gt;2004&lt;/year&gt;&lt;/dates&gt;&lt;pub-location&gt;Washington, D.C.&lt;/pub-location&gt;&lt;publisher&gt;International Monetary Fund&lt;/publisher&gt;&lt;isbn&gt;1451994486&lt;/isbn&gt;&lt;urls&gt;&lt;/urls&gt;&lt;/record&gt;&lt;/Cite&gt;&lt;Cite&gt;&lt;Author&gt;Rogoff&lt;/Author&gt;&lt;Year&gt;2004&lt;/Year&gt;&lt;RecNum&gt;3862&lt;/RecNum&gt;&lt;record&gt;&lt;rec-number&gt;3862&lt;/rec-number&gt;&lt;foreign-keys&gt;&lt;key app="EN" db-id="wxw9eet5tpa22ve22arv5vv0ttr2rawvxwwp" timestamp="1486758574"&gt;3862&lt;/key&gt;&lt;/foreign-keys&gt;&lt;ref-type name="Report"&gt;27&lt;/ref-type&gt;&lt;contributors&gt;&lt;authors&gt;&lt;author&gt;Rogoff, Kenneth&lt;/author&gt;&lt;author&gt;Husain, Aasim&lt;/author&gt;&lt;author&gt;Mody, Ashoka&lt;/author&gt;&lt;author&gt;Brooks, Robin&lt;/author&gt;&lt;author&gt;Oomes, Nienke&lt;/author&gt;&lt;/authors&gt;&lt;/contributors&gt;&lt;titles&gt;&lt;title&gt;Evolution and Performance of Exchange Rate Regimes&lt;/title&gt;&lt;/titles&gt;&lt;dates&gt;&lt;year&gt;2004&lt;/year&gt;&lt;/dates&gt;&lt;pub-location&gt;Washington, D.C.&lt;/pub-location&gt;&lt;publisher&gt;International Monetary Fund&lt;/publisher&gt;&lt;isbn&gt;1589063279&lt;/isbn&gt;&lt;urls&gt;&lt;/urls&gt;&lt;/record&gt;&lt;/Cite&gt;&lt;/EndNote&gt;</w:instrText>
      </w:r>
      <w:r w:rsidRPr="00CB4FCD">
        <w:fldChar w:fldCharType="separate"/>
      </w:r>
      <w:r>
        <w:rPr>
          <w:noProof/>
        </w:rPr>
        <w:t>(Fernandez, Karacadag, &amp; Duttagupta, 2004; Rogoff, Husain, Mody, Brooks, &amp; Oomes, 2004)</w:t>
      </w:r>
      <w:r w:rsidRPr="00CB4FCD">
        <w:fldChar w:fldCharType="end"/>
      </w:r>
      <w:r w:rsidRPr="00CB4FCD">
        <w:t xml:space="preserve">. </w:t>
      </w:r>
      <w:r>
        <w:t>When</w:t>
      </w:r>
      <w:r w:rsidRPr="00CB4FCD">
        <w:t xml:space="preserve"> remittances represent an important source of foreign revenue</w:t>
      </w:r>
      <w:r>
        <w:t>, incumbents</w:t>
      </w:r>
      <w:r w:rsidRPr="00CB4FCD">
        <w:t xml:space="preserve"> may want the flexibility to adjust their monetary policy in the event of adverse </w:t>
      </w:r>
      <w:r w:rsidRPr="00CA7EFE">
        <w:t xml:space="preserve">economic shocks in the </w:t>
      </w:r>
      <w:r>
        <w:t>host</w:t>
      </w:r>
      <w:r w:rsidRPr="00CA7EFE">
        <w:t xml:space="preserve"> economies, something that fixed exchange rates preclude. Finally, in contrast with Broz (2002), such an</w:t>
      </w:r>
      <w:r w:rsidRPr="00CB4FCD">
        <w:t xml:space="preserve"> unconditional account of the choice of exchange rate regimes implies that all political regimes are in the same position when it comes to choosing between monetary and exchange rate commitments. </w:t>
      </w:r>
    </w:p>
    <w:p w14:paraId="48F6A4F2" w14:textId="430A70CD" w:rsidR="00A803B0" w:rsidRPr="00CB4FCD" w:rsidRDefault="007B74BF" w:rsidP="00AC132B">
      <w:pPr>
        <w:pStyle w:val="Newparagraph"/>
      </w:pPr>
      <w:r>
        <w:t>T</w:t>
      </w:r>
      <w:r w:rsidR="009C2D6B">
        <w:t>he</w:t>
      </w:r>
      <w:r w:rsidR="00822C7F">
        <w:t>s</w:t>
      </w:r>
      <w:r w:rsidR="009C2D6B">
        <w:t>e arguments point out</w:t>
      </w:r>
      <w:r w:rsidR="00A803B0" w:rsidRPr="00CB4FCD">
        <w:t xml:space="preserve"> powerful reasons to adopt flexible exchange rate regimes in developing countries, and to commit to price stability through less costly tools, such as </w:t>
      </w:r>
      <w:r w:rsidR="00A803B0">
        <w:t>CBI</w:t>
      </w:r>
      <w:r w:rsidR="00A803B0" w:rsidRPr="00CB4FCD">
        <w:t xml:space="preserve">. Yet </w:t>
      </w:r>
      <w:r w:rsidR="00A803B0">
        <w:t xml:space="preserve">for countries with inflation concerns, </w:t>
      </w:r>
      <w:r w:rsidR="00A803B0" w:rsidRPr="00CB4FCD">
        <w:t xml:space="preserve">flexible exchange rates are an option </w:t>
      </w:r>
      <w:r w:rsidR="00A803B0">
        <w:t>only if</w:t>
      </w:r>
      <w:r w:rsidR="00A803B0" w:rsidRPr="00CB4FCD">
        <w:t xml:space="preserve"> monetary commitments</w:t>
      </w:r>
      <w:r w:rsidR="00A803B0">
        <w:t xml:space="preserve"> are credible</w:t>
      </w:r>
      <w:r w:rsidR="00A803B0" w:rsidRPr="00CB4FCD">
        <w:t>. Because remittances are relatively stable and</w:t>
      </w:r>
      <w:r w:rsidR="00A803B0">
        <w:t xml:space="preserve"> </w:t>
      </w:r>
      <w:r w:rsidR="00A803B0" w:rsidRPr="00CB4FCD">
        <w:t>coun</w:t>
      </w:r>
      <w:r w:rsidR="00A803B0">
        <w:t xml:space="preserve">ter-cyclical, </w:t>
      </w:r>
      <w:r w:rsidR="00A803B0" w:rsidRPr="00CB4FCD">
        <w:t>remittances can make the commitment to central bank independence more credible through the same compensatory logic w</w:t>
      </w:r>
      <w:r w:rsidR="00AB0AB9">
        <w:t>e laid out above.</w:t>
      </w:r>
    </w:p>
    <w:p w14:paraId="3922B08E" w14:textId="597DA89B" w:rsidR="00A803B0" w:rsidRPr="00CB4FCD" w:rsidRDefault="00A803B0" w:rsidP="00AC132B">
      <w:pPr>
        <w:pStyle w:val="Newparagraph"/>
      </w:pPr>
      <w:r w:rsidRPr="00CB4FCD">
        <w:lastRenderedPageBreak/>
        <w:t xml:space="preserve">We further contend that this effect is especially important for political regimes suffering from a credibility deficit </w:t>
      </w:r>
      <w:r w:rsidRPr="00CB4FCD">
        <w:fldChar w:fldCharType="begin"/>
      </w:r>
      <w:r w:rsidRPr="00CB4FCD">
        <w:instrText xml:space="preserve"> ADDIN EN.CITE &lt;EndNote&gt;&lt;Cite&gt;&lt;Author&gt;Broz&lt;/Author&gt;&lt;Year&gt;2002&lt;/Year&gt;&lt;RecNum&gt;47&lt;/RecNum&gt;&lt;DisplayText&gt;(Broz, 2002)&lt;/DisplayText&gt;&lt;record&gt;&lt;rec-number&gt;47&lt;/rec-number&gt;&lt;foreign-keys&gt;&lt;key app="EN" db-id="wxw9eet5tpa22ve22arv5vv0ttr2rawvxwwp" timestamp="0"&gt;47&lt;/key&gt;&lt;/foreign-keys&gt;&lt;ref-type name="Journal Article"&gt;17&lt;/ref-type&gt;&lt;contributors&gt;&lt;authors&gt;&lt;author&gt;J. Lawrence Broz&lt;/author&gt;&lt;/authors&gt;&lt;/contributors&gt;&lt;titles&gt;&lt;title&gt;Political System Transparency and Monetary Commitment Regimes&lt;/title&gt;&lt;secondary-title&gt;International Organization&lt;/secondary-title&gt;&lt;/titles&gt;&lt;periodical&gt;&lt;full-title&gt;International Organization&lt;/full-title&gt;&lt;abbr-1&gt;IO&lt;/abbr-1&gt;&lt;/periodical&gt;&lt;pages&gt;861-887&lt;/pages&gt;&lt;volume&gt;56&lt;/volume&gt;&lt;number&gt;4&lt;/number&gt;&lt;keywords&gt;&lt;keyword&gt;Central Bank Independence&lt;/keyword&gt;&lt;keyword&gt;Exchange rate&lt;/keyword&gt;&lt;keyword&gt;Inflation&lt;/keyword&gt;&lt;keyword&gt;Monetary policy&lt;/keyword&gt;&lt;keyword&gt;Time inconsistency&lt;/keyword&gt;&lt;keyword&gt;*&lt;/keyword&gt;&lt;/keywords&gt;&lt;dates&gt;&lt;year&gt;2002&lt;/year&gt;&lt;pub-dates&gt;&lt;date&gt;Autumn 2002&lt;/date&gt;&lt;/pub-dates&gt;&lt;/dates&gt;&lt;urls&gt;&lt;related-urls&gt;&lt;url&gt;CBI.  Political&lt;/url&gt;&lt;url&gt;IPE-W4: CBI&lt;/url&gt;&lt;/related-urls&gt;&lt;/urls&gt;&lt;/record&gt;&lt;/Cite&gt;&lt;/EndNote&gt;</w:instrText>
      </w:r>
      <w:r w:rsidRPr="00CB4FCD">
        <w:fldChar w:fldCharType="separate"/>
      </w:r>
      <w:r w:rsidRPr="00CB4FCD">
        <w:rPr>
          <w:noProof/>
        </w:rPr>
        <w:t>(Broz, 2002)</w:t>
      </w:r>
      <w:r w:rsidRPr="00CB4FCD">
        <w:fldChar w:fldCharType="end"/>
      </w:r>
      <w:r w:rsidRPr="00CB4FCD">
        <w:t>.</w:t>
      </w:r>
      <w:r w:rsidRPr="00CB4FCD">
        <w:rPr>
          <w:rStyle w:val="FootnoteReference"/>
        </w:rPr>
        <w:footnoteReference w:id="9"/>
      </w:r>
      <w:r w:rsidRPr="00CB4FCD">
        <w:t xml:space="preserve"> Generally speaking, commitments to </w:t>
      </w:r>
      <w:r>
        <w:t xml:space="preserve">CBI </w:t>
      </w:r>
      <w:r w:rsidRPr="00CB4FCD">
        <w:t xml:space="preserve">in democracies are credible because of the transparency of democratic institutions and decision-making processes </w:t>
      </w:r>
      <w:r w:rsidRPr="00CB4FCD">
        <w:fldChar w:fldCharType="begin"/>
      </w:r>
      <w:r w:rsidRPr="00CB4FCD">
        <w:instrText xml:space="preserve"> ADDIN EN.CITE &lt;EndNote&gt;&lt;Cite&gt;&lt;Author&gt;Broz&lt;/Author&gt;&lt;Year&gt;2002&lt;/Year&gt;&lt;RecNum&gt;47&lt;/RecNum&gt;&lt;DisplayText&gt;(Broz, 2002)&lt;/DisplayText&gt;&lt;record&gt;&lt;rec-number&gt;47&lt;/rec-number&gt;&lt;foreign-keys&gt;&lt;key app="EN" db-id="wxw9eet5tpa22ve22arv5vv0ttr2rawvxwwp" timestamp="0"&gt;47&lt;/key&gt;&lt;/foreign-keys&gt;&lt;ref-type name="Journal Article"&gt;17&lt;/ref-type&gt;&lt;contributors&gt;&lt;authors&gt;&lt;author&gt;J. Lawrence Broz&lt;/author&gt;&lt;/authors&gt;&lt;/contributors&gt;&lt;titles&gt;&lt;title&gt;Political System Transparency and Monetary Commitment Regimes&lt;/title&gt;&lt;secondary-title&gt;International Organization&lt;/secondary-title&gt;&lt;/titles&gt;&lt;periodical&gt;&lt;full-title&gt;International Organization&lt;/full-title&gt;&lt;abbr-1&gt;IO&lt;/abbr-1&gt;&lt;/periodical&gt;&lt;pages&gt;861-887&lt;/pages&gt;&lt;volume&gt;56&lt;/volume&gt;&lt;number&gt;4&lt;/number&gt;&lt;keywords&gt;&lt;keyword&gt;Central Bank Independence&lt;/keyword&gt;&lt;keyword&gt;Exchange rate&lt;/keyword&gt;&lt;keyword&gt;Inflation&lt;/keyword&gt;&lt;keyword&gt;Monetary policy&lt;/keyword&gt;&lt;keyword&gt;Time inconsistency&lt;/keyword&gt;&lt;keyword&gt;*&lt;/keyword&gt;&lt;/keywords&gt;&lt;dates&gt;&lt;year&gt;2002&lt;/year&gt;&lt;pub-dates&gt;&lt;date&gt;Autumn 2002&lt;/date&gt;&lt;/pub-dates&gt;&lt;/dates&gt;&lt;urls&gt;&lt;related-urls&gt;&lt;url&gt;CBI.  Political&lt;/url&gt;&lt;url&gt;IPE-W4: CBI&lt;/url&gt;&lt;/related-urls&gt;&lt;/urls&gt;&lt;/record&gt;&lt;/Cite&gt;&lt;/EndNote&gt;</w:instrText>
      </w:r>
      <w:r w:rsidRPr="00CB4FCD">
        <w:fldChar w:fldCharType="separate"/>
      </w:r>
      <w:r w:rsidRPr="00CB4FCD">
        <w:rPr>
          <w:noProof/>
        </w:rPr>
        <w:t>(Broz, 2002)</w:t>
      </w:r>
      <w:r w:rsidRPr="00CB4FCD">
        <w:fldChar w:fldCharType="end"/>
      </w:r>
      <w:r w:rsidRPr="00CB4FCD">
        <w:t>. In contrast, commitments made by autocracies are more vulnerable to changes in the autocrats’ will</w:t>
      </w:r>
      <w:r w:rsidR="001D15E4">
        <w:t>s</w:t>
      </w:r>
      <w:r w:rsidRPr="00CB4FCD">
        <w:t>. Because of their countercyclical character, remittances may alter the autocrats</w:t>
      </w:r>
      <w:r w:rsidR="00E850EE">
        <w:t>’</w:t>
      </w:r>
      <w:r w:rsidRPr="00CB4FCD">
        <w:t xml:space="preserve"> incentives to pressure in</w:t>
      </w:r>
      <w:r>
        <w:t>dependent central bankers.</w:t>
      </w:r>
      <w:r w:rsidR="00AB0AB9" w:rsidRPr="00AB0AB9">
        <w:rPr>
          <w:rStyle w:val="FootnoteReference"/>
        </w:rPr>
        <w:t xml:space="preserve"> </w:t>
      </w:r>
      <w:r w:rsidR="00AB0AB9" w:rsidRPr="00EA2928">
        <w:rPr>
          <w:rStyle w:val="FootnoteReference"/>
        </w:rPr>
        <w:footnoteReference w:id="10"/>
      </w:r>
      <w:r w:rsidR="00AB0AB9" w:rsidRPr="00CB4FCD">
        <w:t xml:space="preserve"> </w:t>
      </w:r>
      <w:r w:rsidRPr="00CB4FCD">
        <w:t>If</w:t>
      </w:r>
      <w:r w:rsidR="00703796">
        <w:t>, as we contend,</w:t>
      </w:r>
      <w:r w:rsidRPr="00CB4FCD">
        <w:t xml:space="preserve"> remittances all</w:t>
      </w:r>
      <w:r>
        <w:t>ow autocrats</w:t>
      </w:r>
      <w:r w:rsidRPr="00CB4FCD">
        <w:t xml:space="preserve"> to choose b</w:t>
      </w:r>
      <w:r>
        <w:t>etween CBI</w:t>
      </w:r>
      <w:r w:rsidRPr="00CB4FCD">
        <w:t xml:space="preserve"> and fixed exchange rate regimes, we should observe a substitution effect between independent central banks and pegs b</w:t>
      </w:r>
      <w:r>
        <w:t>ecause CBI</w:t>
      </w:r>
      <w:r w:rsidRPr="00CB4FCD">
        <w:t xml:space="preserve"> is a less costly commitment technology. </w:t>
      </w:r>
    </w:p>
    <w:p w14:paraId="023178ED" w14:textId="3D8BECFE" w:rsidR="005D436D" w:rsidRPr="00CB4FCD" w:rsidRDefault="00CA0E72" w:rsidP="005D436D">
      <w:pPr>
        <w:pStyle w:val="Newparagraph"/>
      </w:pPr>
      <w:r>
        <w:t>It is important to emphasis</w:t>
      </w:r>
      <w:r w:rsidR="005D436D" w:rsidRPr="00CB4FCD">
        <w:t xml:space="preserve">e that autocracies with independent central banks are not rare. On a worldwide sample between 1970 and 2012, about 40% of observations in non-democratic regimes (Polity &lt;7), and 49% in democracies have independent central banks </w:t>
      </w:r>
      <w:r w:rsidR="005D436D" w:rsidRPr="00CB4FCD">
        <w:fldChar w:fldCharType="begin"/>
      </w:r>
      <w:r w:rsidR="005D436D" w:rsidRPr="00CB4FCD">
        <w:instrText xml:space="preserve"> ADDIN EN.CITE &lt;EndNote&gt;&lt;Cite&gt;&lt;Author&gt;Garriga&lt;/Author&gt;&lt;Year&gt;2016&lt;/Year&gt;&lt;RecNum&gt;3565&lt;/RecNum&gt;&lt;DisplayText&gt;(Garriga, 2016)&lt;/DisplayText&gt;&lt;record&gt;&lt;rec-number&gt;3565&lt;/rec-number&gt;&lt;foreign-keys&gt;&lt;key app="EN" db-id="wxw9eet5tpa22ve22arv5vv0ttr2rawvxwwp" timestamp="1467835451"&gt;3565&lt;/key&gt;&lt;/foreign-keys&gt;&lt;ref-type name="Journal Article"&gt;17&lt;/ref-type&gt;&lt;contributors&gt;&lt;authors&gt;&lt;author&gt;Garriga, Ana Carolina&lt;/author&gt;&lt;/authors&gt;&lt;/contributors&gt;&lt;titles&gt;&lt;title&gt;Central Bank Independence in the World: A New Data Set&lt;/title&gt;&lt;secondary-title&gt;International Interactions&lt;/secondary-title&gt;&lt;/titles&gt;&lt;periodical&gt;&lt;full-title&gt;International Interactions&lt;/full-title&gt;&lt;/periodical&gt;&lt;pages&gt;849-868&lt;/pages&gt;&lt;volume&gt;42&lt;/volume&gt;&lt;number&gt;5&lt;/number&gt;&lt;dates&gt;&lt;year&gt;2016&lt;/year&gt;&lt;/dates&gt;&lt;urls&gt;&lt;/urls&gt;&lt;/record&gt;&lt;/Cite&gt;&lt;/EndNote&gt;</w:instrText>
      </w:r>
      <w:r w:rsidR="005D436D" w:rsidRPr="00CB4FCD">
        <w:fldChar w:fldCharType="separate"/>
      </w:r>
      <w:r w:rsidR="005D436D" w:rsidRPr="00CB4FCD">
        <w:rPr>
          <w:noProof/>
        </w:rPr>
        <w:t>(Garriga, 2016)</w:t>
      </w:r>
      <w:r w:rsidR="005D436D" w:rsidRPr="00CB4FCD">
        <w:fldChar w:fldCharType="end"/>
      </w:r>
      <w:r w:rsidR="005D436D" w:rsidRPr="00CB4FCD">
        <w:t>.</w:t>
      </w:r>
      <w:r w:rsidR="005D436D" w:rsidRPr="00CB4FCD">
        <w:rPr>
          <w:rStyle w:val="FootnoteReference"/>
        </w:rPr>
        <w:footnoteReference w:id="11"/>
      </w:r>
      <w:r w:rsidR="005D436D" w:rsidRPr="00CB4FCD">
        <w:t xml:space="preserve"> To illustrate, consider the cases of Armenia and Mexico. These countries are highly dependent on remittances, both in absolute and in relative numbers, have flexible exchange rate arrangements, and independent central banks </w:t>
      </w:r>
      <w:r w:rsidR="005D436D" w:rsidRPr="00CB4FCD">
        <w:fldChar w:fldCharType="begin"/>
      </w:r>
      <w:r w:rsidR="005D436D">
        <w:instrText xml:space="preserve"> ADDIN EN.CITE &lt;EndNote&gt;&lt;Cite&gt;&lt;Author&gt;Banaian&lt;/Author&gt;&lt;Year&gt;2008&lt;/Year&gt;&lt;RecNum&gt;3854&lt;/RecNum&gt;&lt;DisplayText&gt;(Banaian, Kemme, &amp;amp; Sargsyan, 2008; Ruiz &amp;amp; Vargas-Silva, 2010:174)&lt;/DisplayText&gt;&lt;record&gt;&lt;rec-number&gt;3854&lt;/rec-number&gt;&lt;foreign-keys&gt;&lt;key app="EN" db-id="wxw9eet5tpa22ve22arv5vv0ttr2rawvxwwp" timestamp="1486399162"&gt;3854&lt;/key&gt;&lt;/foreign-keys&gt;&lt;ref-type name="Journal Article"&gt;17&lt;/ref-type&gt;&lt;contributors&gt;&lt;authors&gt;&lt;author&gt;Banaian, King&lt;/author&gt;&lt;author&gt;Kemme, David M&lt;/author&gt;&lt;author&gt;Sargsyan, Grigor&lt;/author&gt;&lt;/authors&gt;&lt;/contributors&gt;&lt;titles&gt;&lt;title&gt;Inflation Targeting in Armenia: Monetary Policy in Transition&lt;/title&gt;&lt;secondary-title&gt;Comparative Economic Studies&lt;/secondary-title&gt;&lt;/titles&gt;&lt;periodical&gt;&lt;full-title&gt;Comparative Economic Studies&lt;/full-title&gt;&lt;/periodical&gt;&lt;pages&gt;421-437&lt;/pages&gt;&lt;volume&gt;50&lt;/volume&gt;&lt;number&gt;3&lt;/number&gt;&lt;dates&gt;&lt;year&gt;2008&lt;/year&gt;&lt;/dates&gt;&lt;isbn&gt;1478-3320&lt;/isbn&gt;&lt;label&gt;Banaian2008&lt;/label&gt;&lt;work-type&gt;journal article&lt;/work-type&gt;&lt;urls&gt;&lt;related-urls&gt;&lt;url&gt;http://dx.doi.org/10.1057/ces.2008.22&lt;/url&gt;&lt;/related-urls&gt;&lt;/urls&gt;&lt;electronic-resource-num&gt;10.1057/ces.2008.22&lt;/electronic-resource-num&gt;&lt;/record&gt;&lt;/Cite&gt;&lt;Cite&gt;&lt;Author&gt;Ruiz&lt;/Author&gt;&lt;Year&gt;2010&lt;/Year&gt;&lt;RecNum&gt;3855&lt;/RecNum&gt;&lt;Suffix&gt;:174&lt;/Suffix&gt;&lt;record&gt;&lt;rec-number&gt;3855&lt;/rec-number&gt;&lt;foreign-keys&gt;&lt;key app="EN" db-id="wxw9eet5tpa22ve22arv5vv0ttr2rawvxwwp" timestamp="1486399307"&gt;3855&lt;/key&gt;&lt;/foreign-keys&gt;&lt;ref-type name="Journal Article"&gt;17&lt;/ref-type&gt;&lt;contributors&gt;&lt;authors&gt;&lt;author&gt;Ruiz, Isabel&lt;/author&gt;&lt;author&gt;Vargas-Silva, Carlos&lt;/author&gt;&lt;/authors&gt;&lt;/contributors&gt;&lt;titles&gt;&lt;title&gt;Monetary Policy and International Remittances&lt;/title&gt;&lt;secondary-title&gt;The Journal of Developing Areas&lt;/secondary-title&gt;&lt;/titles&gt;&lt;periodical&gt;&lt;full-title&gt;The Journal of Developing Areas&lt;/full-title&gt;&lt;/periodical&gt;&lt;pages&gt;173-186&lt;/pages&gt;&lt;volume&gt;43&lt;/volume&gt;&lt;number&gt;2&lt;/number&gt;&lt;dates&gt;&lt;year&gt;2010&lt;/year&gt;&lt;/dates&gt;&lt;isbn&gt;1548-2278&lt;/isbn&gt;&lt;urls&gt;&lt;/urls&gt;&lt;/record&gt;&lt;/Cite&gt;&lt;/EndNote&gt;</w:instrText>
      </w:r>
      <w:r w:rsidR="005D436D" w:rsidRPr="00CB4FCD">
        <w:fldChar w:fldCharType="separate"/>
      </w:r>
      <w:r w:rsidR="005D436D">
        <w:rPr>
          <w:noProof/>
        </w:rPr>
        <w:t>(Banaian, Kemme, &amp; Sargsyan, 2008; Ruiz &amp; Vargas-Silva, 2010:174)</w:t>
      </w:r>
      <w:r w:rsidR="005D436D" w:rsidRPr="00CB4FCD">
        <w:fldChar w:fldCharType="end"/>
      </w:r>
      <w:r w:rsidR="005D436D" w:rsidRPr="00CB4FCD">
        <w:t xml:space="preserve">. When they adopted floating exchange rate regimes, both countries were autocracies that had granted </w:t>
      </w:r>
      <w:r w:rsidR="005D436D" w:rsidRPr="00CB4FCD">
        <w:lastRenderedPageBreak/>
        <w:t>independence to their central banks. Studies that explore the adoption of inflation targeting in these countries point out the important role that remittances play in dealing with balance</w:t>
      </w:r>
      <w:r w:rsidR="00DA6FC7">
        <w:t>-</w:t>
      </w:r>
      <w:r w:rsidR="005D436D" w:rsidRPr="00CB4FCD">
        <w:t>of</w:t>
      </w:r>
      <w:r w:rsidR="00DA6FC7">
        <w:t>-</w:t>
      </w:r>
      <w:r w:rsidR="005D436D" w:rsidRPr="00CB4FCD">
        <w:t xml:space="preserve">payments imbalances </w:t>
      </w:r>
      <w:r w:rsidR="005D436D" w:rsidRPr="00CB4FCD">
        <w:fldChar w:fldCharType="begin"/>
      </w:r>
      <w:r w:rsidR="005D436D">
        <w:instrText xml:space="preserve"> ADDIN EN.CITE &lt;EndNote&gt;&lt;Cite&gt;&lt;Author&gt;Van Aarle&lt;/Author&gt;&lt;Year&gt;2010&lt;/Year&gt;&lt;RecNum&gt;3852&lt;/RecNum&gt;&lt;DisplayText&gt;(Ruiz &amp;amp; Vargas-Silva, 2010; Van Aarle &amp;amp; Sosoian, 2010)&lt;/DisplayText&gt;&lt;record&gt;&lt;rec-number&gt;3852&lt;/rec-number&gt;&lt;foreign-keys&gt;&lt;key app="EN" db-id="wxw9eet5tpa22ve22arv5vv0ttr2rawvxwwp" timestamp="1486398896"&gt;3852&lt;/key&gt;&lt;/foreign-keys&gt;&lt;ref-type name="Journal Article"&gt;17&lt;/ref-type&gt;&lt;contributors&gt;&lt;authors&gt;&lt;author&gt;Van Aarle, Bas&lt;/author&gt;&lt;author&gt;Robert Sosoian&lt;/author&gt;&lt;/authors&gt;&lt;/contributors&gt;&lt;titles&gt;&lt;title&gt;Macroeconomic Adjustment in Armenia: The Role of External Factors&lt;/title&gt;&lt;secondary-title&gt;Journal of Business and Economics&lt;/secondary-title&gt;&lt;/titles&gt;&lt;periodical&gt;&lt;full-title&gt;Journal of Business and Economics&lt;/full-title&gt;&lt;/periodical&gt;&lt;pages&gt;51-75&lt;/pages&gt;&lt;volume&gt;3&lt;/volume&gt;&lt;number&gt;5&lt;/number&gt;&lt;dates&gt;&lt;year&gt;2010&lt;/year&gt;&lt;/dates&gt;&lt;isbn&gt;1694-5948&lt;/isbn&gt;&lt;urls&gt;&lt;/urls&gt;&lt;/record&gt;&lt;/Cite&gt;&lt;Cite&gt;&lt;Author&gt;Ruiz&lt;/Author&gt;&lt;Year&gt;2010&lt;/Year&gt;&lt;RecNum&gt;3855&lt;/RecNum&gt;&lt;record&gt;&lt;rec-number&gt;3855&lt;/rec-number&gt;&lt;foreign-keys&gt;&lt;key app="EN" db-id="wxw9eet5tpa22ve22arv5vv0ttr2rawvxwwp" timestamp="1486399307"&gt;3855&lt;/key&gt;&lt;/foreign-keys&gt;&lt;ref-type name="Journal Article"&gt;17&lt;/ref-type&gt;&lt;contributors&gt;&lt;authors&gt;&lt;author&gt;Ruiz, Isabel&lt;/author&gt;&lt;author&gt;Vargas-Silva, Carlos&lt;/author&gt;&lt;/authors&gt;&lt;/contributors&gt;&lt;titles&gt;&lt;title&gt;Monetary Policy and International Remittances&lt;/title&gt;&lt;secondary-title&gt;The Journal of Developing Areas&lt;/secondary-title&gt;&lt;/titles&gt;&lt;periodical&gt;&lt;full-title&gt;The Journal of Developing Areas&lt;/full-title&gt;&lt;/periodical&gt;&lt;pages&gt;173-186&lt;/pages&gt;&lt;volume&gt;43&lt;/volume&gt;&lt;number&gt;2&lt;/number&gt;&lt;dates&gt;&lt;year&gt;2010&lt;/year&gt;&lt;/dates&gt;&lt;isbn&gt;1548-2278&lt;/isbn&gt;&lt;urls&gt;&lt;/urls&gt;&lt;/record&gt;&lt;/Cite&gt;&lt;/EndNote&gt;</w:instrText>
      </w:r>
      <w:r w:rsidR="005D436D" w:rsidRPr="00CB4FCD">
        <w:fldChar w:fldCharType="separate"/>
      </w:r>
      <w:r w:rsidR="005D436D">
        <w:rPr>
          <w:noProof/>
        </w:rPr>
        <w:t>(Ruiz &amp; Vargas-Silva, 2010; Van Aarle &amp; Sosoian, 2010)</w:t>
      </w:r>
      <w:r w:rsidR="005D436D" w:rsidRPr="00CB4FCD">
        <w:fldChar w:fldCharType="end"/>
      </w:r>
      <w:r w:rsidR="005D436D" w:rsidRPr="00CB4FCD">
        <w:t xml:space="preserve">. Furthermore, anecdotal evidence shows that their central banks were </w:t>
      </w:r>
      <w:proofErr w:type="gramStart"/>
      <w:r w:rsidR="005D436D" w:rsidRPr="00CB4FCD">
        <w:t>well aware</w:t>
      </w:r>
      <w:proofErr w:type="gramEnd"/>
      <w:r w:rsidR="005D436D" w:rsidRPr="00CB4FCD">
        <w:t xml:space="preserve"> of the importance of remittances (Ruiz and Vargas-Silva 2010).</w:t>
      </w:r>
    </w:p>
    <w:p w14:paraId="02DC0CDC" w14:textId="3EC09F94" w:rsidR="00A803B0" w:rsidRPr="00CB4FCD" w:rsidRDefault="00915A24" w:rsidP="00AC132B">
      <w:pPr>
        <w:pStyle w:val="Newparagraph"/>
      </w:pPr>
      <w:r>
        <w:t>Note that</w:t>
      </w:r>
      <w:r w:rsidR="00A803B0" w:rsidRPr="00CB4FCD">
        <w:t xml:space="preserve"> our argument does not imply any prior assumption about the temporal sequence in the choice of monetary instruments. We claim that </w:t>
      </w:r>
      <w:r w:rsidR="00A803B0" w:rsidRPr="00CB4FCD">
        <w:rPr>
          <w:i/>
        </w:rPr>
        <w:t>we are likely to simultaneously observe remittances and flexible exchange rate regimes in autocracies, but only in the presence of an independent central bank.</w:t>
      </w:r>
      <w:r w:rsidR="00A803B0" w:rsidRPr="00CB4FCD">
        <w:t xml:space="preserve"> We take the temporal precedence of </w:t>
      </w:r>
      <w:r w:rsidR="00A803B0">
        <w:t>CBI</w:t>
      </w:r>
      <w:r w:rsidR="00A803B0" w:rsidRPr="00CB4FCD">
        <w:t xml:space="preserve"> and exchange rate regime as </w:t>
      </w:r>
      <w:r w:rsidR="00A803B0">
        <w:t xml:space="preserve">an empirical matter. </w:t>
      </w:r>
      <w:r w:rsidR="00A803B0" w:rsidRPr="00CB4FCD">
        <w:t>Nor does our argument imply any assumption about the relationship between receiving remittances and the probability of granting more independence to the central bank.</w:t>
      </w:r>
      <w:r w:rsidR="00A803B0" w:rsidRPr="00CB4FCD">
        <w:rPr>
          <w:rStyle w:val="FootnoteReference"/>
        </w:rPr>
        <w:footnoteReference w:id="12"/>
      </w:r>
      <w:r w:rsidR="00A803B0" w:rsidRPr="00CB4FCD">
        <w:t xml:space="preserve"> We </w:t>
      </w:r>
      <w:r w:rsidR="009B4235">
        <w:t>merely</w:t>
      </w:r>
      <w:r w:rsidR="009B4235" w:rsidRPr="00CB4FCD">
        <w:t xml:space="preserve"> </w:t>
      </w:r>
      <w:r w:rsidR="00A803B0" w:rsidRPr="00CB4FCD">
        <w:t xml:space="preserve">contend that receiving remittances makes independent central banks more credible in their price stability commitment via </w:t>
      </w:r>
      <w:r w:rsidR="003E095B">
        <w:t>reduced</w:t>
      </w:r>
      <w:r w:rsidR="003E095B" w:rsidRPr="00CB4FCD">
        <w:t xml:space="preserve"> </w:t>
      </w:r>
      <w:r w:rsidR="00A803B0" w:rsidRPr="00CB4FCD">
        <w:t>pressure for social and public spending and through a better appraisal of a country’s ability to meet international commitments.</w:t>
      </w:r>
      <w:r w:rsidR="00A803B0" w:rsidRPr="00CB4FCD">
        <w:rPr>
          <w:rStyle w:val="FootnoteReference"/>
        </w:rPr>
        <w:footnoteReference w:id="13"/>
      </w:r>
    </w:p>
    <w:p w14:paraId="68077920" w14:textId="2BB41439" w:rsidR="00A803B0" w:rsidRPr="00CB4FCD" w:rsidRDefault="00A803B0" w:rsidP="00AC132B">
      <w:pPr>
        <w:pStyle w:val="Newparagraph"/>
      </w:pPr>
      <w:r w:rsidRPr="00686515">
        <w:lastRenderedPageBreak/>
        <w:t>In sum, we contend that</w:t>
      </w:r>
      <w:r w:rsidR="00703796">
        <w:t xml:space="preserve"> in previous research,</w:t>
      </w:r>
      <w:r w:rsidRPr="00686515">
        <w:t xml:space="preserve"> the mediating role of political regimes and CBI ha</w:t>
      </w:r>
      <w:r w:rsidR="00703796">
        <w:t>s not been fully spelled out</w:t>
      </w:r>
      <w:r w:rsidRPr="00686515">
        <w:t>. We argue that the same compensatory character of remittances makes CBI credible, and that this effect is relevant in autocracies. As a result, we expect autocracies that receive remittances and grant independen</w:t>
      </w:r>
      <w:r w:rsidR="00703796">
        <w:t>ce to their central banks to have</w:t>
      </w:r>
      <w:r w:rsidRPr="00686515">
        <w:t xml:space="preserve"> flexible exchange rate regimes without compromising their commitment to low inflation. This effect of remittances should </w:t>
      </w:r>
      <w:r w:rsidRPr="00686515">
        <w:rPr>
          <w:i/>
        </w:rPr>
        <w:t xml:space="preserve">not </w:t>
      </w:r>
      <w:r w:rsidRPr="00686515">
        <w:t xml:space="preserve">be observed in autocracies that do not grant independence to their central banks. Further, given that democracies can rely on their institutions’ transparency to substitute fixed exchange rate regimes for independent central banks </w:t>
      </w:r>
      <w:r w:rsidRPr="00686515">
        <w:fldChar w:fldCharType="begin">
          <w:fldData xml:space="preserve">PEVuZE5vdGU+PENpdGU+PEF1dGhvcj5Ccm96PC9BdXRob3I+PFllYXI+MjAwMjwvWWVhcj48UmVj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</w:fldData>
        </w:fldChar>
      </w:r>
      <w:r>
        <w:instrText xml:space="preserve"> ADDIN EN.CITE </w:instrText>
      </w:r>
      <w:r>
        <w:fldChar w:fldCharType="begin">
          <w:fldData xml:space="preserve">PEVuZE5vdGU+PENpdGU+PEF1dGhvcj5Ccm96PC9BdXRob3I+PFllYXI+MjAwMjwvWWVhcj48UmVj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</w:fldData>
        </w:fldChar>
      </w:r>
      <w:r>
        <w:instrText xml:space="preserve"> ADDIN EN.CITE.DATA </w:instrText>
      </w:r>
      <w:r>
        <w:fldChar w:fldCharType="end"/>
      </w:r>
      <w:r w:rsidRPr="00686515">
        <w:fldChar w:fldCharType="separate"/>
      </w:r>
      <w:r>
        <w:rPr>
          <w:noProof/>
        </w:rPr>
        <w:t>(Bodea &amp; Hicks, 2015b; Broz, 2002; Clark, 2002)</w:t>
      </w:r>
      <w:r w:rsidRPr="00686515">
        <w:fldChar w:fldCharType="end"/>
      </w:r>
      <w:r w:rsidRPr="00686515">
        <w:t xml:space="preserve">, the mechanism of enhanced CBI credibility through remittances should not matter in democracies. </w:t>
      </w:r>
    </w:p>
    <w:p w14:paraId="01BEB55E" w14:textId="77777777" w:rsidR="00A803B0" w:rsidRDefault="00A803B0" w:rsidP="00AC132B">
      <w:pPr>
        <w:pStyle w:val="Newparagraph"/>
      </w:pPr>
      <w:r w:rsidRPr="00CB4FCD">
        <w:t>From the discussion above, we derive the following testable hypothesis:</w:t>
      </w:r>
      <w:r w:rsidRPr="00CB4FCD">
        <w:rPr>
          <w:i/>
        </w:rPr>
        <w:t xml:space="preserve"> </w:t>
      </w:r>
      <w:r>
        <w:rPr>
          <w:i/>
        </w:rPr>
        <w:t>In autocracies with independent central banks, r</w:t>
      </w:r>
      <w:r w:rsidRPr="00CB4FCD">
        <w:rPr>
          <w:i/>
        </w:rPr>
        <w:t xml:space="preserve">emittances increase the probability of </w:t>
      </w:r>
      <w:r>
        <w:rPr>
          <w:i/>
        </w:rPr>
        <w:t>observing</w:t>
      </w:r>
      <w:r w:rsidRPr="00CB4FCD">
        <w:rPr>
          <w:i/>
        </w:rPr>
        <w:t xml:space="preserve"> floati</w:t>
      </w:r>
      <w:r>
        <w:rPr>
          <w:i/>
        </w:rPr>
        <w:t>ng exchange rates.</w:t>
      </w:r>
    </w:p>
    <w:p w14:paraId="0C408A7A" w14:textId="77777777" w:rsidR="00A803B0" w:rsidRPr="00CB4FCD" w:rsidRDefault="00A803B0" w:rsidP="00AC132B">
      <w:pPr>
        <w:pStyle w:val="Newparagraph"/>
        <w:rPr>
          <w:i/>
        </w:rPr>
      </w:pPr>
    </w:p>
    <w:p w14:paraId="4BACC7B6" w14:textId="77777777" w:rsidR="00A803B0" w:rsidRPr="00AC132B" w:rsidRDefault="00A803B0" w:rsidP="00AC132B">
      <w:pPr>
        <w:pStyle w:val="Heading1"/>
      </w:pPr>
      <w:r w:rsidRPr="00AC132B">
        <w:t>Data and Models</w:t>
      </w:r>
    </w:p>
    <w:p w14:paraId="3E766CA4" w14:textId="1BCA9060" w:rsidR="00A803B0" w:rsidRPr="00CB4FCD" w:rsidRDefault="00A803B0" w:rsidP="00AC132B">
      <w:pPr>
        <w:pStyle w:val="Paragraph"/>
      </w:pPr>
      <w:r w:rsidRPr="00CB4FCD">
        <w:t xml:space="preserve">We test our argument on a sample of developing countries between 1981 and 2010. The sample size is restricted by data availability. The dependent variable is the </w:t>
      </w:r>
      <w:r w:rsidRPr="00CB4FCD">
        <w:rPr>
          <w:i/>
        </w:rPr>
        <w:t>de facto</w:t>
      </w:r>
      <w:r w:rsidRPr="00CB4FCD">
        <w:t xml:space="preserve"> exchange rate regime. Following the literature on exchange rate regimes </w:t>
      </w:r>
      <w:r w:rsidRPr="00CB4FCD">
        <w:fldChar w:fldCharType="begin">
          <w:fldData xml:space="preserve">PEVuZE5vdGU+PENpdGU+PEF1dGhvcj5GcmllZGVuPC9BdXRob3I+PFllYXI+MjAxNTwvWWVhcj48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</w:fldData>
        </w:fldChar>
      </w:r>
      <w:r>
        <w:instrText xml:space="preserve"> ADDIN EN.CITE </w:instrText>
      </w:r>
      <w:r>
        <w:fldChar w:fldCharType="begin">
          <w:fldData xml:space="preserve">PEVuZE5vdGU+PENpdGU+PEF1dGhvcj5GcmllZGVuPC9BdXRob3I+PFllYXI+MjAxNTwvWWVhcj48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</w:fldData>
        </w:fldChar>
      </w:r>
      <w:r>
        <w:instrText xml:space="preserve"> ADDIN EN.CITE.DATA </w:instrText>
      </w:r>
      <w:r>
        <w:fldChar w:fldCharType="end"/>
      </w:r>
      <w:r w:rsidRPr="00CB4FCD">
        <w:fldChar w:fldCharType="separate"/>
      </w:r>
      <w:r>
        <w:rPr>
          <w:noProof/>
        </w:rPr>
        <w:t>(e.g., Bearce &amp; Hallerberg, 2011; Frieden, 2015; Singer, 2010; Steinberg &amp; Malhotra, 2014)</w:t>
      </w:r>
      <w:r w:rsidRPr="00CB4FCD">
        <w:fldChar w:fldCharType="end"/>
      </w:r>
      <w:r w:rsidRPr="00CB4FCD">
        <w:t xml:space="preserve">, we use Reinhart and Rogoff’s </w:t>
      </w:r>
      <w:r w:rsidRPr="00CB4FCD">
        <w:fldChar w:fldCharType="begin"/>
      </w:r>
      <w:r w:rsidRPr="00CB4FCD">
        <w:instrText xml:space="preserve"> ADDIN EN.CITE &lt;EndNote&gt;&lt;Cite ExcludeAuth="1"&gt;&lt;Author&gt;Reinhart&lt;/Author&gt;&lt;Year&gt;2004&lt;/Year&gt;&lt;RecNum&gt;839&lt;/RecNum&gt;&lt;DisplayText&gt;(2004)&lt;/DisplayText&gt;&lt;record&gt;&lt;rec-number&gt;839&lt;/rec-number&gt;&lt;foreign-keys&gt;&lt;key app="EN" db-id="wxw9eet5tpa22ve22arv5vv0ttr2rawvxwwp" timestamp="0"&gt;839&lt;/key&gt;&lt;/foreign-keys&gt;&lt;ref-type name="Journal Article"&gt;17&lt;/ref-type&gt;&lt;contributors&gt;&lt;authors&gt;&lt;author&gt;Reinhart, Carmen M.&lt;/author&gt;&lt;author&gt;Rogoff, Kenneth S.&lt;/author&gt;&lt;/authors&gt;&lt;/contributors&gt;&lt;titles&gt;&lt;title&gt;The Modern History of Exchange Rate Arrangements: A Reinterpretation&lt;/title&gt;&lt;secondary-title&gt;Quarterly Journal of Economics&lt;/secondary-title&gt;&lt;/titles&gt;&lt;periodical&gt;&lt;full-title&gt;Quarterly Journal of Economics&lt;/full-title&gt;&lt;/periodical&gt;&lt;pages&gt;1-48&lt;/pages&gt;&lt;volume&gt;119 &lt;/volume&gt;&lt;number&gt;1&lt;/number&gt;&lt;keywords&gt;&lt;keyword&gt;Exchange rate&lt;/keyword&gt;&lt;/keywords&gt;&lt;dates&gt;&lt;year&gt;2004&lt;/year&gt;&lt;/dates&gt;&lt;urls&gt;&lt;related-urls&gt;&lt;url&gt;IPE-W5: Exchange rate regimes&lt;/url&gt;&lt;/related-urls&gt;&lt;/urls&gt;&lt;/record&gt;&lt;/Cite&gt;&lt;/EndNote&gt;</w:instrText>
      </w:r>
      <w:r w:rsidRPr="00CB4FCD">
        <w:fldChar w:fldCharType="separate"/>
      </w:r>
      <w:r w:rsidRPr="00CB4FCD">
        <w:rPr>
          <w:noProof/>
        </w:rPr>
        <w:t>(2004)</w:t>
      </w:r>
      <w:r w:rsidRPr="00CB4FCD">
        <w:fldChar w:fldCharType="end"/>
      </w:r>
      <w:r w:rsidRPr="00CB4FCD">
        <w:t xml:space="preserve"> updated data. Exchange rate regime is a categorical variable ranging from 1 (fixed) to 4 (floating). 48 percent of the observations in our sample are coded as fixed exchange rates</w:t>
      </w:r>
      <w:r>
        <w:t xml:space="preserve"> (1)</w:t>
      </w:r>
      <w:r w:rsidR="009B063D">
        <w:t>;</w:t>
      </w:r>
      <w:r w:rsidRPr="00CB4FCD">
        <w:t xml:space="preserve"> 27 percent as crawling pegs or bands</w:t>
      </w:r>
      <w:r>
        <w:t xml:space="preserve"> (2)</w:t>
      </w:r>
      <w:r w:rsidRPr="00CB4FCD">
        <w:t>. Managed floats</w:t>
      </w:r>
      <w:r>
        <w:t xml:space="preserve"> (3)</w:t>
      </w:r>
      <w:r w:rsidRPr="00CB4FCD">
        <w:t xml:space="preserve">, and free-floating regimes </w:t>
      </w:r>
      <w:r>
        <w:t xml:space="preserve">(4) </w:t>
      </w:r>
      <w:r w:rsidRPr="00CB4FCD">
        <w:t xml:space="preserve">represent 21 and 4 percent of our sample respectively. The use of the four-category variable allows us to account for </w:t>
      </w:r>
      <w:r w:rsidRPr="00CB4FCD">
        <w:lastRenderedPageBreak/>
        <w:t xml:space="preserve">different degrees of “hardness of the peg” </w:t>
      </w:r>
      <w:r w:rsidRPr="00CB4FCD">
        <w:fldChar w:fldCharType="begin"/>
      </w:r>
      <w:r>
        <w:instrText xml:space="preserve"> ADDIN EN.CITE &lt;EndNote&gt;&lt;Cite&gt;&lt;Author&gt;Meissner&lt;/Author&gt;&lt;Year&gt;2009&lt;/Year&gt;&lt;RecNum&gt;4019&lt;/RecNum&gt;&lt;DisplayText&gt;(Meissner &amp;amp; Oomes, 2009)&lt;/DisplayText&gt;&lt;record&gt;&lt;rec-number&gt;4019&lt;/rec-number&gt;&lt;foreign-keys&gt;&lt;key app="EN" db-id="wxw9eet5tpa22ve22arv5vv0ttr2rawvxwwp" timestamp="1503944558"&gt;4019&lt;/key&gt;&lt;/foreign-keys&gt;&lt;ref-type name="Journal Article"&gt;17&lt;/ref-type&gt;&lt;contributors&gt;&lt;authors&gt;&lt;author&gt;Meissner, Christopher M.&lt;/author&gt;&lt;author&gt;Oomes, Nienke&lt;/author&gt;&lt;/authors&gt;&lt;/contributors&gt;&lt;titles&gt;&lt;title&gt;Why Do Countries Peg the Way They Peg? The Determinants of Anchor Currency Choice&lt;/title&gt;&lt;secondary-title&gt;Journal of International Money and Finance&lt;/secondary-title&gt;&lt;/titles&gt;&lt;periodical&gt;&lt;full-title&gt;Journal of International Money and Finance&lt;/full-title&gt;&lt;/periodical&gt;&lt;pages&gt;522-547&lt;/pages&gt;&lt;volume&gt;28&lt;/volume&gt;&lt;number&gt;3&lt;/number&gt;&lt;keywords&gt;&lt;keyword&gt;Exchange rate regime&lt;/keyword&gt;&lt;keyword&gt;Anchor&lt;/keyword&gt;&lt;keyword&gt;Network externalities&lt;/keyword&gt;&lt;keyword&gt;Optimal currency area&lt;/keyword&gt;&lt;keyword&gt;International currency&lt;/keyword&gt;&lt;keyword&gt;De facto policy&lt;/keyword&gt;&lt;/keywords&gt;&lt;dates&gt;&lt;year&gt;2009&lt;/year&gt;&lt;pub-dates&gt;&lt;date&gt;2009/04/01/&lt;/date&gt;&lt;/pub-dates&gt;&lt;/dates&gt;&lt;isbn&gt;0261-5606&lt;/isbn&gt;&lt;urls&gt;&lt;related-urls&gt;&lt;url&gt;http://www.sciencedirect.com/science/article/pii/S026156060800123X&lt;/url&gt;&lt;/related-urls&gt;&lt;/urls&gt;&lt;electronic-resource-num&gt;http://dx.doi.org/10.1016/j.jimonfin.2008.08.007&lt;/electronic-resource-num&gt;&lt;/record&gt;&lt;/Cite&gt;&lt;/EndNote&gt;</w:instrText>
      </w:r>
      <w:r w:rsidRPr="00CB4FCD">
        <w:fldChar w:fldCharType="separate"/>
      </w:r>
      <w:r>
        <w:rPr>
          <w:noProof/>
        </w:rPr>
        <w:t>(Meissner &amp; Oomes, 2009)</w:t>
      </w:r>
      <w:r w:rsidRPr="00CB4FCD">
        <w:fldChar w:fldCharType="end"/>
      </w:r>
      <w:r w:rsidRPr="00CB4FCD">
        <w:t>.</w:t>
      </w:r>
      <w:r w:rsidRPr="00CB4FCD">
        <w:rPr>
          <w:rStyle w:val="FootnoteReference"/>
        </w:rPr>
        <w:footnoteReference w:id="14"/>
      </w:r>
      <w:r w:rsidRPr="00CB4FCD">
        <w:t xml:space="preserve"> </w:t>
      </w:r>
      <w:r w:rsidR="009B063D" w:rsidRPr="00BB6A07">
        <w:t>Further, this four</w:t>
      </w:r>
      <w:r w:rsidR="00D12D13" w:rsidRPr="00BB6A07">
        <w:t>-</w:t>
      </w:r>
      <w:r w:rsidR="009B063D" w:rsidRPr="00BB6A07">
        <w:t>category variable also allow</w:t>
      </w:r>
      <w:r w:rsidR="00CA0E72" w:rsidRPr="00BB6A07">
        <w:t>s</w:t>
      </w:r>
      <w:r w:rsidR="009B063D" w:rsidRPr="00BB6A07">
        <w:t xml:space="preserve"> us </w:t>
      </w:r>
      <w:r w:rsidR="00CA0E72" w:rsidRPr="00BB6A07">
        <w:t xml:space="preserve">to </w:t>
      </w:r>
      <w:r w:rsidR="009B063D" w:rsidRPr="00BB6A07">
        <w:t xml:space="preserve">address the fact that many developing countries have opted for what </w:t>
      </w:r>
      <w:proofErr w:type="spellStart"/>
      <w:r w:rsidR="009B063D" w:rsidRPr="00BB6A07">
        <w:t>Aizenman</w:t>
      </w:r>
      <w:proofErr w:type="spellEnd"/>
      <w:r w:rsidR="009B063D" w:rsidRPr="00BB6A07">
        <w:t xml:space="preserve"> </w:t>
      </w:r>
      <w:r w:rsidR="005629A2" w:rsidRPr="00BB6A07">
        <w:t xml:space="preserve">(2018: 1) </w:t>
      </w:r>
      <w:r w:rsidR="009B063D" w:rsidRPr="00BB6A07">
        <w:t>describes as mixed</w:t>
      </w:r>
      <w:r w:rsidR="00D12D13" w:rsidRPr="00BB6A07">
        <w:t xml:space="preserve"> </w:t>
      </w:r>
      <w:r w:rsidR="009B063D" w:rsidRPr="00BB6A07">
        <w:t xml:space="preserve">regimes </w:t>
      </w:r>
      <w:r w:rsidR="004D4464" w:rsidRPr="00BB6A07">
        <w:t xml:space="preserve"> or a “trilemma middle ground” described by a combination of</w:t>
      </w:r>
      <w:r w:rsidR="005629A2" w:rsidRPr="00BB6A07">
        <w:t xml:space="preserve"> “managed exchange rate flexibility, controlled financial integration, and viable but limited monetary independence</w:t>
      </w:r>
      <w:r w:rsidR="004D4464" w:rsidRPr="00BB6A07">
        <w:t>.</w:t>
      </w:r>
      <w:r w:rsidR="005629A2" w:rsidRPr="00BB6A07">
        <w:t>”</w:t>
      </w:r>
      <w:r w:rsidR="004D4464" w:rsidRPr="00BB6A07">
        <w:rPr>
          <w:rStyle w:val="FootnoteReference"/>
        </w:rPr>
        <w:footnoteReference w:id="15"/>
      </w:r>
      <w:r w:rsidR="00F52497" w:rsidRPr="00BB6A07">
        <w:t xml:space="preserve"> </w:t>
      </w:r>
      <w:r w:rsidRPr="00BB6A07">
        <w:t xml:space="preserve">Figure A1 </w:t>
      </w:r>
      <w:r w:rsidR="00D12D13" w:rsidRPr="00BB6A07">
        <w:t>i</w:t>
      </w:r>
      <w:r w:rsidRPr="00BB6A07">
        <w:t>n the Supplementary Appendix shows the distribution of exchange rate regimes in our sample by regime type.</w:t>
      </w:r>
    </w:p>
    <w:p w14:paraId="6032B7BA" w14:textId="41A6CA1C" w:rsidR="00A803B0" w:rsidRPr="00CB4FCD" w:rsidRDefault="00A803B0" w:rsidP="00AC132B">
      <w:pPr>
        <w:pStyle w:val="Newparagraph"/>
      </w:pPr>
      <w:r w:rsidRPr="00CB4FCD">
        <w:t xml:space="preserve">We measure remittances as the country’s yearly inflows in constant dollars, logged and lagged. The data comes from the World Development Indicators (WDI) of the World Bank </w:t>
      </w:r>
      <w:r w:rsidRPr="00CB4FCD">
        <w:fldChar w:fldCharType="begin"/>
      </w:r>
      <w:r w:rsidRPr="00CB4FCD">
        <w:instrText xml:space="preserve"> ADDIN EN.CITE &lt;EndNote&gt;&lt;Cite ExcludeAuth="1"&gt;&lt;Author&gt;World Bank&lt;/Author&gt;&lt;Year&gt;2015&lt;/Year&gt;&lt;RecNum&gt;3304&lt;/RecNum&gt;&lt;DisplayText&gt;(2015)&lt;/DisplayText&gt;&lt;record&gt;&lt;rec-number&gt;3304&lt;/rec-number&gt;&lt;foreign-keys&gt;&lt;key app="EN" db-id="wxw9eet5tpa22ve22arv5vv0ttr2rawvxwwp" timestamp="1421701750"&gt;3304&lt;/key&gt;&lt;/foreign-keys&gt;&lt;ref-type name="Online Database"&gt;45&lt;/ref-type&gt;&lt;contributors&gt;&lt;authors&gt;&lt;author&gt;World Bank,&lt;/author&gt;&lt;/authors&gt;&lt;/contributors&gt;&lt;titles&gt;&lt;title&gt;World Development Indicators On-Line&lt;/title&gt;&lt;/titles&gt;&lt;volume&gt;2015&lt;/volume&gt;&lt;number&gt;January&lt;/number&gt;&lt;dates&gt;&lt;year&gt;2015&lt;/year&gt;&lt;/dates&gt;&lt;pub-location&gt;Washington, D.C.&lt;/pub-location&gt;&lt;publisher&gt;World Bank&lt;/publisher&gt;&lt;urls&gt;&lt;/urls&gt;&lt;/record&gt;&lt;/Cite&gt;&lt;/EndNote&gt;</w:instrText>
      </w:r>
      <w:r w:rsidRPr="00CB4FCD">
        <w:fldChar w:fldCharType="separate"/>
      </w:r>
      <w:r w:rsidRPr="00CB4FCD">
        <w:rPr>
          <w:noProof/>
        </w:rPr>
        <w:t>(2015)</w:t>
      </w:r>
      <w:r w:rsidRPr="00CB4FCD">
        <w:fldChar w:fldCharType="end"/>
      </w:r>
      <w:r w:rsidRPr="00CB4FCD">
        <w:t xml:space="preserve">. We prefer this measure to the frequently used remittances as percentage of the country’s GDP because remittances impact the recipient country’s growth </w:t>
      </w:r>
      <w:r w:rsidRPr="00CB4FCD">
        <w:fldChar w:fldCharType="begin"/>
      </w:r>
      <w:r w:rsidRPr="00CB4FCD">
        <w:instrText xml:space="preserve"> ADDIN EN.CITE &lt;EndNote&gt;&lt;Cite&gt;&lt;Author&gt;Escribà-Folch&lt;/Author&gt;&lt;Year&gt;2015&lt;/Year&gt;&lt;RecNum&gt;3680&lt;/RecNum&gt;&lt;DisplayText&gt;(Escribà-Folch et al., 2015)&lt;/DisplayText&gt;&lt;record&gt;&lt;rec-number&gt;3680&lt;/rec-number&gt;&lt;foreign-keys&gt;&lt;key app="EN" db-id="wxw9eet5tpa22ve22arv5vv0ttr2rawvxwwp" timestamp="1472010541"&gt;3680&lt;/key&gt;&lt;/foreign-keys&gt;&lt;ref-type name="Journal Article"&gt;17&lt;/ref-type&gt;&lt;contributors&gt;&lt;authors&gt;&lt;author&gt;Escribà-Folch, Abel&lt;/author&gt;&lt;author&gt;Meseguer, Covadonga&lt;/author&gt;&lt;author&gt;Wright, Joseph&lt;/author&gt;&lt;/authors&gt;&lt;/contributors&gt;&lt;titles&gt;&lt;title&gt;Remittances and Democratization&lt;/title&gt;&lt;secondary-title&gt;International Studies Quarterly&lt;/secondary-title&gt;&lt;/titles&gt;&lt;periodical&gt;&lt;full-title&gt;International Studies Quarterly&lt;/full-title&gt;&lt;abbr-1&gt;ISQ&lt;/abbr-1&gt;&lt;/periodical&gt;&lt;pages&gt;571-586&lt;/pages&gt;&lt;volume&gt;59&lt;/volume&gt;&lt;number&gt;3&lt;/number&gt;&lt;dates&gt;&lt;year&gt;2015&lt;/year&gt;&lt;/dates&gt;&lt;isbn&gt;1468-2478&lt;/isbn&gt;&lt;urls&gt;&lt;related-urls&gt;&lt;url&gt;http://dx.doi.org/10.1111/isqu.12180&lt;/url&gt;&lt;/related-urls&gt;&lt;/urls&gt;&lt;electronic-resource-num&gt;10.1111/isqu.12180&lt;/electronic-resource-num&gt;&lt;/record&gt;&lt;/Cite&gt;&lt;/EndNote&gt;</w:instrText>
      </w:r>
      <w:r w:rsidRPr="00CB4FCD">
        <w:fldChar w:fldCharType="separate"/>
      </w:r>
      <w:r w:rsidRPr="00CB4FCD">
        <w:rPr>
          <w:noProof/>
        </w:rPr>
        <w:t>(Escribà-Folch et al., 2015)</w:t>
      </w:r>
      <w:r w:rsidRPr="00CB4FCD">
        <w:fldChar w:fldCharType="end"/>
      </w:r>
      <w:r>
        <w:t xml:space="preserve"> – this</w:t>
      </w:r>
      <w:r w:rsidRPr="00CB4FCD">
        <w:t xml:space="preserve"> may in turn affect the interpretation of our results, underestimating the actual impact of remittances. Nonetheless, we use alternative measures of remittances (both remittances as a percentage of GDP, and remittances in constant dollars per capita) as robustness checks (</w:t>
      </w:r>
      <w:r>
        <w:t>Supplementary A</w:t>
      </w:r>
      <w:r w:rsidR="00F52497">
        <w:t>ppendix, Table A3</w:t>
      </w:r>
      <w:r w:rsidRPr="00CB4FCD">
        <w:t xml:space="preserve">). </w:t>
      </w:r>
    </w:p>
    <w:p w14:paraId="14BF46D8" w14:textId="77777777" w:rsidR="00A803B0" w:rsidRDefault="00A803B0" w:rsidP="00AC132B">
      <w:pPr>
        <w:pStyle w:val="Newparagraph"/>
      </w:pPr>
      <w:r>
        <w:lastRenderedPageBreak/>
        <w:t>W</w:t>
      </w:r>
      <w:r w:rsidRPr="00CB4FCD">
        <w:t xml:space="preserve">e </w:t>
      </w:r>
      <w:r>
        <w:t>use</w:t>
      </w:r>
      <w:r w:rsidRPr="00CB4FCD">
        <w:t xml:space="preserve"> </w:t>
      </w:r>
      <w:proofErr w:type="spellStart"/>
      <w:r>
        <w:t>Garriga’s</w:t>
      </w:r>
      <w:proofErr w:type="spellEnd"/>
      <w:r>
        <w:t xml:space="preserve"> </w:t>
      </w:r>
      <w:r w:rsidRPr="00CB4FCD">
        <w:fldChar w:fldCharType="begin"/>
      </w:r>
      <w:r>
        <w:instrText xml:space="preserve"> ADDIN EN.CITE &lt;EndNote&gt;&lt;Cite ExcludeAuth="1"&gt;&lt;Author&gt;Garriga&lt;/Author&gt;&lt;Year&gt;2016&lt;/Year&gt;&lt;RecNum&gt;3565&lt;/RecNum&gt;&lt;DisplayText&gt;(2016)&lt;/DisplayText&gt;&lt;record&gt;&lt;rec-number&gt;3565&lt;/rec-number&gt;&lt;foreign-keys&gt;&lt;key app="EN" db-id="wxw9eet5tpa22ve22arv5vv0ttr2rawvxwwp" timestamp="1467835451"&gt;3565&lt;/key&gt;&lt;/foreign-keys&gt;&lt;ref-type name="Journal Article"&gt;17&lt;/ref-type&gt;&lt;contributors&gt;&lt;authors&gt;&lt;author&gt;Garriga, Ana Carolina&lt;/author&gt;&lt;/authors&gt;&lt;/contributors&gt;&lt;titles&gt;&lt;title&gt;Central Bank Independence in the World: A New Data Set&lt;/title&gt;&lt;secondary-title&gt;International Interactions&lt;/secondary-title&gt;&lt;/titles&gt;&lt;periodical&gt;&lt;full-title&gt;International Interactions&lt;/full-title&gt;&lt;/periodical&gt;&lt;pages&gt;849-868&lt;/pages&gt;&lt;volume&gt;42&lt;/volume&gt;&lt;number&gt;5&lt;/number&gt;&lt;dates&gt;&lt;year&gt;2016&lt;/year&gt;&lt;/dates&gt;&lt;urls&gt;&lt;/urls&gt;&lt;/record&gt;&lt;/Cite&gt;&lt;/EndNote&gt;</w:instrText>
      </w:r>
      <w:r w:rsidRPr="00CB4FCD">
        <w:fldChar w:fldCharType="separate"/>
      </w:r>
      <w:r>
        <w:rPr>
          <w:noProof/>
        </w:rPr>
        <w:t>(2016)</w:t>
      </w:r>
      <w:r w:rsidRPr="00CB4FCD">
        <w:fldChar w:fldCharType="end"/>
      </w:r>
      <w:r>
        <w:t xml:space="preserve"> measure of CBI, based on </w:t>
      </w:r>
      <w:r>
        <w:fldChar w:fldCharType="begin"/>
      </w:r>
      <w:r>
        <w:instrText xml:space="preserve"> ADDIN EN.CITE &lt;EndNote&gt;&lt;Cite AuthorYear="1"&gt;&lt;Author&gt;Cukierman&lt;/Author&gt;&lt;Year&gt;1992&lt;/Year&gt;&lt;RecNum&gt;32&lt;/RecNum&gt;&lt;DisplayText&gt;Cukierman, Webb, and Neyapti (1992)&lt;/DisplayText&gt;&lt;record&gt;&lt;rec-number&gt;32&lt;/rec-number&gt;&lt;foreign-keys&gt;&lt;key app="EN" db-id="wxw9eet5tpa22ve22arv5vv0ttr2rawvxwwp" timestamp="0"&gt;32&lt;/key&gt;&lt;/foreign-keys&gt;&lt;ref-type name="Journal Article"&gt;17&lt;/ref-type&gt;&lt;contributors&gt;&lt;authors&gt;&lt;author&gt;Alex Cukierman&lt;/author&gt;&lt;author&gt;Steven B. Webb&lt;/author&gt;&lt;author&gt;Bilin Neyapti&lt;/author&gt;&lt;/authors&gt;&lt;/contributors&gt;&lt;titles&gt;&lt;title&gt;Measuring the Independence of Central Banks and Its Effect on Policy Outcome&lt;/title&gt;&lt;secondary-title&gt;The World Bank Economic Review&lt;/secondary-title&gt;&lt;/titles&gt;&lt;periodical&gt;&lt;full-title&gt;The World Bank Economic Review&lt;/full-title&gt;&lt;/periodical&gt;&lt;pages&gt;353-398&lt;/pages&gt;&lt;volume&gt;6&lt;/volume&gt;&lt;number&gt;1&lt;/number&gt;&lt;keywords&gt;&lt;keyword&gt;Central Bank Independence&lt;/keyword&gt;&lt;/keywords&gt;&lt;dates&gt;&lt;year&gt;1992&lt;/year&gt;&lt;/dates&gt;&lt;urls&gt;&lt;related-urls&gt;&lt;url&gt;CBI&lt;/url&gt;&lt;url&gt;IPE-W4: CBI&lt;/url&gt;&lt;/related-urls&gt;&lt;/urls&gt;&lt;/record&gt;&lt;/Cite&gt;&lt;/EndNote&gt;</w:instrText>
      </w:r>
      <w:r>
        <w:fldChar w:fldCharType="separate"/>
      </w:r>
      <w:r>
        <w:rPr>
          <w:noProof/>
        </w:rPr>
        <w:t>Cukierman, Webb, and Neyapti (1992)</w:t>
      </w:r>
      <w:r>
        <w:fldChar w:fldCharType="end"/>
      </w:r>
      <w:r>
        <w:t>. The index ranges</w:t>
      </w:r>
      <w:r w:rsidRPr="00CB4FCD">
        <w:t xml:space="preserve"> from 0 (lowest) to 1 (highest independence)</w:t>
      </w:r>
      <w:r>
        <w:t xml:space="preserve">, and </w:t>
      </w:r>
      <w:r w:rsidRPr="00CB4FCD">
        <w:t>weigh</w:t>
      </w:r>
      <w:r>
        <w:t>s</w:t>
      </w:r>
      <w:r w:rsidRPr="00CB4FCD">
        <w:t xml:space="preserve"> </w:t>
      </w:r>
      <w:r>
        <w:t>legal</w:t>
      </w:r>
      <w:r w:rsidRPr="00CB4FCD">
        <w:t xml:space="preserve"> characteristics of the central bank’s governor (appointment, dismissal, and term of office); policy formulation attributions (who formulates and has the final decision on monetary policy, and the role of the central bank in the budget process); the central bank’s objectives; and the central bank’s limitations on lending to the public sector </w:t>
      </w:r>
      <w:r w:rsidRPr="00CB4FCD">
        <w:fldChar w:fldCharType="begin"/>
      </w:r>
      <w:r w:rsidRPr="00CB4FCD">
        <w:instrText xml:space="preserve"> ADDIN EN.CITE &lt;EndNote&gt;&lt;Cite&gt;&lt;Author&gt;Garriga&lt;/Author&gt;&lt;Year&gt;2016&lt;/Year&gt;&lt;RecNum&gt;3565&lt;/RecNum&gt;&lt;Suffix&gt;:854&lt;/Suffix&gt;&lt;DisplayText&gt;(Garriga, 2016:854)&lt;/DisplayText&gt;&lt;record&gt;&lt;rec-number&gt;3565&lt;/rec-number&gt;&lt;foreign-keys&gt;&lt;key app="EN" db-id="wxw9eet5tpa22ve22arv5vv0ttr2rawvxwwp" timestamp="1467835451"&gt;3565&lt;/key&gt;&lt;/foreign-keys&gt;&lt;ref-type name="Journal Article"&gt;17&lt;/ref-type&gt;&lt;contributors&gt;&lt;authors&gt;&lt;author&gt;Garriga, Ana Carolina&lt;/author&gt;&lt;/authors&gt;&lt;/contributors&gt;&lt;titles&gt;&lt;title&gt;Central Bank Independence in the World: A New Data Set&lt;/title&gt;&lt;secondary-title&gt;International Interactions&lt;/secondary-title&gt;&lt;/titles&gt;&lt;periodical&gt;&lt;full-title&gt;International Interactions&lt;/full-title&gt;&lt;/periodical&gt;&lt;pages&gt;849-868&lt;/pages&gt;&lt;volume&gt;42&lt;/volume&gt;&lt;number&gt;5&lt;/number&gt;&lt;dates&gt;&lt;year&gt;2016&lt;/year&gt;&lt;/dates&gt;&lt;urls&gt;&lt;/urls&gt;&lt;/record&gt;&lt;/Cite&gt;&lt;/EndNote&gt;</w:instrText>
      </w:r>
      <w:r w:rsidRPr="00CB4FCD">
        <w:fldChar w:fldCharType="separate"/>
      </w:r>
      <w:r w:rsidRPr="00CB4FCD">
        <w:rPr>
          <w:noProof/>
        </w:rPr>
        <w:t>(Garriga, 2016:854)</w:t>
      </w:r>
      <w:r w:rsidRPr="00CB4FCD">
        <w:fldChar w:fldCharType="end"/>
      </w:r>
      <w:r w:rsidRPr="00CB4FCD">
        <w:t>.</w:t>
      </w:r>
    </w:p>
    <w:p w14:paraId="090D9202" w14:textId="41C72BE4" w:rsidR="00A803B0" w:rsidRPr="00CB4FCD" w:rsidRDefault="001338A7" w:rsidP="00AC132B">
      <w:pPr>
        <w:pStyle w:val="Newparagraph"/>
      </w:pPr>
      <w:r>
        <w:t>As mentioned</w:t>
      </w:r>
      <w:r w:rsidR="004E76A6">
        <w:t xml:space="preserve">, </w:t>
      </w:r>
      <w:r w:rsidR="00A803B0" w:rsidRPr="00CB4FCD">
        <w:t>autocracies do grant legal independence t</w:t>
      </w:r>
      <w:r w:rsidR="00D669A9">
        <w:t xml:space="preserve">o their central banks, and </w:t>
      </w:r>
      <w:r w:rsidR="00A803B0" w:rsidRPr="00CB4FCD">
        <w:t>there is a significant variance in CBI across autocracies. Although it is beyond the</w:t>
      </w:r>
      <w:r w:rsidR="004E76A6">
        <w:t xml:space="preserve"> scope of this article to analys</w:t>
      </w:r>
      <w:r w:rsidR="00A803B0" w:rsidRPr="00CB4FCD">
        <w:t xml:space="preserve">e this in detail, there are various reasons that could explain central bank independence in autocracies. Boylan </w:t>
      </w:r>
      <w:r w:rsidR="00A803B0" w:rsidRPr="00CB4FCD">
        <w:fldChar w:fldCharType="begin"/>
      </w:r>
      <w:r w:rsidR="00A803B0" w:rsidRPr="00CB4FCD">
        <w:instrText xml:space="preserve"> ADDIN EN.CITE &lt;EndNote&gt;&lt;Cite ExcludeAuth="1"&gt;&lt;Author&gt;Boylan&lt;/Author&gt;&lt;Year&gt;1998&lt;/Year&gt;&lt;RecNum&gt;1638&lt;/RecNum&gt;&lt;DisplayText&gt;(1998, 2001)&lt;/DisplayText&gt;&lt;record&gt;&lt;rec-number&gt;1638&lt;/rec-number&gt;&lt;foreign-keys&gt;&lt;key app="EN" db-id="wxw9eet5tpa22ve22arv5vv0ttr2rawvxwwp" timestamp="1250708060"&gt;1638&lt;/key&gt;&lt;/foreign-keys&gt;&lt;ref-type name="Journal Article"&gt;17&lt;/ref-type&gt;&lt;contributors&gt;&lt;authors&gt;&lt;author&gt;Delia M. Boylan&lt;/author&gt;&lt;/authors&gt;&lt;/contributors&gt;&lt;titles&gt;&lt;title&gt;Preemptive Strike: Central Bank Reform in Chile&amp;apos;s Transition from Authoritarian Rule&lt;/title&gt;&lt;secondary-title&gt;Comparative Politics&lt;/secondary-title&gt;&lt;/titles&gt;&lt;periodical&gt;&lt;full-title&gt;Comparative Politics&lt;/full-title&gt;&lt;/periodical&gt;&lt;pages&gt;443-462&lt;/pages&gt;&lt;volume&gt;30&lt;/volume&gt;&lt;number&gt;4&lt;/number&gt;&lt;dates&gt;&lt;year&gt;1998&lt;/year&gt;&lt;/dates&gt;&lt;urls&gt;&lt;/urls&gt;&lt;/record&gt;&lt;/Cite&gt;&lt;Cite ExcludeAuth="1"&gt;&lt;Author&gt;Boylan&lt;/Author&gt;&lt;Year&gt;2001&lt;/Year&gt;&lt;RecNum&gt;1359&lt;/RecNum&gt;&lt;record&gt;&lt;rec-number&gt;1359&lt;/rec-number&gt;&lt;foreign-keys&gt;&lt;key app="EN" db-id="wxw9eet5tpa22ve22arv5vv0ttr2rawvxwwp" timestamp="0"&gt;1359&lt;/key&gt;&lt;/foreign-keys&gt;&lt;ref-type name="Book"&gt;6&lt;/ref-type&gt;&lt;contributors&gt;&lt;authors&gt;&lt;author&gt;Boylan, Delia M.&lt;/author&gt;&lt;/authors&gt;&lt;/contributors&gt;&lt;titles&gt;&lt;title&gt;Defusing Democracy&lt;/title&gt;&lt;/titles&gt;&lt;dates&gt;&lt;year&gt;2001&lt;/year&gt;&lt;/dates&gt;&lt;pub-location&gt;Ann Arbor, MI&lt;/pub-location&gt;&lt;publisher&gt;University of Michigan Press&lt;/publisher&gt;&lt;urls&gt;&lt;/urls&gt;&lt;/record&gt;&lt;/Cite&gt;&lt;/EndNote&gt;</w:instrText>
      </w:r>
      <w:r w:rsidR="00A803B0" w:rsidRPr="00CB4FCD">
        <w:fldChar w:fldCharType="separate"/>
      </w:r>
      <w:r w:rsidR="00A803B0" w:rsidRPr="00CB4FCD">
        <w:rPr>
          <w:noProof/>
        </w:rPr>
        <w:t>(1998, 2001)</w:t>
      </w:r>
      <w:r w:rsidR="00A803B0" w:rsidRPr="00CB4FCD">
        <w:fldChar w:fldCharType="end"/>
      </w:r>
      <w:r w:rsidR="00A803B0" w:rsidRPr="00CB4FCD">
        <w:t xml:space="preserve"> sees central bank independence under Pinochet’s rule as a way to tie the hands of future administrations. Other explanations include signa</w:t>
      </w:r>
      <w:r w:rsidR="00E014C8">
        <w:t>l</w:t>
      </w:r>
      <w:r w:rsidR="00A803B0" w:rsidRPr="00CB4FCD">
        <w:t xml:space="preserve">ling creditworthiness to international markets </w:t>
      </w:r>
      <w:r w:rsidR="00A803B0" w:rsidRPr="00CB4FCD">
        <w:fldChar w:fldCharType="begin"/>
      </w:r>
      <w:r w:rsidR="00A803B0" w:rsidRPr="00CB4FCD">
        <w:instrText xml:space="preserve"> ADDIN EN.CITE &lt;EndNote&gt;&lt;Cite&gt;&lt;Author&gt;Maxfield&lt;/Author&gt;&lt;Year&gt;1997&lt;/Year&gt;&lt;RecNum&gt;1009&lt;/RecNum&gt;&lt;DisplayText&gt;(Maxfield, 1997)&lt;/DisplayText&gt;&lt;record&gt;&lt;rec-number&gt;1009&lt;/rec-number&gt;&lt;foreign-keys&gt;&lt;key app="EN" db-id="wxw9eet5tpa22ve22arv5vv0ttr2rawvxwwp" timestamp="0"&gt;1009&lt;/key&gt;&lt;/foreign-keys&gt;&lt;ref-type name="Book"&gt;6&lt;/ref-type&gt;&lt;contributors&gt;&lt;authors&gt;&lt;author&gt;Maxfield, Sylvia&lt;/author&gt;&lt;/authors&gt;&lt;/contributors&gt;&lt;titles&gt;&lt;title&gt;Gatekeepers of Growth:  The International Political Economy of Central Banking in Developing Countries&lt;/title&gt;&lt;/titles&gt;&lt;dates&gt;&lt;year&gt;1997&lt;/year&gt;&lt;/dates&gt;&lt;pub-location&gt;Princeton, NJ&lt;/pub-location&gt;&lt;publisher&gt;Princeton University Press&lt;/publisher&gt;&lt;urls&gt;&lt;/urls&gt;&lt;/record&gt;&lt;/Cite&gt;&lt;/EndNote&gt;</w:instrText>
      </w:r>
      <w:r w:rsidR="00A803B0" w:rsidRPr="00CB4FCD">
        <w:fldChar w:fldCharType="separate"/>
      </w:r>
      <w:r w:rsidR="00A803B0" w:rsidRPr="00CB4FCD">
        <w:rPr>
          <w:noProof/>
        </w:rPr>
        <w:t>(Maxfield, 1997)</w:t>
      </w:r>
      <w:r w:rsidR="00A803B0" w:rsidRPr="00CB4FCD">
        <w:fldChar w:fldCharType="end"/>
      </w:r>
      <w:r w:rsidR="00A803B0" w:rsidRPr="00CB4FCD">
        <w:t xml:space="preserve">, attempts to deflect responsibility for poor economic outcomes </w:t>
      </w:r>
      <w:r w:rsidR="00A803B0" w:rsidRPr="00CB4FCD">
        <w:fldChar w:fldCharType="begin"/>
      </w:r>
      <w:r w:rsidR="00A803B0">
        <w:instrText xml:space="preserve"> ADDIN EN.CITE &lt;EndNote&gt;&lt;Cite&gt;&lt;Author&gt;Bodea&lt;/Author&gt;&lt;Year&gt;forthcoming&lt;/Year&gt;&lt;RecNum&gt;3764&lt;/RecNum&gt;&lt;DisplayText&gt;(Bodea et al., forthcoming)&lt;/DisplayText&gt;&lt;record&gt;&lt;rec-number&gt;3764&lt;/rec-number&gt;&lt;foreign-keys&gt;&lt;key app="EN" db-id="wxw9eet5tpa22ve22arv5vv0ttr2rawvxwwp" timestamp="1480266360"&gt;3764&lt;/key&gt;&lt;/foreign-keys&gt;&lt;ref-type name="Journal Article"&gt;17&lt;/ref-type&gt;&lt;contributors&gt;&lt;authors&gt;&lt;author&gt;Bodea, Cristina&lt;/author&gt;&lt;author&gt;Garriga, Ana Carolina&lt;/author&gt;&lt;author&gt;Higashijima, Masaaki&lt;/author&gt;&lt;/authors&gt;&lt;/contributors&gt;&lt;titles&gt;&lt;title&gt;Economic Institutions and Autocratic Breakdown: Monetary Constraints and Fiscal Spending in Dominant-Party Regimes&lt;/title&gt;&lt;secondary-title&gt;Journal of Politics&lt;/secondary-title&gt;&lt;/titles&gt;&lt;periodical&gt;&lt;full-title&gt;Journal of Politics&lt;/full-title&gt;&lt;/periodical&gt;&lt;dates&gt;&lt;year&gt;forthcoming&lt;/year&gt;&lt;/dates&gt;&lt;urls&gt;&lt;/urls&gt;&lt;/record&gt;&lt;/Cite&gt;&lt;/EndNote&gt;</w:instrText>
      </w:r>
      <w:r w:rsidR="00A803B0" w:rsidRPr="00CB4FCD">
        <w:fldChar w:fldCharType="separate"/>
      </w:r>
      <w:r w:rsidR="00A803B0">
        <w:rPr>
          <w:noProof/>
        </w:rPr>
        <w:t>(Bodea et al., forthcoming)</w:t>
      </w:r>
      <w:r w:rsidR="00A803B0" w:rsidRPr="00CB4FCD">
        <w:fldChar w:fldCharType="end"/>
      </w:r>
      <w:r w:rsidR="00A803B0" w:rsidRPr="00CB4FCD">
        <w:t xml:space="preserve">, learning and competition </w:t>
      </w:r>
      <w:r w:rsidR="00A803B0" w:rsidRPr="00CB4FCD">
        <w:fldChar w:fldCharType="begin"/>
      </w:r>
      <w:r w:rsidR="00A803B0">
        <w:instrText xml:space="preserve"> ADDIN EN.CITE &lt;EndNote&gt;&lt;Cite&gt;&lt;Author&gt;Bodea&lt;/Author&gt;&lt;Year&gt;2015&lt;/Year&gt;&lt;RecNum&gt;3303&lt;/RecNum&gt;&lt;DisplayText&gt;(Bodea &amp;amp; Hicks, 2015a)&lt;/DisplayText&gt;&lt;record&gt;&lt;rec-number&gt;3303&lt;/rec-number&gt;&lt;foreign-keys&gt;&lt;key app="EN" db-id="wxw9eet5tpa22ve22arv5vv0ttr2rawvxwwp" timestamp="1421434766"&gt;3303&lt;/key&gt;&lt;/foreign-keys&gt;&lt;ref-type name="Journal Article"&gt;17&lt;/ref-type&gt;&lt;contributors&gt;&lt;authors&gt;&lt;author&gt;Bodea, Cristina&lt;/author&gt;&lt;author&gt;Hicks, Raymond&lt;/author&gt;&lt;/authors&gt;&lt;/contributors&gt;&lt;titles&gt;&lt;title&gt;International Finance and Central Bank Independence: Institutional Diffusion and the Flow and Cost of Capital&lt;/title&gt;&lt;secondary-title&gt;Journal of Politics&lt;/secondary-title&gt;&lt;/titles&gt;&lt;periodical&gt;&lt;full-title&gt;Journal of Politics&lt;/full-title&gt;&lt;/periodical&gt;&lt;pages&gt;268-284&lt;/pages&gt;&lt;volume&gt;77&lt;/volume&gt;&lt;number&gt;1&lt;/number&gt;&lt;dates&gt;&lt;year&gt;2015&lt;/year&gt;&lt;/dates&gt;&lt;urls&gt;&lt;/urls&gt;&lt;/record&gt;&lt;/Cite&gt;&lt;/EndNote&gt;</w:instrText>
      </w:r>
      <w:r w:rsidR="00A803B0" w:rsidRPr="00CB4FCD">
        <w:fldChar w:fldCharType="separate"/>
      </w:r>
      <w:r w:rsidR="00A803B0">
        <w:rPr>
          <w:noProof/>
        </w:rPr>
        <w:t>(Bodea &amp; Hicks, 2015a)</w:t>
      </w:r>
      <w:r w:rsidR="00A803B0" w:rsidRPr="00CB4FCD">
        <w:fldChar w:fldCharType="end"/>
      </w:r>
      <w:r w:rsidR="00A803B0" w:rsidRPr="00CB4FCD">
        <w:t xml:space="preserve">, norm diffusion </w:t>
      </w:r>
      <w:r w:rsidR="00A803B0" w:rsidRPr="00CB4FCD">
        <w:fldChar w:fldCharType="begin"/>
      </w:r>
      <w:r w:rsidR="00A803B0">
        <w:instrText xml:space="preserve"> ADDIN EN.CITE &lt;EndNote&gt;&lt;Cite&gt;&lt;Author&gt;Johnson&lt;/Author&gt;&lt;Year&gt;2016&lt;/Year&gt;&lt;RecNum&gt;3619&lt;/RecNum&gt;&lt;DisplayText&gt;(Johnson, 2016; McNamara, 2002)&lt;/DisplayText&gt;&lt;record&gt;&lt;rec-number&gt;3619&lt;/rec-number&gt;&lt;foreign-keys&gt;&lt;key app="EN" db-id="wxw9eet5tpa22ve22arv5vv0ttr2rawvxwwp" timestamp="1471535309"&gt;3619&lt;/key&gt;&lt;/foreign-keys&gt;&lt;ref-type name="Book"&gt;6&lt;/ref-type&gt;&lt;contributors&gt;&lt;authors&gt;&lt;author&gt;Juliet Johnson&lt;/author&gt;&lt;/authors&gt;&lt;/contributors&gt;&lt;titles&gt;&lt;title&gt;Priests of Prosperity&lt;/title&gt;&lt;/titles&gt;&lt;dates&gt;&lt;year&gt;2016&lt;/year&gt;&lt;/dates&gt;&lt;pub-location&gt;Ithaca, NY&lt;/pub-location&gt;&lt;publisher&gt;Cornell University Press&lt;/publisher&gt;&lt;urls&gt;&lt;/urls&gt;&lt;/record&gt;&lt;/Cite&gt;&lt;Cite&gt;&lt;Author&gt;McNamara&lt;/Author&gt;&lt;Year&gt;2002&lt;/Year&gt;&lt;RecNum&gt;3618&lt;/RecNum&gt;&lt;record&gt;&lt;rec-number&gt;3618&lt;/rec-number&gt;&lt;foreign-keys&gt;&lt;key app="EN" db-id="wxw9eet5tpa22ve22arv5vv0ttr2rawvxwwp" timestamp="1471455021"&gt;3618&lt;/key&gt;&lt;/foreign-keys&gt;&lt;ref-type name="Journal Article"&gt;17&lt;/ref-type&gt;&lt;contributors&gt;&lt;authors&gt;&lt;author&gt;McNamara, Kathleen&lt;/author&gt;&lt;/authors&gt;&lt;/contributors&gt;&lt;titles&gt;&lt;title&gt;Rational Fictions: Central Bank Independence and the Social Logic of Delegation&lt;/title&gt;&lt;secondary-title&gt;West European Politics&lt;/secondary-title&gt;&lt;/titles&gt;&lt;periodical&gt;&lt;full-title&gt;West European Politics&lt;/full-title&gt;&lt;/periodical&gt;&lt;pages&gt;47-76&lt;/pages&gt;&lt;volume&gt;25&lt;/volume&gt;&lt;number&gt;1&lt;/number&gt;&lt;dates&gt;&lt;year&gt;2002&lt;/year&gt;&lt;pub-dates&gt;&lt;date&gt;2002/01/01&lt;/date&gt;&lt;/pub-dates&gt;&lt;/dates&gt;&lt;publisher&gt;Routledge&lt;/publisher&gt;&lt;isbn&gt;0140-2382&lt;/isbn&gt;&lt;urls&gt;&lt;related-urls&gt;&lt;url&gt;http://dx.doi.org/10.1080/713601585&lt;/url&gt;&lt;/related-urls&gt;&lt;/urls&gt;&lt;electronic-resource-num&gt;10.1080/713601585&lt;/electronic-resource-num&gt;&lt;/record&gt;&lt;/Cite&gt;&lt;/EndNote&gt;</w:instrText>
      </w:r>
      <w:r w:rsidR="00A803B0" w:rsidRPr="00CB4FCD">
        <w:fldChar w:fldCharType="separate"/>
      </w:r>
      <w:r w:rsidR="00A803B0" w:rsidRPr="00CB4FCD">
        <w:rPr>
          <w:noProof/>
        </w:rPr>
        <w:t>(Johnson, 2016; McNamara, 2002)</w:t>
      </w:r>
      <w:r w:rsidR="00A803B0" w:rsidRPr="00CB4FCD">
        <w:fldChar w:fldCharType="end"/>
      </w:r>
      <w:r w:rsidR="00A803B0" w:rsidRPr="00CB4FCD">
        <w:t xml:space="preserve">, or power-sharing agreements </w:t>
      </w:r>
      <w:r w:rsidR="00A803B0" w:rsidRPr="00CB4FCD">
        <w:fldChar w:fldCharType="begin"/>
      </w:r>
      <w:r w:rsidR="00A803B0">
        <w:instrText xml:space="preserve"> ADDIN EN.CITE &lt;EndNote&gt;&lt;Cite&gt;&lt;Author&gt;Bodea&lt;/Author&gt;&lt;Year&gt;forthcoming&lt;/Year&gt;&lt;RecNum&gt;3764&lt;/RecNum&gt;&lt;DisplayText&gt;(Baerg et al., 2017; Bodea et al., forthcoming)&lt;/DisplayText&gt;&lt;record&gt;&lt;rec-number&gt;3764&lt;/rec-number&gt;&lt;foreign-keys&gt;&lt;key app="EN" db-id="wxw9eet5tpa22ve22arv5vv0ttr2rawvxwwp" timestamp="1480266360"&gt;3764&lt;/key&gt;&lt;/foreign-keys&gt;&lt;ref-type name="Journal Article"&gt;17&lt;/ref-type&gt;&lt;contributors&gt;&lt;authors&gt;&lt;author&gt;Bodea, Cristina&lt;/author&gt;&lt;author&gt;Garriga, Ana Carolina&lt;/author&gt;&lt;author&gt;Higashijima, Masaaki&lt;/author&gt;&lt;/authors&gt;&lt;/contributors&gt;&lt;titles&gt;&lt;title&gt;Economic Institutions and Autocratic Breakdown: Monetary Constraints and Fiscal Spending in Dominant-Party Regimes&lt;/title&gt;&lt;secondary-title&gt;Journal of Politics&lt;/secondary-title&gt;&lt;/titles&gt;&lt;periodical&gt;&lt;full-title&gt;Journal of Politics&lt;/full-title&gt;&lt;/periodical&gt;&lt;dates&gt;&lt;year&gt;forthcoming&lt;/year&gt;&lt;/dates&gt;&lt;urls&gt;&lt;/urls&gt;&lt;/record&gt;&lt;/Cite&gt;&lt;Cite&gt;&lt;Author&gt;Baerg&lt;/Author&gt;&lt;Year&gt;2017&lt;/Year&gt;&lt;RecNum&gt;3899&lt;/RecNum&gt;&lt;record&gt;&lt;rec-number&gt;3899&lt;/rec-number&gt;&lt;foreign-keys&gt;&lt;key app="EN" db-id="wxw9eet5tpa22ve22arv5vv0ttr2rawvxwwp" timestamp="1493316476"&gt;3899&lt;/key&gt;&lt;/foreign-keys&gt;&lt;ref-type name="Conference Paper"&gt;47&lt;/ref-type&gt;&lt;contributors&gt;&lt;authors&gt;&lt;author&gt;Nicole Rae Baerg&lt;/author&gt;&lt;author&gt;Gray, Julia&lt;/author&gt;&lt;author&gt;Jakob Willisch&lt;/author&gt;&lt;/authors&gt;&lt;/contributors&gt;&lt;titles&gt;&lt;title&gt;They Could Have Been Contenders: A Power-Sharing Explanation for Central Bank Independence in Transition Countries&lt;/title&gt;&lt;secondary-title&gt;2017 American Political Science Association Annual Meeting, August 31-September 3, 2017&lt;/secondary-title&gt;&lt;/titles&gt;&lt;dates&gt;&lt;year&gt;2017&lt;/year&gt;&lt;/dates&gt;&lt;pub-location&gt;San Francisco, CA&lt;/pub-location&gt;&lt;urls&gt;&lt;/urls&gt;&lt;/record&gt;&lt;/Cite&gt;&lt;/EndNote&gt;</w:instrText>
      </w:r>
      <w:r w:rsidR="00A803B0" w:rsidRPr="00CB4FCD">
        <w:fldChar w:fldCharType="separate"/>
      </w:r>
      <w:r w:rsidR="00A803B0">
        <w:rPr>
          <w:noProof/>
        </w:rPr>
        <w:t>(Baerg et al., 2017; Bodea et al., forthcoming)</w:t>
      </w:r>
      <w:r w:rsidR="00A803B0" w:rsidRPr="00CB4FCD">
        <w:fldChar w:fldCharType="end"/>
      </w:r>
      <w:r w:rsidR="00A803B0">
        <w:t>. Figure 1</w:t>
      </w:r>
      <w:r w:rsidR="00A803B0" w:rsidRPr="00CB4FCD">
        <w:t xml:space="preserve"> shows the distribution of CBI among democracies and autocracies in our sample. </w:t>
      </w:r>
      <w:r w:rsidR="00A803B0" w:rsidRPr="003C7AEB">
        <w:t xml:space="preserve">Democracy is defined as Polity ≥ 6 </w:t>
      </w:r>
      <w:r w:rsidR="00A803B0" w:rsidRPr="003C7AEB">
        <w:fldChar w:fldCharType="begin"/>
      </w:r>
      <w:r w:rsidR="00A803B0" w:rsidRPr="003C7AEB">
        <w:instrText xml:space="preserve"> ADDIN EN.CITE &lt;EndNote&gt;&lt;Cite&gt;&lt;Author&gt;Marshall&lt;/Author&gt;&lt;Year&gt;2012&lt;/Year&gt;&lt;RecNum&gt;131&lt;/RecNum&gt;&lt;DisplayText&gt;(Marshall &amp;amp; Jaggers, 2012)&lt;/DisplayText&gt;&lt;record&gt;&lt;rec-number&gt;131&lt;/rec-number&gt;&lt;foreign-keys&gt;&lt;key app="EN" db-id="wxw9eet5tpa22ve22arv5vv0ttr2rawvxwwp" timestamp="0"&gt;131&lt;/key&gt;&lt;/foreign-keys&gt;&lt;ref-type name="Web Page"&gt;12&lt;/ref-type&gt;&lt;contributors&gt;&lt;authors&gt;&lt;author&gt;Marshall, Monty G.&lt;/author&gt;&lt;author&gt;Keith Jaggers&lt;/author&gt;&lt;/authors&gt;&lt;/contributors&gt;&lt;titles&gt;&lt;title&gt;Polity IV Dataset&lt;/title&gt;&lt;/titles&gt;&lt;number&gt;October&lt;/number&gt;&lt;dates&gt;&lt;year&gt;2012&lt;/year&gt;&lt;/dates&gt;&lt;pub-location&gt;College Park, MD&lt;/pub-location&gt;&lt;publisher&gt;Center for International Development and Conflict Management, University of Maryland &lt;/publisher&gt;&lt;urls&gt;&lt;/urls&gt;&lt;/record&gt;&lt;/Cite&gt;&lt;/EndNote&gt;</w:instrText>
      </w:r>
      <w:r w:rsidR="00A803B0" w:rsidRPr="003C7AEB">
        <w:fldChar w:fldCharType="separate"/>
      </w:r>
      <w:r w:rsidR="00A803B0" w:rsidRPr="003C7AEB">
        <w:rPr>
          <w:noProof/>
        </w:rPr>
        <w:t>(Marshall &amp; Jaggers, 2012)</w:t>
      </w:r>
      <w:r w:rsidR="00A803B0" w:rsidRPr="003C7AEB">
        <w:fldChar w:fldCharType="end"/>
      </w:r>
      <w:r w:rsidR="00A803B0" w:rsidRPr="00CB4FCD">
        <w:t>. The mean CBI for democracies is .54, and .48 for autocracies. There are 951 observations of authoritarian regimes with independent central banks (CBI ≥ .5).</w:t>
      </w:r>
    </w:p>
    <w:p w14:paraId="68A6F96B" w14:textId="77777777" w:rsidR="00A803B0" w:rsidRPr="00CB4FCD" w:rsidRDefault="00A803B0" w:rsidP="00AC132B">
      <w:pPr>
        <w:pStyle w:val="Newparagraph"/>
        <w:jc w:val="center"/>
      </w:pPr>
      <w:r>
        <w:t>[Figure 1</w:t>
      </w:r>
      <w:r w:rsidRPr="00CB4FCD">
        <w:t xml:space="preserve"> here]</w:t>
      </w:r>
    </w:p>
    <w:p w14:paraId="68BB5B88" w14:textId="231A9ADC" w:rsidR="00A803B0" w:rsidRPr="00CB4FCD" w:rsidRDefault="00A803B0" w:rsidP="00AC132B">
      <w:pPr>
        <w:pStyle w:val="Newparagraph"/>
      </w:pPr>
      <w:r>
        <w:t>Our theory</w:t>
      </w:r>
      <w:r w:rsidRPr="00CB4FCD">
        <w:t xml:space="preserve"> contends that the impact of remittances on the choice of exchange rate regime is conditional on the political regime and on monetary institutions. Testing this hypothesis entails usi</w:t>
      </w:r>
      <w:r>
        <w:t>ng a triple interaction. For ease of interpretation</w:t>
      </w:r>
      <w:r w:rsidRPr="00CB4FCD">
        <w:t xml:space="preserve">, we include </w:t>
      </w:r>
      <w:r w:rsidRPr="00CB4FCD">
        <w:lastRenderedPageBreak/>
        <w:t>an interactive term between remittances and CBI, and explore the effect of this interaction in subsamples of autocracies and democracies as defined above</w:t>
      </w:r>
      <w:r w:rsidR="003C7AEB">
        <w:t>.</w:t>
      </w:r>
    </w:p>
    <w:p w14:paraId="76B34C31" w14:textId="4511618E" w:rsidR="00A803B0" w:rsidRPr="00CB4FCD" w:rsidRDefault="00A803B0" w:rsidP="00AC132B">
      <w:pPr>
        <w:pStyle w:val="Newparagraph"/>
      </w:pPr>
      <w:r w:rsidRPr="00CB4FCD">
        <w:t xml:space="preserve">We control for other variables typically included in models of exchange rate regime choices. </w:t>
      </w:r>
      <w:r w:rsidR="00FC0546" w:rsidRPr="00BB6A07">
        <w:t>Following Singer’s (2010) specification, our m</w:t>
      </w:r>
      <w:r w:rsidRPr="00BB6A07">
        <w:t>odels include the lagged dependent variable, the natural log of GDP and GDP per capita, exports as percentage of GDP, reserves in months of imports, trade volatility (the standard deviation on t, t</w:t>
      </w:r>
      <w:r w:rsidRPr="00BB6A07">
        <w:rPr>
          <w:vertAlign w:val="subscript"/>
        </w:rPr>
        <w:t>–1</w:t>
      </w:r>
      <w:r w:rsidRPr="00BB6A07">
        <w:t xml:space="preserve"> and t</w:t>
      </w:r>
      <w:r w:rsidRPr="00BB6A07">
        <w:rPr>
          <w:vertAlign w:val="subscript"/>
        </w:rPr>
        <w:t>–2</w:t>
      </w:r>
      <w:r w:rsidRPr="00BB6A07">
        <w:t xml:space="preserve"> on net barter terms of trade), inflation (logged), and current account balance. We include the size of manufacturing relative to the GDP as a control for sectoral explanations of exchange rate regime choices. Since population also influences the volume of remittances received, we control for the country’s population (logged and lagged). These data come from WDI </w:t>
      </w:r>
      <w:r w:rsidRPr="00BB6A07">
        <w:fldChar w:fldCharType="begin"/>
      </w:r>
      <w:r w:rsidRPr="00BB6A07">
        <w:instrText xml:space="preserve"> ADDIN EN.CITE &lt;EndNote&gt;&lt;Cite&gt;&lt;Author&gt;World Bank&lt;/Author&gt;&lt;Year&gt;2015&lt;/Year&gt;&lt;RecNum&gt;3304&lt;/RecNum&gt;&lt;DisplayText&gt;(World Bank, 2015)&lt;/DisplayText&gt;&lt;record&gt;&lt;rec-number&gt;3304&lt;/rec-number&gt;&lt;foreign-keys&gt;&lt;key app="EN" db-id="wxw9eet5tpa22ve22arv5vv0ttr2rawvxwwp" timestamp="1421701750"&gt;3304&lt;/key&gt;&lt;/foreign-keys&gt;&lt;ref-type name="Online Database"&gt;45&lt;/ref-type&gt;&lt;contributors&gt;&lt;authors&gt;&lt;author&gt;World Bank,&lt;/author&gt;&lt;/authors&gt;&lt;/contributors&gt;&lt;titles&gt;&lt;title&gt;World Development Indicators On-Line&lt;/title&gt;&lt;/titles&gt;&lt;volume&gt;2015&lt;/volume&gt;&lt;number&gt;January&lt;/number&gt;&lt;dates&gt;&lt;year&gt;2015&lt;/year&gt;&lt;/dates&gt;&lt;pub-location&gt;Washington, D.C.&lt;/pub-location&gt;&lt;publisher&gt;World Bank&lt;/publisher&gt;&lt;urls&gt;&lt;/urls&gt;&lt;/record&gt;&lt;/Cite&gt;&lt;/EndNote&gt;</w:instrText>
      </w:r>
      <w:r w:rsidRPr="00BB6A07">
        <w:fldChar w:fldCharType="separate"/>
      </w:r>
      <w:r w:rsidRPr="00BB6A07">
        <w:rPr>
          <w:noProof/>
        </w:rPr>
        <w:t>(World Bank, 2015)</w:t>
      </w:r>
      <w:r w:rsidRPr="00BB6A07">
        <w:fldChar w:fldCharType="end"/>
      </w:r>
      <w:r w:rsidRPr="00BB6A07">
        <w:t>. We also control for capital</w:t>
      </w:r>
      <w:r w:rsidR="003C2C47" w:rsidRPr="00BB6A07">
        <w:t xml:space="preserve"> account</w:t>
      </w:r>
      <w:r w:rsidRPr="00BB6A07">
        <w:t xml:space="preserve"> openness </w:t>
      </w:r>
      <w:r w:rsidRPr="00BB6A07">
        <w:fldChar w:fldCharType="begin"/>
      </w:r>
      <w:r w:rsidRPr="00BB6A07">
        <w:instrText xml:space="preserve"> ADDIN EN.CITE &lt;EndNote&gt;&lt;Cite&gt;&lt;Author&gt;Chinn&lt;/Author&gt;&lt;Year&gt;2008&lt;/Year&gt;&lt;RecNum&gt;1398&lt;/RecNum&gt;&lt;DisplayText&gt;(Chinn &amp;amp; Ito, 2008)&lt;/DisplayText&gt;&lt;record&gt;&lt;rec-number&gt;1398&lt;/rec-number&gt;&lt;foreign-keys&gt;&lt;key app="EN" db-id="wxw9eet5tpa22ve22arv5vv0ttr2rawvxwwp" timestamp="1234113848"&gt;1398&lt;/key&gt;&lt;/foreign-keys&gt;&lt;ref-type name="Journal Article"&gt;17&lt;/ref-type&gt;&lt;contributors&gt;&lt;authors&gt;&lt;author&gt;Menzie Chinn&lt;/author&gt;&lt;author&gt;Hiro Ito&lt;/author&gt;&lt;/authors&gt;&lt;/contributors&gt;&lt;titles&gt;&lt;title&gt;A New Measure of Financial Openness&lt;/title&gt;&lt;secondary-title&gt;Journal of Comparative Policy Analysis&lt;/secondary-title&gt;&lt;/titles&gt;&lt;periodical&gt;&lt;full-title&gt;Journal of Comparative Policy Analysis&lt;/full-title&gt;&lt;/periodical&gt;&lt;pages&gt;309-322&lt;/pages&gt;&lt;volume&gt;10&lt;/volume&gt;&lt;number&gt;3&lt;/number&gt;&lt;dates&gt;&lt;year&gt;2008&lt;/year&gt;&lt;/dates&gt;&lt;urls&gt;&lt;/urls&gt;&lt;/record&gt;&lt;/Cite&gt;&lt;/EndNote&gt;</w:instrText>
      </w:r>
      <w:r w:rsidRPr="00BB6A07">
        <w:fldChar w:fldCharType="separate"/>
      </w:r>
      <w:r w:rsidRPr="00BB6A07">
        <w:rPr>
          <w:noProof/>
        </w:rPr>
        <w:t>(Chinn &amp; Ito, 2008)</w:t>
      </w:r>
      <w:r w:rsidRPr="00BB6A07">
        <w:fldChar w:fldCharType="end"/>
      </w:r>
      <w:r w:rsidR="00C83DF6" w:rsidRPr="00BB6A07">
        <w:t xml:space="preserve"> to account for the fact that governments still use this policy tool</w:t>
      </w:r>
      <w:r w:rsidRPr="00BB6A07">
        <w:t xml:space="preserve"> and</w:t>
      </w:r>
      <w:r w:rsidR="00CA0E72" w:rsidRPr="00BB6A07">
        <w:t xml:space="preserve"> for</w:t>
      </w:r>
      <w:r w:rsidRPr="00BB6A07">
        <w:t xml:space="preserve"> regime</w:t>
      </w:r>
      <w:r w:rsidRPr="00CB4FCD">
        <w:t xml:space="preserve"> type using Polity2 </w:t>
      </w:r>
      <w:r w:rsidRPr="00CB4FCD">
        <w:fldChar w:fldCharType="begin"/>
      </w:r>
      <w:r>
        <w:instrText xml:space="preserve"> ADDIN EN.CITE &lt;EndNote&gt;&lt;Cite&gt;&lt;Author&gt;Marshall&lt;/Author&gt;&lt;Year&gt;2012&lt;/Year&gt;&lt;RecNum&gt;131&lt;/RecNum&gt;&lt;DisplayText&gt;(Marshall &amp;amp; Jaggers, 2012)&lt;/DisplayText&gt;&lt;record&gt;&lt;rec-number&gt;131&lt;/rec-number&gt;&lt;foreign-keys&gt;&lt;key app="EN" db-id="wxw9eet5tpa22ve22arv5vv0ttr2rawvxwwp" timestamp="0"&gt;131&lt;/key&gt;&lt;/foreign-keys&gt;&lt;ref-type name="Web Page"&gt;12&lt;/ref-type&gt;&lt;contributors&gt;&lt;authors&gt;&lt;author&gt;Marshall, Monty G.&lt;/author&gt;&lt;author&gt;Keith Jaggers&lt;/author&gt;&lt;/authors&gt;&lt;/contributors&gt;&lt;titles&gt;&lt;title&gt;Polity IV Dataset&lt;/title&gt;&lt;/titles&gt;&lt;number&gt;October&lt;/number&gt;&lt;dates&gt;&lt;year&gt;2012&lt;/year&gt;&lt;/dates&gt;&lt;pub-location&gt;College Park, MD&lt;/pub-location&gt;&lt;publisher&gt;Center for International Development and Conflict Management, University of Maryland &lt;/publisher&gt;&lt;urls&gt;&lt;/urls&gt;&lt;/record&gt;&lt;/Cite&gt;&lt;/EndNote&gt;</w:instrText>
      </w:r>
      <w:r w:rsidRPr="00CB4FCD">
        <w:fldChar w:fldCharType="separate"/>
      </w:r>
      <w:r>
        <w:rPr>
          <w:noProof/>
        </w:rPr>
        <w:t>(Marshall &amp; Jaggers, 2012)</w:t>
      </w:r>
      <w:r w:rsidRPr="00CB4FCD">
        <w:fldChar w:fldCharType="end"/>
      </w:r>
      <w:r w:rsidRPr="00CB4FCD">
        <w:t>. Lagged variables are indicated in the tables.</w:t>
      </w:r>
    </w:p>
    <w:p w14:paraId="39921C7F" w14:textId="3C545CAA" w:rsidR="00A803B0" w:rsidRDefault="00A803B0" w:rsidP="00AC132B">
      <w:pPr>
        <w:pStyle w:val="Newparagraph"/>
      </w:pPr>
      <w:r w:rsidRPr="00536572">
        <w:t xml:space="preserve">We run ordered </w:t>
      </w:r>
      <w:proofErr w:type="spellStart"/>
      <w:r w:rsidRPr="00686515">
        <w:t>probit</w:t>
      </w:r>
      <w:proofErr w:type="spellEnd"/>
      <w:r w:rsidRPr="00686515">
        <w:t xml:space="preserve"> models, clustered on country</w:t>
      </w:r>
      <w:r w:rsidRPr="001338A7">
        <w:t>, on a sample of 87 developing countries between 1981 and 2010.</w:t>
      </w:r>
      <w:r w:rsidR="001338A7">
        <w:rPr>
          <w:rStyle w:val="FootnoteReference"/>
        </w:rPr>
        <w:footnoteReference w:id="16"/>
      </w:r>
      <w:r w:rsidRPr="001338A7">
        <w:t xml:space="preserve"> Given the p</w:t>
      </w:r>
      <w:r w:rsidRPr="00686515">
        <w:t xml:space="preserve">anel structure of the data, where subscripts </w:t>
      </w:r>
      <w:proofErr w:type="spellStart"/>
      <w:r w:rsidRPr="00686515">
        <w:rPr>
          <w:i/>
        </w:rPr>
        <w:t>i</w:t>
      </w:r>
      <w:proofErr w:type="spellEnd"/>
      <w:r w:rsidRPr="00686515">
        <w:t xml:space="preserve"> and </w:t>
      </w:r>
      <w:r w:rsidRPr="00686515">
        <w:rPr>
          <w:i/>
        </w:rPr>
        <w:t xml:space="preserve">t </w:t>
      </w:r>
      <w:r w:rsidRPr="00686515">
        <w:t xml:space="preserve">represent country and year respectively, and that the dependent variable is categorical (the outcomes are represented by </w:t>
      </w:r>
      <w:r w:rsidRPr="00686515">
        <w:rPr>
          <w:i/>
        </w:rPr>
        <w:t>o</w:t>
      </w:r>
      <w:r w:rsidRPr="00686515">
        <w:t xml:space="preserve">, and the </w:t>
      </w:r>
      <w:proofErr w:type="spellStart"/>
      <w:r w:rsidRPr="00686515">
        <w:t>cutpoints</w:t>
      </w:r>
      <w:proofErr w:type="spellEnd"/>
      <w:r w:rsidRPr="00686515">
        <w:t xml:space="preserve"> by </w:t>
      </w:r>
      <w:r w:rsidRPr="00686515">
        <w:rPr>
          <w:i/>
        </w:rPr>
        <w:t>k</w:t>
      </w:r>
      <w:r w:rsidRPr="00686515">
        <w:t xml:space="preserve">), our baseline specification is: </w:t>
      </w:r>
    </w:p>
    <w:p w14:paraId="7CA15886" w14:textId="77777777" w:rsidR="00AC132B" w:rsidRPr="00686515" w:rsidRDefault="00AC132B" w:rsidP="00AC132B">
      <w:pPr>
        <w:pStyle w:val="Newparagraph"/>
      </w:pPr>
    </w:p>
    <w:p w14:paraId="0DBBBAEF" w14:textId="33ED2515" w:rsidR="00A803B0" w:rsidRDefault="00A803B0" w:rsidP="000D15F7">
      <w:pPr>
        <w:pStyle w:val="Displayedequation"/>
        <w:tabs>
          <w:tab w:val="clear" w:pos="4253"/>
          <w:tab w:val="clear" w:pos="8222"/>
          <w:tab w:val="right" w:pos="8505"/>
        </w:tabs>
        <w:ind w:left="709" w:hanging="709"/>
        <w:jc w:val="left"/>
      </w:pPr>
      <w:proofErr w:type="spellStart"/>
      <w:proofErr w:type="gramStart"/>
      <w:r w:rsidRPr="00686515">
        <w:rPr>
          <w:i/>
          <w:szCs w:val="20"/>
          <w:lang w:eastAsia="es-ES"/>
        </w:rPr>
        <w:t>Pr</w:t>
      </w:r>
      <w:proofErr w:type="spellEnd"/>
      <w:r w:rsidRPr="00686515">
        <w:rPr>
          <w:i/>
          <w:szCs w:val="20"/>
          <w:lang w:eastAsia="es-ES"/>
        </w:rPr>
        <w:t>(</w:t>
      </w:r>
      <w:proofErr w:type="spellStart"/>
      <w:proofErr w:type="gramEnd"/>
      <w:r w:rsidRPr="00686515">
        <w:rPr>
          <w:i/>
          <w:szCs w:val="20"/>
          <w:lang w:eastAsia="es-ES"/>
        </w:rPr>
        <w:t>ERR</w:t>
      </w:r>
      <w:r w:rsidRPr="00686515">
        <w:rPr>
          <w:i/>
          <w:szCs w:val="20"/>
          <w:vertAlign w:val="subscript"/>
          <w:lang w:eastAsia="es-ES"/>
        </w:rPr>
        <w:t>o</w:t>
      </w:r>
      <w:proofErr w:type="spellEnd"/>
      <w:r w:rsidRPr="00686515">
        <w:rPr>
          <w:i/>
          <w:szCs w:val="20"/>
          <w:lang w:eastAsia="es-ES"/>
        </w:rPr>
        <w:t xml:space="preserve"> </w:t>
      </w:r>
      <w:r w:rsidRPr="00686515">
        <w:rPr>
          <w:szCs w:val="20"/>
          <w:lang w:eastAsia="es-ES"/>
        </w:rPr>
        <w:t>=</w:t>
      </w:r>
      <w:r w:rsidRPr="00686515">
        <w:rPr>
          <w:i/>
          <w:szCs w:val="20"/>
          <w:lang w:eastAsia="es-ES"/>
        </w:rPr>
        <w:t>j</w:t>
      </w:r>
      <w:r w:rsidRPr="00686515">
        <w:rPr>
          <w:szCs w:val="20"/>
          <w:lang w:eastAsia="es-ES"/>
        </w:rPr>
        <w:t>)</w:t>
      </w:r>
      <w:r w:rsidRPr="00686515">
        <w:rPr>
          <w:i/>
          <w:szCs w:val="20"/>
          <w:vertAlign w:val="subscript"/>
          <w:lang w:eastAsia="es-ES"/>
        </w:rPr>
        <w:t>it</w:t>
      </w:r>
      <w:r w:rsidRPr="00686515">
        <w:rPr>
          <w:szCs w:val="20"/>
          <w:lang w:eastAsia="es-ES"/>
        </w:rPr>
        <w:t xml:space="preserve"> = </w:t>
      </w:r>
      <w:proofErr w:type="spellStart"/>
      <w:r w:rsidRPr="00686515">
        <w:rPr>
          <w:i/>
          <w:szCs w:val="20"/>
          <w:lang w:eastAsia="es-ES"/>
        </w:rPr>
        <w:t>Pr</w:t>
      </w:r>
      <w:proofErr w:type="spellEnd"/>
      <w:r w:rsidRPr="00686515">
        <w:rPr>
          <w:szCs w:val="20"/>
          <w:lang w:eastAsia="es-ES"/>
        </w:rPr>
        <w:t>(</w:t>
      </w:r>
      <w:r w:rsidRPr="00686515">
        <w:rPr>
          <w:i/>
          <w:szCs w:val="20"/>
          <w:lang w:eastAsia="es-ES"/>
        </w:rPr>
        <w:t>k</w:t>
      </w:r>
      <w:r w:rsidRPr="00686515">
        <w:rPr>
          <w:i/>
          <w:szCs w:val="20"/>
          <w:vertAlign w:val="subscript"/>
          <w:lang w:eastAsia="es-ES"/>
        </w:rPr>
        <w:t xml:space="preserve">j-1 </w:t>
      </w:r>
      <w:r w:rsidRPr="00686515">
        <w:rPr>
          <w:szCs w:val="20"/>
          <w:lang w:eastAsia="es-ES"/>
        </w:rPr>
        <w:t xml:space="preserve">&lt; </w:t>
      </w:r>
      <w:r w:rsidRPr="00686515">
        <w:rPr>
          <w:b/>
          <w:i/>
        </w:rPr>
        <w:t>β</w:t>
      </w:r>
      <w:r w:rsidRPr="00686515">
        <w:rPr>
          <w:b/>
          <w:vertAlign w:val="subscript"/>
        </w:rPr>
        <w:t>1</w:t>
      </w:r>
      <w:r w:rsidRPr="00686515">
        <w:rPr>
          <w:b/>
        </w:rPr>
        <w:t xml:space="preserve"> </w:t>
      </w:r>
      <w:r w:rsidRPr="00686515">
        <w:t>ln(</w:t>
      </w:r>
      <w:r w:rsidRPr="00686515">
        <w:rPr>
          <w:i/>
        </w:rPr>
        <w:t>remitt</w:t>
      </w:r>
      <w:r w:rsidRPr="00686515">
        <w:rPr>
          <w:i/>
          <w:vertAlign w:val="subscript"/>
        </w:rPr>
        <w:t>it-1</w:t>
      </w:r>
      <w:r w:rsidRPr="00686515">
        <w:t xml:space="preserve">) + </w:t>
      </w:r>
      <w:r w:rsidRPr="00686515">
        <w:rPr>
          <w:b/>
          <w:i/>
        </w:rPr>
        <w:t>β</w:t>
      </w:r>
      <w:r w:rsidRPr="00686515">
        <w:rPr>
          <w:b/>
          <w:vertAlign w:val="subscript"/>
        </w:rPr>
        <w:t>2</w:t>
      </w:r>
      <w:r w:rsidRPr="00686515">
        <w:rPr>
          <w:vertAlign w:val="subscript"/>
        </w:rPr>
        <w:t xml:space="preserve"> </w:t>
      </w:r>
      <w:r w:rsidRPr="00686515">
        <w:t>CBI</w:t>
      </w:r>
      <w:r w:rsidRPr="00686515">
        <w:rPr>
          <w:i/>
          <w:vertAlign w:val="subscript"/>
        </w:rPr>
        <w:t xml:space="preserve"> it-1 </w:t>
      </w:r>
      <w:r w:rsidRPr="00686515">
        <w:t xml:space="preserve">+ </w:t>
      </w:r>
      <w:r w:rsidRPr="00686515">
        <w:rPr>
          <w:b/>
          <w:i/>
        </w:rPr>
        <w:t>β</w:t>
      </w:r>
      <w:r w:rsidRPr="00686515">
        <w:rPr>
          <w:b/>
          <w:vertAlign w:val="subscript"/>
        </w:rPr>
        <w:t>3</w:t>
      </w:r>
      <w:r w:rsidRPr="00686515">
        <w:rPr>
          <w:vertAlign w:val="subscript"/>
        </w:rPr>
        <w:t xml:space="preserve"> </w:t>
      </w:r>
      <w:r w:rsidRPr="00686515">
        <w:t>[ln(</w:t>
      </w:r>
      <w:r w:rsidRPr="00686515">
        <w:rPr>
          <w:i/>
        </w:rPr>
        <w:t>remitt</w:t>
      </w:r>
      <w:r w:rsidRPr="00686515">
        <w:rPr>
          <w:i/>
          <w:vertAlign w:val="subscript"/>
        </w:rPr>
        <w:t>it-1</w:t>
      </w:r>
      <w:r w:rsidRPr="00686515">
        <w:t>)* CBI</w:t>
      </w:r>
      <w:r w:rsidRPr="00686515">
        <w:rPr>
          <w:i/>
          <w:vertAlign w:val="subscript"/>
        </w:rPr>
        <w:t xml:space="preserve"> it-1 </w:t>
      </w:r>
      <w:r w:rsidRPr="00686515">
        <w:t>] +</w:t>
      </w:r>
      <w:r w:rsidRPr="00686515">
        <w:rPr>
          <w:szCs w:val="20"/>
          <w:lang w:eastAsia="es-ES"/>
        </w:rPr>
        <w:t xml:space="preserve"> </w:t>
      </w:r>
      <w:r w:rsidRPr="00686515">
        <w:t>γ</w:t>
      </w:r>
      <w:r w:rsidRPr="00686515">
        <w:rPr>
          <w:vertAlign w:val="subscript"/>
        </w:rPr>
        <w:t xml:space="preserve">1 </w:t>
      </w:r>
      <w:r w:rsidRPr="00686515">
        <w:rPr>
          <w:i/>
        </w:rPr>
        <w:t>X</w:t>
      </w:r>
      <w:r w:rsidRPr="00686515">
        <w:rPr>
          <w:i/>
          <w:vertAlign w:val="subscript"/>
        </w:rPr>
        <w:t xml:space="preserve"> it-1</w:t>
      </w:r>
      <w:r w:rsidRPr="00686515">
        <w:rPr>
          <w:i/>
        </w:rPr>
        <w:t xml:space="preserve"> </w:t>
      </w:r>
      <w:r w:rsidRPr="00686515">
        <w:t xml:space="preserve">+ </w:t>
      </w:r>
      <w:proofErr w:type="spellStart"/>
      <w:r w:rsidRPr="00686515">
        <w:rPr>
          <w:i/>
        </w:rPr>
        <w:t>ε</w:t>
      </w:r>
      <w:r w:rsidRPr="00686515">
        <w:rPr>
          <w:i/>
          <w:vertAlign w:val="subscript"/>
        </w:rPr>
        <w:t>it</w:t>
      </w:r>
      <w:proofErr w:type="spellEnd"/>
      <w:r w:rsidRPr="00686515">
        <w:rPr>
          <w:i/>
          <w:vertAlign w:val="subscript"/>
        </w:rPr>
        <w:t xml:space="preserve"> </w:t>
      </w:r>
      <w:r w:rsidRPr="00686515">
        <w:rPr>
          <w:szCs w:val="20"/>
          <w:lang w:eastAsia="es-ES"/>
        </w:rPr>
        <w:t xml:space="preserve"> ≤ </w:t>
      </w:r>
      <w:proofErr w:type="spellStart"/>
      <w:r w:rsidRPr="00686515">
        <w:rPr>
          <w:i/>
          <w:szCs w:val="20"/>
          <w:lang w:eastAsia="es-ES"/>
        </w:rPr>
        <w:t>k</w:t>
      </w:r>
      <w:r w:rsidRPr="00686515">
        <w:rPr>
          <w:i/>
          <w:szCs w:val="20"/>
          <w:vertAlign w:val="subscript"/>
          <w:lang w:eastAsia="es-ES"/>
        </w:rPr>
        <w:t>j</w:t>
      </w:r>
      <w:proofErr w:type="spellEnd"/>
      <w:r w:rsidRPr="00686515">
        <w:rPr>
          <w:szCs w:val="20"/>
          <w:lang w:eastAsia="es-ES"/>
        </w:rPr>
        <w:t>)</w:t>
      </w:r>
      <w:r w:rsidRPr="00686515">
        <w:rPr>
          <w:i/>
          <w:szCs w:val="20"/>
          <w:vertAlign w:val="subscript"/>
          <w:lang w:eastAsia="es-ES"/>
        </w:rPr>
        <w:t xml:space="preserve"> it</w:t>
      </w:r>
      <w:r w:rsidR="000D15F7">
        <w:rPr>
          <w:i/>
        </w:rPr>
        <w:tab/>
      </w:r>
      <w:r w:rsidRPr="00686515">
        <w:t>(1)</w:t>
      </w:r>
    </w:p>
    <w:p w14:paraId="0D6063F2" w14:textId="77777777" w:rsidR="00A803B0" w:rsidRPr="00CB4FCD" w:rsidRDefault="00A803B0" w:rsidP="00AC132B">
      <w:pPr>
        <w:pStyle w:val="Newparagraph"/>
      </w:pPr>
      <w:r w:rsidRPr="00536572">
        <w:lastRenderedPageBreak/>
        <w:t xml:space="preserve">Recall that the dependent variable is categorical, with greater values indicating a more </w:t>
      </w:r>
      <w:r w:rsidRPr="00536572">
        <w:rPr>
          <w:i/>
        </w:rPr>
        <w:t>flexible</w:t>
      </w:r>
      <w:r w:rsidRPr="00536572">
        <w:t xml:space="preserve"> exchange rate regime. In </w:t>
      </w:r>
      <w:r w:rsidRPr="00536572">
        <w:rPr>
          <w:i/>
        </w:rPr>
        <w:t>autocracies</w:t>
      </w:r>
      <w:r w:rsidRPr="00536572">
        <w:t xml:space="preserve">, we expect </w:t>
      </w:r>
      <w:bookmarkStart w:id="0" w:name="_Hlk515382685"/>
      <w:r w:rsidRPr="00536572">
        <w:rPr>
          <w:i/>
        </w:rPr>
        <w:t>β</w:t>
      </w:r>
      <w:r w:rsidRPr="00536572">
        <w:rPr>
          <w:vertAlign w:val="subscript"/>
        </w:rPr>
        <w:t>1</w:t>
      </w:r>
      <w:r w:rsidRPr="00536572">
        <w:t>&lt;0</w:t>
      </w:r>
      <w:bookmarkEnd w:id="0"/>
      <w:r w:rsidRPr="00536572">
        <w:t xml:space="preserve">, as this is the effect of remittances </w:t>
      </w:r>
      <w:r w:rsidRPr="00686515">
        <w:t xml:space="preserve">on the probability of having more flexible exchange rate regimes when CBI is zero </w:t>
      </w:r>
      <w:r w:rsidRPr="00686515">
        <w:fldChar w:fldCharType="begin"/>
      </w:r>
      <w:r w:rsidRPr="00686515">
        <w:instrText xml:space="preserve"> ADDIN EN.CITE &lt;EndNote&gt;&lt;Cite&gt;&lt;Author&gt;Singer&lt;/Author&gt;&lt;Year&gt;2010&lt;/Year&gt;&lt;RecNum&gt;3604&lt;/RecNum&gt;&lt;DisplayText&gt;(Singer, 2010)&lt;/DisplayText&gt;&lt;record&gt;&lt;rec-number&gt;3604&lt;/rec-number&gt;&lt;foreign-keys&gt;&lt;key app="EN" db-id="wxw9eet5tpa22ve22arv5vv0ttr2rawvxwwp" timestamp="1469906995"&gt;3604&lt;/key&gt;&lt;/foreign-keys&gt;&lt;ref-type name="Journal Article"&gt;17&lt;/ref-type&gt;&lt;contributors&gt;&lt;authors&gt;&lt;author&gt;Singer, David Andrew&lt;/author&gt;&lt;/authors&gt;&lt;/contributors&gt;&lt;titles&gt;&lt;title&gt;Migrant Remittances and Exchange Rate Regimes in the Developing World&lt;/title&gt;&lt;secondary-title&gt;American Political Science Review&lt;/secondary-title&gt;&lt;/titles&gt;&lt;periodical&gt;&lt;full-title&gt;American Political Science Review&lt;/full-title&gt;&lt;abbr-1&gt;APSR&lt;/abbr-1&gt;&lt;/periodical&gt;&lt;pages&gt;307-323&lt;/pages&gt;&lt;volume&gt;104&lt;/volume&gt;&lt;number&gt;02&lt;/number&gt;&lt;dates&gt;&lt;year&gt;2010&lt;/year&gt;&lt;/dates&gt;&lt;isbn&gt;1537-5943&lt;/isbn&gt;&lt;urls&gt;&lt;related-urls&gt;&lt;url&gt;http://dx.doi.org/10.1017/S0003055410000110&lt;/url&gt;&lt;/related-urls&gt;&lt;/urls&gt;&lt;electronic-resource-num&gt;doi:10.1017/S0003055410000110&lt;/electronic-resource-num&gt;&lt;access-date&gt;2010&lt;/access-date&gt;&lt;/record&gt;&lt;/Cite&gt;&lt;/EndNote&gt;</w:instrText>
      </w:r>
      <w:r w:rsidRPr="00686515">
        <w:fldChar w:fldCharType="separate"/>
      </w:r>
      <w:r w:rsidRPr="00686515">
        <w:rPr>
          <w:noProof/>
        </w:rPr>
        <w:t>(Singer, 2010)</w:t>
      </w:r>
      <w:r w:rsidRPr="00686515">
        <w:fldChar w:fldCharType="end"/>
      </w:r>
      <w:r w:rsidRPr="00686515">
        <w:t>. We</w:t>
      </w:r>
      <w:r w:rsidRPr="00536572">
        <w:t xml:space="preserve"> expect </w:t>
      </w:r>
      <w:r w:rsidRPr="00536572">
        <w:rPr>
          <w:i/>
        </w:rPr>
        <w:t>β</w:t>
      </w:r>
      <w:r w:rsidRPr="00536572">
        <w:rPr>
          <w:vertAlign w:val="subscript"/>
        </w:rPr>
        <w:t>2</w:t>
      </w:r>
      <w:r w:rsidRPr="00536572">
        <w:t>&lt;0</w:t>
      </w:r>
      <w:r>
        <w:t xml:space="preserve"> because i</w:t>
      </w:r>
      <w:r w:rsidRPr="00536572">
        <w:t xml:space="preserve">n the absence of remittances, CBI is not a credible substitute for fixed exchange rates in autocracies (Broz 2002). However, we expect </w:t>
      </w:r>
      <w:bookmarkStart w:id="1" w:name="_Hlk515354968"/>
      <w:r w:rsidRPr="00536572">
        <w:rPr>
          <w:i/>
        </w:rPr>
        <w:t>β</w:t>
      </w:r>
      <w:r w:rsidRPr="00536572">
        <w:rPr>
          <w:vertAlign w:val="subscript"/>
        </w:rPr>
        <w:t>3</w:t>
      </w:r>
      <w:bookmarkEnd w:id="1"/>
      <w:r w:rsidRPr="00536572">
        <w:t xml:space="preserve">&gt;0, </w:t>
      </w:r>
      <w:r>
        <w:t>indicating that</w:t>
      </w:r>
      <w:r w:rsidRPr="00536572">
        <w:t xml:space="preserve"> the effect of remittances on the probability of having a </w:t>
      </w:r>
      <w:proofErr w:type="gramStart"/>
      <w:r w:rsidRPr="00536572">
        <w:t>flexible exchange rate regimes</w:t>
      </w:r>
      <w:proofErr w:type="gramEnd"/>
      <w:r w:rsidRPr="00536572">
        <w:t xml:space="preserve"> increases as CBI increases. </w:t>
      </w:r>
    </w:p>
    <w:p w14:paraId="46ECC8A8" w14:textId="77777777" w:rsidR="00A803B0" w:rsidRPr="00CB4FCD" w:rsidRDefault="00A803B0" w:rsidP="00AC132B">
      <w:pPr>
        <w:pStyle w:val="Heading2"/>
      </w:pPr>
      <w:r w:rsidRPr="00CB4FCD">
        <w:t>Results</w:t>
      </w:r>
    </w:p>
    <w:p w14:paraId="04DAA954" w14:textId="46927E74" w:rsidR="00A803B0" w:rsidRPr="00CB4FCD" w:rsidRDefault="00A803B0" w:rsidP="00AC132B">
      <w:pPr>
        <w:pStyle w:val="Paragraph"/>
      </w:pPr>
      <w:r w:rsidRPr="00CB4FCD">
        <w:t>Table 1 pr</w:t>
      </w:r>
      <w:r>
        <w:t xml:space="preserve">esents the test of our argument. </w:t>
      </w:r>
      <w:r w:rsidRPr="00CB4FCD">
        <w:t xml:space="preserve">Column 1 shows the results of </w:t>
      </w:r>
      <w:r>
        <w:t>the baseline model o</w:t>
      </w:r>
      <w:r w:rsidRPr="00CB4FCD">
        <w:t>n a sample that pools autocracies and democracies.</w:t>
      </w:r>
      <w:r>
        <w:t xml:space="preserve"> </w:t>
      </w:r>
      <w:r w:rsidRPr="00CB4FCD">
        <w:t>In the full sample, the combined coefficient (marginal effect of remittances) is positive and marginally statistically significant, indicating that remittances increase the likelihood of countries adopting more flexible exchange rates.</w:t>
      </w:r>
      <w:r w:rsidRPr="00CB4FCD">
        <w:rPr>
          <w:rStyle w:val="FootnoteReference"/>
        </w:rPr>
        <w:footnoteReference w:id="17"/>
      </w:r>
      <w:r w:rsidRPr="00CB4FCD">
        <w:t xml:space="preserve"> This weak result is not surprising, given the </w:t>
      </w:r>
      <w:r>
        <w:t>expected</w:t>
      </w:r>
      <w:r w:rsidRPr="00CB4FCD">
        <w:t xml:space="preserve"> diverging effects of these variables in different institutional contexts</w:t>
      </w:r>
      <w:r>
        <w:t xml:space="preserve"> and the greater number of country/year observations under autocracy</w:t>
      </w:r>
      <w:r w:rsidRPr="00CB4FCD">
        <w:t xml:space="preserve">. Columns 2 and 3 present the results for the same models on subsamples of autocracies and democracies. </w:t>
      </w:r>
    </w:p>
    <w:p w14:paraId="539EBC41" w14:textId="77777777" w:rsidR="00A803B0" w:rsidRPr="00CB4FCD" w:rsidRDefault="00A803B0" w:rsidP="00A803B0">
      <w:pPr>
        <w:jc w:val="center"/>
      </w:pPr>
      <w:r w:rsidRPr="00CB4FCD">
        <w:t>[Table 1 here]</w:t>
      </w:r>
    </w:p>
    <w:p w14:paraId="0BA8E10F" w14:textId="5B6441CD" w:rsidR="00A803B0" w:rsidRDefault="00A803B0" w:rsidP="00AC132B">
      <w:pPr>
        <w:pStyle w:val="Newparagraph"/>
      </w:pPr>
      <w:r w:rsidRPr="00CB4FCD">
        <w:t xml:space="preserve">In </w:t>
      </w:r>
      <w:r w:rsidRPr="00686515">
        <w:rPr>
          <w:i/>
        </w:rPr>
        <w:t>autocracies</w:t>
      </w:r>
      <w:r w:rsidRPr="00686515">
        <w:t xml:space="preserve"> (column 2), the interaction term reveals that autocracies that receive remittances are more likely to have flexible exchange rates as CBI increases (</w:t>
      </w:r>
      <w:r w:rsidRPr="00686515">
        <w:rPr>
          <w:i/>
        </w:rPr>
        <w:t>β</w:t>
      </w:r>
      <w:r w:rsidRPr="00686515">
        <w:rPr>
          <w:vertAlign w:val="subscript"/>
        </w:rPr>
        <w:t>3</w:t>
      </w:r>
      <w:r w:rsidRPr="00686515">
        <w:t>&gt;0). The combined coefficient (</w:t>
      </w:r>
      <w:r w:rsidRPr="00686515">
        <w:rPr>
          <w:i/>
        </w:rPr>
        <w:t>β</w:t>
      </w:r>
      <w:r w:rsidRPr="00686515">
        <w:rPr>
          <w:vertAlign w:val="subscript"/>
        </w:rPr>
        <w:t xml:space="preserve">1 </w:t>
      </w:r>
      <w:r w:rsidRPr="00686515">
        <w:t xml:space="preserve">+ </w:t>
      </w:r>
      <w:r w:rsidRPr="00686515">
        <w:rPr>
          <w:i/>
        </w:rPr>
        <w:t>β</w:t>
      </w:r>
      <w:r w:rsidRPr="00686515">
        <w:rPr>
          <w:vertAlign w:val="subscript"/>
        </w:rPr>
        <w:t>3</w:t>
      </w:r>
      <w:r w:rsidRPr="00686515">
        <w:t xml:space="preserve">&gt;0), which measures the marginal effect of remittances on the likelihood of </w:t>
      </w:r>
      <w:r w:rsidR="005A2BA2">
        <w:t xml:space="preserve">having a floating exchange rate </w:t>
      </w:r>
      <w:r>
        <w:t xml:space="preserve">regime, and which </w:t>
      </w:r>
      <w:r>
        <w:lastRenderedPageBreak/>
        <w:t xml:space="preserve">appears at the bottom of Table 1, is equally positive and significant. </w:t>
      </w:r>
      <w:r w:rsidRPr="00CB4FCD">
        <w:t xml:space="preserve">The results for democracies are </w:t>
      </w:r>
      <w:r>
        <w:t xml:space="preserve">the exact opposite in sign, albeit </w:t>
      </w:r>
      <w:r w:rsidRPr="00CB4FCD">
        <w:t xml:space="preserve">not statistically significant, which is consistent with our expectations. </w:t>
      </w:r>
    </w:p>
    <w:p w14:paraId="68CEAEF3" w14:textId="7699E288" w:rsidR="00A803B0" w:rsidRDefault="00A803B0" w:rsidP="00AC132B">
      <w:pPr>
        <w:pStyle w:val="Newparagraph"/>
      </w:pPr>
      <w:r w:rsidRPr="00CB4FCD">
        <w:t>Figu</w:t>
      </w:r>
      <w:r>
        <w:t>re 2</w:t>
      </w:r>
      <w:r w:rsidR="00F86B51">
        <w:t>,</w:t>
      </w:r>
      <w:r w:rsidRPr="00CB4FCD">
        <w:t xml:space="preserve"> </w:t>
      </w:r>
      <w:r>
        <w:t>based on column</w:t>
      </w:r>
      <w:r w:rsidRPr="00CB4FCD">
        <w:t xml:space="preserve"> </w:t>
      </w:r>
      <w:r>
        <w:t>2</w:t>
      </w:r>
      <w:r w:rsidRPr="00CB4FCD">
        <w:t>, provides support for our main hypothesis</w:t>
      </w:r>
      <w:r>
        <w:t>. M</w:t>
      </w:r>
      <w:r w:rsidRPr="00CB4FCD">
        <w:t>aking CBI our conditioning</w:t>
      </w:r>
      <w:r>
        <w:t xml:space="preserve"> variable, t</w:t>
      </w:r>
      <w:r w:rsidRPr="00CB4FCD">
        <w:t>he marginal effect of remittances on the probability of ob</w:t>
      </w:r>
      <w:r>
        <w:t>serving a managed float</w:t>
      </w:r>
      <w:r w:rsidRPr="00CB4FCD">
        <w:t xml:space="preserve"> (dotted line) is positive and statistically significant when the central bank is independent; that is, when CB</w:t>
      </w:r>
      <w:r w:rsidRPr="003A05DE">
        <w:t>I</w:t>
      </w:r>
      <w:r w:rsidR="00F86B51" w:rsidRPr="003A05DE">
        <w:t xml:space="preserve"> </w:t>
      </w:r>
      <w:r w:rsidRPr="003A05DE">
        <w:rPr>
          <w:rFonts w:eastAsia="MS Gothic"/>
          <w:color w:val="000000"/>
        </w:rPr>
        <w:t>≥</w:t>
      </w:r>
      <w:r w:rsidR="00F86B51" w:rsidRPr="003A05DE">
        <w:rPr>
          <w:rFonts w:eastAsia="MS Gothic"/>
          <w:color w:val="000000"/>
        </w:rPr>
        <w:t xml:space="preserve"> </w:t>
      </w:r>
      <w:r w:rsidRPr="003A05DE">
        <w:t>0</w:t>
      </w:r>
      <w:r w:rsidRPr="00CB4FCD">
        <w:t xml:space="preserve">.5 (the common threshold </w:t>
      </w:r>
      <w:r w:rsidR="00F86B51">
        <w:t>for</w:t>
      </w:r>
      <w:r w:rsidR="00F86B51" w:rsidRPr="00CB4FCD">
        <w:t xml:space="preserve"> </w:t>
      </w:r>
      <w:r w:rsidRPr="00CB4FCD">
        <w:t>classify</w:t>
      </w:r>
      <w:r w:rsidR="00F86B51">
        <w:t>ing</w:t>
      </w:r>
      <w:r w:rsidRPr="00CB4FCD">
        <w:t xml:space="preserve"> central banks as independent).</w:t>
      </w:r>
      <w:r w:rsidRPr="00CB4FCD">
        <w:rPr>
          <w:rStyle w:val="FootnoteReference"/>
        </w:rPr>
        <w:footnoteReference w:id="18"/>
      </w:r>
      <w:r w:rsidRPr="00CB4FCD">
        <w:t xml:space="preserve"> Conversely, the marginal effect of remittances on the probability of observing a fixed exchange rate is negative at s</w:t>
      </w:r>
      <w:r>
        <w:t>imilar levels of CBI, indicating</w:t>
      </w:r>
      <w:r w:rsidRPr="00CB4FCD">
        <w:t xml:space="preserve"> a relationship between remittances and the substitution between fixed exchange rates and </w:t>
      </w:r>
      <w:r>
        <w:t>CBI</w:t>
      </w:r>
      <w:r w:rsidRPr="00CB4FCD">
        <w:t>. These effects are significantly dif</w:t>
      </w:r>
      <w:r>
        <w:t>ferent from each other when CBI</w:t>
      </w:r>
      <w:r w:rsidR="00901199">
        <w:t xml:space="preserve"> </w:t>
      </w:r>
      <w:r w:rsidRPr="00CB4FCD">
        <w:t>≥</w:t>
      </w:r>
      <w:r w:rsidR="00901199">
        <w:t xml:space="preserve"> </w:t>
      </w:r>
      <w:r w:rsidRPr="00CB4FCD">
        <w:t xml:space="preserve">0.5, which </w:t>
      </w:r>
      <w:r w:rsidR="00901199">
        <w:t>corresponds to</w:t>
      </w:r>
      <w:r w:rsidR="00901199" w:rsidRPr="00CB4FCD">
        <w:t xml:space="preserve"> </w:t>
      </w:r>
      <w:r w:rsidRPr="00CB4FCD">
        <w:t>about 65% of autocra</w:t>
      </w:r>
      <w:r w:rsidR="005A2BA2">
        <w:t>cies and about 56% of autocracy-</w:t>
      </w:r>
      <w:r w:rsidRPr="00CB4FCD">
        <w:t xml:space="preserve">year observations in our sample of autocracies. </w:t>
      </w:r>
    </w:p>
    <w:p w14:paraId="5C1A8A73" w14:textId="77777777" w:rsidR="00A803B0" w:rsidRDefault="00A803B0" w:rsidP="00AC132B">
      <w:pPr>
        <w:pStyle w:val="Newparagraph"/>
        <w:jc w:val="center"/>
      </w:pPr>
      <w:r w:rsidRPr="00686515">
        <w:t>[Figure 2 here]</w:t>
      </w:r>
    </w:p>
    <w:p w14:paraId="013E4662" w14:textId="673D1450" w:rsidR="00A803B0" w:rsidRPr="00AC132B" w:rsidRDefault="00A803B0" w:rsidP="00AC132B">
      <w:pPr>
        <w:pStyle w:val="Newparagraph"/>
      </w:pPr>
      <w:r w:rsidRPr="0009015A">
        <w:t xml:space="preserve">Our results do not support the alternative argument that by </w:t>
      </w:r>
      <w:r w:rsidRPr="00AC132B">
        <w:t xml:space="preserve">reducing the costs of adopting a fixed exchange rate, remittances increase the probability of pegging regardless of other monetary institutions in place (Singer 2010). As </w:t>
      </w:r>
      <w:r w:rsidR="00C170C0">
        <w:t>F</w:t>
      </w:r>
      <w:r w:rsidRPr="00AC132B">
        <w:t xml:space="preserve">igure 2 shows, in </w:t>
      </w:r>
      <w:r w:rsidRPr="003C2C47">
        <w:rPr>
          <w:i/>
        </w:rPr>
        <w:t>autocracies</w:t>
      </w:r>
      <w:r w:rsidRPr="00AC132B">
        <w:t xml:space="preserve">, once </w:t>
      </w:r>
      <w:r w:rsidR="003C2C47">
        <w:t xml:space="preserve">CBI </w:t>
      </w:r>
      <w:r w:rsidRPr="00AC132B">
        <w:t>is accounted for, the marginal effect of remittances on the probability of observing a peg – dark-grey line – is positive at very low levels of central bank independence (CBI</w:t>
      </w:r>
      <w:r w:rsidR="00C170C0">
        <w:t xml:space="preserve"> </w:t>
      </w:r>
      <w:r w:rsidRPr="00AC132B">
        <w:t>&lt;</w:t>
      </w:r>
      <w:r w:rsidR="00C170C0">
        <w:t xml:space="preserve"> </w:t>
      </w:r>
      <w:r w:rsidRPr="00AC132B">
        <w:t xml:space="preserve">.33); but this effect is </w:t>
      </w:r>
      <w:r w:rsidRPr="003C2C47">
        <w:rPr>
          <w:i/>
        </w:rPr>
        <w:t>not</w:t>
      </w:r>
      <w:r w:rsidRPr="00AC132B">
        <w:t xml:space="preserve"> statistically significant.</w:t>
      </w:r>
    </w:p>
    <w:p w14:paraId="4A979E00" w14:textId="77777777" w:rsidR="00AC132B" w:rsidRPr="00AC132B" w:rsidRDefault="00A803B0" w:rsidP="00AC132B">
      <w:pPr>
        <w:pStyle w:val="Heading2"/>
      </w:pPr>
      <w:r w:rsidRPr="00AC132B">
        <w:lastRenderedPageBreak/>
        <w:t>Robustness checks</w:t>
      </w:r>
    </w:p>
    <w:p w14:paraId="2FCF5A64" w14:textId="780F8F71" w:rsidR="00A803B0" w:rsidRPr="00CB4FCD" w:rsidRDefault="00A803B0" w:rsidP="00AC132B">
      <w:pPr>
        <w:pStyle w:val="Paragraph"/>
      </w:pPr>
      <w:r>
        <w:t>W</w:t>
      </w:r>
      <w:r w:rsidRPr="00CB4FCD">
        <w:t>e</w:t>
      </w:r>
      <w:r>
        <w:t xml:space="preserve"> </w:t>
      </w:r>
      <w:r w:rsidRPr="00CB4FCD">
        <w:t xml:space="preserve">run the following tests on the </w:t>
      </w:r>
      <w:r w:rsidRPr="00CB4FCD">
        <w:rPr>
          <w:i/>
        </w:rPr>
        <w:t>autocracies sub-sample</w:t>
      </w:r>
      <w:r w:rsidRPr="00CB4FCD">
        <w:t xml:space="preserve">. </w:t>
      </w:r>
      <w:r>
        <w:t>C</w:t>
      </w:r>
      <w:r w:rsidRPr="00CB4FCD">
        <w:t xml:space="preserve">onsistent with the literature on exchange rate regimes, we did not include country fixed effects in the main models because about one third of the observations drop out when we </w:t>
      </w:r>
      <w:r w:rsidR="003C2C47">
        <w:t>do so</w:t>
      </w:r>
      <w:r w:rsidRPr="00CB4FCD">
        <w:t>.</w:t>
      </w:r>
      <w:r w:rsidRPr="00CB4FCD">
        <w:rPr>
          <w:rStyle w:val="FootnoteReference"/>
        </w:rPr>
        <w:footnoteReference w:id="19"/>
      </w:r>
      <w:r w:rsidRPr="00CB4FCD">
        <w:t xml:space="preserve"> To control for unobserved sources of heterogeneity, we include reg</w:t>
      </w:r>
      <w:r>
        <w:t>ional fixed effects (see Model 4</w:t>
      </w:r>
      <w:r w:rsidRPr="00CB4FCD">
        <w:t xml:space="preserve">, Table 3). Even after losing observations </w:t>
      </w:r>
      <w:r>
        <w:t xml:space="preserve">belonging to one region, </w:t>
      </w:r>
      <w:r w:rsidRPr="00CB4FCD">
        <w:t>results hold.</w:t>
      </w:r>
    </w:p>
    <w:p w14:paraId="40CB8518" w14:textId="77777777" w:rsidR="00A803B0" w:rsidRPr="00CB4FCD" w:rsidRDefault="00A803B0" w:rsidP="00A803B0">
      <w:pPr>
        <w:jc w:val="center"/>
      </w:pPr>
      <w:r>
        <w:t>[Table 2</w:t>
      </w:r>
      <w:r w:rsidRPr="00CB4FCD">
        <w:t xml:space="preserve"> here]</w:t>
      </w:r>
    </w:p>
    <w:p w14:paraId="5ABDD098" w14:textId="77777777" w:rsidR="00A803B0" w:rsidRPr="00CB4FCD" w:rsidRDefault="00A803B0" w:rsidP="00AC132B">
      <w:pPr>
        <w:pStyle w:val="Newparagraph"/>
      </w:pPr>
      <w:r w:rsidRPr="00CB4FCD">
        <w:t>A second concern is the sensitivity of our results to outlier cases. We run bot</w:t>
      </w:r>
      <w:r>
        <w:t xml:space="preserve">h </w:t>
      </w:r>
      <w:proofErr w:type="spellStart"/>
      <w:r>
        <w:t>jackknife</w:t>
      </w:r>
      <w:proofErr w:type="spellEnd"/>
      <w:r>
        <w:t xml:space="preserve"> estimations (Model 5</w:t>
      </w:r>
      <w:r w:rsidRPr="00CB4FCD">
        <w:t>) and a cross-validation test on the sample of autocracies. We did not find any case driving the main finding.</w:t>
      </w:r>
      <w:r w:rsidRPr="00CB4FCD">
        <w:rPr>
          <w:rStyle w:val="FootnoteReference"/>
        </w:rPr>
        <w:footnoteReference w:id="20"/>
      </w:r>
      <w:r>
        <w:t xml:space="preserve"> In Model 6</w:t>
      </w:r>
      <w:r w:rsidRPr="00CB4FCD">
        <w:t>, we present the results excluding the lagged dependent variable and including instead cubic time polynomials to control for time dependence. This modification does not change our results substantively.</w:t>
      </w:r>
    </w:p>
    <w:p w14:paraId="3EF8401E" w14:textId="0BCBFADC" w:rsidR="00A803B0" w:rsidRDefault="00A803B0" w:rsidP="00AC132B">
      <w:pPr>
        <w:pStyle w:val="Newparagraph"/>
      </w:pPr>
      <w:r w:rsidRPr="00CB4FCD">
        <w:t xml:space="preserve">A </w:t>
      </w:r>
      <w:r>
        <w:t>series of</w:t>
      </w:r>
      <w:r w:rsidRPr="00CB4FCD">
        <w:t xml:space="preserve"> concern</w:t>
      </w:r>
      <w:r>
        <w:t>s relate to endogeneity problems.</w:t>
      </w:r>
      <w:r w:rsidRPr="00CB4FCD">
        <w:t xml:space="preserve"> </w:t>
      </w:r>
      <w:r>
        <w:t>E</w:t>
      </w:r>
      <w:r w:rsidRPr="00CB4FCD">
        <w:t xml:space="preserve">xchange rate regimes may affect the patterns of remittance-sending – in other words, exchange rates are likely to </w:t>
      </w:r>
      <w:r w:rsidRPr="00CB4FCD">
        <w:lastRenderedPageBreak/>
        <w:t xml:space="preserve">determine remittances by affecting migrants’ decisions to remit – creating a problem of reverse causality </w:t>
      </w:r>
      <w:r w:rsidRPr="00CB4FCD">
        <w:fldChar w:fldCharType="begin"/>
      </w:r>
      <w:r>
        <w:instrText xml:space="preserve"> ADDIN EN.CITE &lt;EndNote&gt;&lt;Cite&gt;&lt;Author&gt;Panda&lt;/Author&gt;&lt;Year&gt;2015&lt;/Year&gt;&lt;RecNum&gt;3846&lt;/RecNum&gt;&lt;DisplayText&gt;(Panda &amp;amp; Trivedi, 2015; Vargas-Silva, 2009)&lt;/DisplayText&gt;&lt;record&gt;&lt;rec-number&gt;3846&lt;/rec-number&gt;&lt;foreign-keys&gt;&lt;key app="EN" db-id="wxw9eet5tpa22ve22arv5vv0ttr2rawvxwwp" timestamp="1486331919"&gt;3846&lt;/key&gt;&lt;/foreign-keys&gt;&lt;ref-type name="Journal Article"&gt;17&lt;/ref-type&gt;&lt;contributors&gt;&lt;authors&gt;&lt;author&gt;Panda, Devi Prasad&lt;/author&gt;&lt;author&gt;Trivedi, Pushpa&lt;/author&gt;&lt;/authors&gt;&lt;/contributors&gt;&lt;titles&gt;&lt;title&gt;Macroeconomic Determinants of Remittances: A Cross Country Analysis&lt;/title&gt;&lt;secondary-title&gt;Journal of International Economics&lt;/secondary-title&gt;&lt;/titles&gt;&lt;periodical&gt;&lt;full-title&gt;Journal of International Economics&lt;/full-title&gt;&lt;/periodical&gt;&lt;pages&gt;83&lt;/pages&gt;&lt;volume&gt;6&lt;/volume&gt;&lt;number&gt;2&lt;/number&gt;&lt;dates&gt;&lt;year&gt;2015&lt;/year&gt;&lt;/dates&gt;&lt;isbn&gt;0976-0792&lt;/isbn&gt;&lt;urls&gt;&lt;/urls&gt;&lt;/record&gt;&lt;/Cite&gt;&lt;Cite&gt;&lt;Author&gt;Vargas-Silva&lt;/Author&gt;&lt;Year&gt;2009&lt;/Year&gt;&lt;RecNum&gt;3851&lt;/RecNum&gt;&lt;record&gt;&lt;rec-number&gt;3851&lt;/rec-number&gt;&lt;foreign-keys&gt;&lt;key app="EN" db-id="wxw9eet5tpa22ve22arv5vv0ttr2rawvxwwp" timestamp="1486334001"&gt;3851&lt;/key&gt;&lt;/foreign-keys&gt;&lt;ref-type name="Journal Article"&gt;17&lt;/ref-type&gt;&lt;contributors&gt;&lt;authors&gt;&lt;author&gt;Vargas-Silva, Carlos&lt;/author&gt;&lt;/authors&gt;&lt;/contributors&gt;&lt;titles&gt;&lt;title&gt;The Tale of Three Amigos: Remittances, Exchange Rates, and Money Demand in Mexico&lt;/title&gt;&lt;secondary-title&gt;Review of Development Economics&lt;/secondary-title&gt;&lt;/titles&gt;&lt;periodical&gt;&lt;full-title&gt;Review of Development Economics&lt;/full-title&gt;&lt;/periodical&gt;&lt;pages&gt;1-14&lt;/pages&gt;&lt;volume&gt;13&lt;/volume&gt;&lt;number&gt;1&lt;/number&gt;&lt;dates&gt;&lt;year&gt;2009&lt;/year&gt;&lt;/dates&gt;&lt;publisher&gt;Blackwell Publishing Ltd&lt;/publisher&gt;&lt;isbn&gt;1467-9361&lt;/isbn&gt;&lt;urls&gt;&lt;related-urls&gt;&lt;url&gt;http://dx.doi.org/10.1111/j.1467-9361.2008.00468.x&lt;/url&gt;&lt;/related-urls&gt;&lt;/urls&gt;&lt;electronic-resource-num&gt;10.1111/j.1467-9361.2008.00468.x&lt;/electronic-resource-num&gt;&lt;/record&gt;&lt;/Cite&gt;&lt;/EndNote&gt;</w:instrText>
      </w:r>
      <w:r w:rsidRPr="00CB4FCD">
        <w:fldChar w:fldCharType="separate"/>
      </w:r>
      <w:r>
        <w:rPr>
          <w:noProof/>
        </w:rPr>
        <w:t>(Panda &amp; Trivedi, 2015; Vargas-Silva, 2009)</w:t>
      </w:r>
      <w:r w:rsidRPr="00CB4FCD">
        <w:fldChar w:fldCharType="end"/>
      </w:r>
      <w:r w:rsidRPr="00CB4FCD">
        <w:t>. It is also possible that measurement error in the remittances variable causes biases in our estimations, or that we are not capturing some omitted variable that is influencing both remittances and the choice of exchange rates. To address th</w:t>
      </w:r>
      <w:r>
        <w:t>ese</w:t>
      </w:r>
      <w:r w:rsidRPr="00CB4FCD">
        <w:t xml:space="preserve"> issue</w:t>
      </w:r>
      <w:r w:rsidR="005A2BA2">
        <w:t>s</w:t>
      </w:r>
      <w:r w:rsidRPr="00CB4FCD">
        <w:t xml:space="preserve">, we employ several strategies. First, we </w:t>
      </w:r>
      <w:r>
        <w:t>lag</w:t>
      </w:r>
      <w:r w:rsidRPr="00CB4FCD">
        <w:t xml:space="preserve"> remi</w:t>
      </w:r>
      <w:r>
        <w:t>ttances by 5 years (Model 7</w:t>
      </w:r>
      <w:r w:rsidRPr="00CB4FCD">
        <w:t>)</w:t>
      </w:r>
      <w:r w:rsidRPr="002B1BC1">
        <w:t>. Second</w:t>
      </w:r>
      <w:r w:rsidRPr="00CB4FCD">
        <w:t xml:space="preserve">, we run generalized methods of moments (GMM) dynamic panel data models </w:t>
      </w:r>
      <w:r w:rsidRPr="00CB4FCD">
        <w:fldChar w:fldCharType="begin">
          <w:fldData xml:space="preserve">PEVuZE5vdGU+PENpdGU+PEF1dGhvcj5BcmVsbGFubzwvQXV0aG9yPjxZZWFyPjE5OTE8L1llYXI+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</w:fldData>
        </w:fldChar>
      </w:r>
      <w:r>
        <w:instrText xml:space="preserve"> ADDIN EN.CITE </w:instrText>
      </w:r>
      <w:r>
        <w:fldChar w:fldCharType="begin">
          <w:fldData xml:space="preserve">PEVuZE5vdGU+PENpdGU+PEF1dGhvcj5BcmVsbGFubzwvQXV0aG9yPjxZZWFyPjE5OTE8L1llYXI+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</w:fldData>
        </w:fldChar>
      </w:r>
      <w:r>
        <w:instrText xml:space="preserve"> ADDIN EN.CITE.DATA </w:instrText>
      </w:r>
      <w:r>
        <w:fldChar w:fldCharType="end"/>
      </w:r>
      <w:r w:rsidRPr="00CB4FCD">
        <w:fldChar w:fldCharType="separate"/>
      </w:r>
      <w:r>
        <w:rPr>
          <w:noProof/>
        </w:rPr>
        <w:t>(Arellano &amp; Bond, 1991; Arellano &amp; Bover, 1995; Blundell &amp; Bond, 1998)</w:t>
      </w:r>
      <w:r w:rsidRPr="00CB4FCD">
        <w:fldChar w:fldCharType="end"/>
      </w:r>
      <w:r w:rsidRPr="00CB4FCD">
        <w:t>.</w:t>
      </w:r>
      <w:r w:rsidRPr="00CB4FCD">
        <w:rPr>
          <w:rStyle w:val="FootnoteReference"/>
        </w:rPr>
        <w:footnoteReference w:id="21"/>
      </w:r>
      <w:r w:rsidRPr="00CB4FCD">
        <w:t xml:space="preserve">  In spite of its challenges, this strategy tackles the issues of joint endogeneity of all explanatory variables in a dynamic formulation</w:t>
      </w:r>
      <w:r>
        <w:t xml:space="preserve"> (Model 8</w:t>
      </w:r>
      <w:r w:rsidRPr="00CB4FCD">
        <w:t>).</w:t>
      </w:r>
      <w:r w:rsidRPr="00CB4FCD">
        <w:rPr>
          <w:rStyle w:val="FootnoteReference"/>
        </w:rPr>
        <w:footnoteReference w:id="22"/>
      </w:r>
      <w:r w:rsidRPr="00CB4FCD">
        <w:t xml:space="preserve"> Our main fin</w:t>
      </w:r>
      <w:r>
        <w:t>dings hold</w:t>
      </w:r>
      <w:r w:rsidRPr="00CB4FCD">
        <w:t>.</w:t>
      </w:r>
    </w:p>
    <w:p w14:paraId="54C0A420" w14:textId="77777777" w:rsidR="00A803B0" w:rsidRPr="00CB4FCD" w:rsidRDefault="00A803B0" w:rsidP="00AC132B">
      <w:pPr>
        <w:pStyle w:val="Newparagraph"/>
      </w:pPr>
      <w:r w:rsidRPr="00CB4FCD">
        <w:t>Additionally, we use an instrumental variable approach. We instrument remittances</w:t>
      </w:r>
      <w:r>
        <w:t xml:space="preserve"> with the </w:t>
      </w:r>
      <w:r w:rsidRPr="00CB4FCD">
        <w:t xml:space="preserve">GDP per capita in the top ten rich migration destination countries of the world, weighted by the inverse of the distance of each developing nation to the top ten destination countries. Formally, the instrumental variable </w:t>
      </w:r>
      <w:proofErr w:type="spellStart"/>
      <w:proofErr w:type="gramStart"/>
      <w:r w:rsidRPr="00CB4FCD">
        <w:t>Z</w:t>
      </w:r>
      <w:r w:rsidRPr="00CB4FCD">
        <w:rPr>
          <w:vertAlign w:val="subscript"/>
        </w:rPr>
        <w:t>i,t</w:t>
      </w:r>
      <w:proofErr w:type="spellEnd"/>
      <w:proofErr w:type="gramEnd"/>
      <w:r w:rsidRPr="00CB4FCD">
        <w:t xml:space="preserve"> for developing country </w:t>
      </w:r>
      <w:proofErr w:type="spellStart"/>
      <w:r w:rsidRPr="00CB4FCD">
        <w:rPr>
          <w:i/>
        </w:rPr>
        <w:t>i</w:t>
      </w:r>
      <w:proofErr w:type="spellEnd"/>
      <w:r w:rsidRPr="00CB4FCD">
        <w:t xml:space="preserve"> in year </w:t>
      </w:r>
      <w:r w:rsidRPr="00CB4FCD">
        <w:rPr>
          <w:i/>
        </w:rPr>
        <w:t>t</w:t>
      </w:r>
      <w:r w:rsidRPr="00CB4FCD">
        <w:t xml:space="preserve"> can be written as: </w:t>
      </w:r>
    </w:p>
    <w:p w14:paraId="5DFB5107" w14:textId="4E0B9679" w:rsidR="00A803B0" w:rsidRDefault="008924AB" w:rsidP="0017146C">
      <w:pPr>
        <w:pStyle w:val="Displayedequation"/>
        <w:tabs>
          <w:tab w:val="clear" w:pos="4253"/>
          <w:tab w:val="clear" w:pos="8222"/>
          <w:tab w:val="right" w:pos="7513"/>
        </w:tabs>
        <w:ind w:left="1134"/>
        <w:jc w:val="left"/>
      </w:pPr>
      <m:oMath>
        <m:sSub>
          <m:sSubPr>
            <m:ctrlPr>
              <w:rPr>
                <w:rFonts w:ascii="Cambria Math" w:hAnsi="Cambria Math"/>
              </w:rPr>
            </m:ctrlPr>
          </m:sSubPr>
          <m:e>
            <m:r>
              <w:rPr>
                <w:rFonts w:ascii="Cambria Math" w:hAnsi="Cambria Math"/>
              </w:rPr>
              <m:t>Z</m:t>
            </m:r>
          </m:e>
          <m:sub>
            <m:r>
              <w:rPr>
                <w:rFonts w:ascii="Cambria Math" w:hAnsi="Cambria Math"/>
              </w:rPr>
              <m:t>i</m:t>
            </m:r>
            <m:r>
              <m:rPr>
                <m:sty m:val="p"/>
              </m:rPr>
              <w:rPr>
                <w:rFonts w:ascii="Cambria Math" w:hAnsi="Cambria Math"/>
              </w:rPr>
              <m:t>,</m:t>
            </m:r>
            <m:r>
              <w:rPr>
                <w:rFonts w:ascii="Cambria Math" w:hAnsi="Cambria Math"/>
              </w:rPr>
              <m:t>t</m:t>
            </m:r>
          </m:sub>
        </m:sSub>
        <m:r>
          <m:rPr>
            <m:sty m:val="p"/>
          </m:rPr>
          <w:rPr>
            <w:rFonts w:ascii="Cambria Math" w:hAnsi="Cambria Math"/>
          </w:rPr>
          <m:t xml:space="preserve">= </m:t>
        </m:r>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m:rPr>
                <m:sty m:val="p"/>
              </m:rPr>
              <w:rPr>
                <w:rFonts w:ascii="Cambria Math" w:hAnsi="Cambria Math"/>
              </w:rPr>
              <m:t>10</m:t>
            </m:r>
          </m:sup>
          <m:e>
            <m:f>
              <m:fPr>
                <m:ctrlPr>
                  <w:rPr>
                    <w:rFonts w:ascii="Cambria Math" w:hAnsi="Cambria Math"/>
                  </w:rPr>
                </m:ctrlPr>
              </m:fPr>
              <m:num>
                <m:sSub>
                  <m:sSubPr>
                    <m:ctrlPr>
                      <w:rPr>
                        <w:rFonts w:ascii="Cambria Math" w:hAnsi="Cambria Math"/>
                      </w:rPr>
                    </m:ctrlPr>
                  </m:sSubPr>
                  <m:e>
                    <m:r>
                      <w:rPr>
                        <w:rFonts w:ascii="Cambria Math" w:hAnsi="Cambria Math"/>
                      </w:rPr>
                      <m:t>GDPpercapita</m:t>
                    </m:r>
                  </m:e>
                  <m:sub>
                    <m:r>
                      <w:rPr>
                        <w:rFonts w:ascii="Cambria Math" w:hAnsi="Cambria Math"/>
                      </w:rPr>
                      <m:t>j</m:t>
                    </m:r>
                    <m:r>
                      <m:rPr>
                        <m:sty m:val="p"/>
                      </m:rPr>
                      <w:rPr>
                        <w:rFonts w:ascii="Cambria Math" w:hAnsi="Cambria Math"/>
                      </w:rPr>
                      <m:t>,</m:t>
                    </m:r>
                    <m:r>
                      <w:rPr>
                        <w:rFonts w:ascii="Cambria Math" w:hAnsi="Cambria Math"/>
                      </w:rPr>
                      <m:t>t</m:t>
                    </m:r>
                  </m:sub>
                </m:sSub>
              </m:num>
              <m:den>
                <m:sSub>
                  <m:sSubPr>
                    <m:ctrlPr>
                      <w:rPr>
                        <w:rFonts w:ascii="Cambria Math" w:hAnsi="Cambria Math"/>
                      </w:rPr>
                    </m:ctrlPr>
                  </m:sSubPr>
                  <m:e>
                    <m:r>
                      <w:rPr>
                        <w:rFonts w:ascii="Cambria Math" w:hAnsi="Cambria Math"/>
                      </w:rPr>
                      <m:t>distance</m:t>
                    </m:r>
                  </m:e>
                  <m:sub>
                    <m:r>
                      <w:rPr>
                        <w:rFonts w:ascii="Cambria Math" w:hAnsi="Cambria Math"/>
                      </w:rPr>
                      <m:t>i</m:t>
                    </m:r>
                    <m:r>
                      <m:rPr>
                        <m:sty m:val="p"/>
                      </m:rPr>
                      <w:rPr>
                        <w:rFonts w:ascii="Cambria Math" w:hAnsi="Cambria Math"/>
                      </w:rPr>
                      <m:t>,</m:t>
                    </m:r>
                    <m:r>
                      <w:rPr>
                        <w:rFonts w:ascii="Cambria Math" w:hAnsi="Cambria Math"/>
                      </w:rPr>
                      <m:t>j</m:t>
                    </m:r>
                  </m:sub>
                </m:sSub>
              </m:den>
            </m:f>
          </m:e>
        </m:nary>
      </m:oMath>
      <w:r w:rsidR="0017146C">
        <w:tab/>
      </w:r>
      <w:r w:rsidR="00AC132B">
        <w:t>(2)</w:t>
      </w:r>
    </w:p>
    <w:p w14:paraId="51E8DC9D" w14:textId="77777777" w:rsidR="00A803B0" w:rsidRPr="00CB4FCD" w:rsidRDefault="00A803B0" w:rsidP="00AC132B">
      <w:pPr>
        <w:pStyle w:val="Paragraph"/>
      </w:pPr>
      <w:r w:rsidRPr="00CB4FCD">
        <w:t xml:space="preserve">where </w:t>
      </w:r>
      <w:proofErr w:type="spellStart"/>
      <w:r w:rsidRPr="00CB4FCD">
        <w:t>distance</w:t>
      </w:r>
      <w:r w:rsidRPr="00CB4FCD">
        <w:rPr>
          <w:vertAlign w:val="subscript"/>
        </w:rPr>
        <w:t>ij</w:t>
      </w:r>
      <w:proofErr w:type="spellEnd"/>
      <w:r w:rsidRPr="00CB4FCD">
        <w:t xml:space="preserve"> refers to the distance between country </w:t>
      </w:r>
      <w:proofErr w:type="spellStart"/>
      <w:r w:rsidRPr="00CB4FCD">
        <w:rPr>
          <w:i/>
        </w:rPr>
        <w:t>i</w:t>
      </w:r>
      <w:proofErr w:type="spellEnd"/>
      <w:r w:rsidRPr="00CB4FCD">
        <w:t xml:space="preserve"> and destination country </w:t>
      </w:r>
      <w:r w:rsidRPr="00CB4FCD">
        <w:rPr>
          <w:i/>
        </w:rPr>
        <w:t>j</w:t>
      </w:r>
      <w:r w:rsidRPr="00CB4FCD">
        <w:t xml:space="preserve">, and GDP per </w:t>
      </w:r>
      <w:proofErr w:type="spellStart"/>
      <w:r w:rsidRPr="00CB4FCD">
        <w:t>capita</w:t>
      </w:r>
      <w:r w:rsidRPr="00CB4FCD">
        <w:rPr>
          <w:vertAlign w:val="subscript"/>
        </w:rPr>
        <w:t>jt</w:t>
      </w:r>
      <w:proofErr w:type="spellEnd"/>
      <w:r w:rsidRPr="00CB4FCD">
        <w:t xml:space="preserve"> measures real per capita GDP in destination country </w:t>
      </w:r>
      <w:r w:rsidRPr="00CB4FCD">
        <w:rPr>
          <w:i/>
        </w:rPr>
        <w:t>j</w:t>
      </w:r>
      <w:r w:rsidRPr="00CB4FCD">
        <w:t xml:space="preserve"> at time </w:t>
      </w:r>
      <w:r w:rsidRPr="00CB4FCD">
        <w:rPr>
          <w:i/>
        </w:rPr>
        <w:t>t</w:t>
      </w:r>
      <w:r w:rsidRPr="00CB4FCD">
        <w:t>.</w:t>
      </w:r>
    </w:p>
    <w:p w14:paraId="6D646227" w14:textId="2D411D27" w:rsidR="00A803B0" w:rsidRPr="00CB4FCD" w:rsidRDefault="00A803B0" w:rsidP="00AC132B">
      <w:pPr>
        <w:pStyle w:val="Newparagraph"/>
      </w:pPr>
      <w:r w:rsidRPr="00CB4FCD">
        <w:lastRenderedPageBreak/>
        <w:t>The ten largest host countries for migrants in 1990 were the United States, Russia, Germany, France, Saudi Arabia, Canada, Australia, United Kingdom, Israel, and Kuwait (UN Population Division, Department of Economic and Social Affairs).</w:t>
      </w:r>
      <w:r w:rsidRPr="00CB4FCD">
        <w:rPr>
          <w:rStyle w:val="FootnoteReference"/>
        </w:rPr>
        <w:footnoteReference w:id="23"/>
      </w:r>
      <w:r w:rsidRPr="00CB4FCD">
        <w:t xml:space="preserve"> Distance </w:t>
      </w:r>
      <w:r>
        <w:t>comes</w:t>
      </w:r>
      <w:r w:rsidRPr="00CB4FCD">
        <w:t xml:space="preserve"> from the </w:t>
      </w:r>
      <w:proofErr w:type="spellStart"/>
      <w:r w:rsidRPr="00CB4FCD">
        <w:t>GeoDist</w:t>
      </w:r>
      <w:proofErr w:type="spellEnd"/>
      <w:r w:rsidRPr="00CB4FCD">
        <w:t xml:space="preserve"> database.</w:t>
      </w:r>
      <w:r w:rsidRPr="00CB4FCD">
        <w:rPr>
          <w:rStyle w:val="FootnoteReference"/>
        </w:rPr>
        <w:footnoteReference w:id="24"/>
      </w:r>
      <w:r w:rsidRPr="00CB4FCD">
        <w:t xml:space="preserve"> Finally, annual income per capita data comes from the WDI </w:t>
      </w:r>
      <w:r w:rsidRPr="00CB4FCD">
        <w:fldChar w:fldCharType="begin"/>
      </w:r>
      <w:r w:rsidRPr="00CB4FCD">
        <w:instrText xml:space="preserve"> ADDIN EN.CITE &lt;EndNote&gt;&lt;Cite&gt;&lt;Author&gt;World Bank&lt;/Author&gt;&lt;Year&gt;2015&lt;/Year&gt;&lt;RecNum&gt;3304&lt;/RecNum&gt;&lt;DisplayText&gt;(World Bank, 2015)&lt;/DisplayText&gt;&lt;record&gt;&lt;rec-number&gt;3304&lt;/rec-number&gt;&lt;foreign-keys&gt;&lt;key app="EN" db-id="wxw9eet5tpa22ve22arv5vv0ttr2rawvxwwp" timestamp="1421701750"&gt;3304&lt;/key&gt;&lt;/foreign-keys&gt;&lt;ref-type name="Online Database"&gt;45&lt;/ref-type&gt;&lt;contributors&gt;&lt;authors&gt;&lt;author&gt;World Bank,&lt;/author&gt;&lt;/authors&gt;&lt;/contributors&gt;&lt;titles&gt;&lt;title&gt;World Development Indicators On-Line&lt;/title&gt;&lt;/titles&gt;&lt;volume&gt;2015&lt;/volume&gt;&lt;number&gt;January&lt;/number&gt;&lt;dates&gt;&lt;year&gt;2015&lt;/year&gt;&lt;/dates&gt;&lt;pub-location&gt;Washington, D.C.&lt;/pub-location&gt;&lt;publisher&gt;World Bank&lt;/publisher&gt;&lt;urls&gt;&lt;/urls&gt;&lt;/record&gt;&lt;/Cite&gt;&lt;/EndNote&gt;</w:instrText>
      </w:r>
      <w:r w:rsidRPr="00CB4FCD">
        <w:fldChar w:fldCharType="separate"/>
      </w:r>
      <w:r w:rsidRPr="00CB4FCD">
        <w:rPr>
          <w:noProof/>
        </w:rPr>
        <w:t>(World Bank, 2015)</w:t>
      </w:r>
      <w:r w:rsidRPr="00CB4FCD">
        <w:fldChar w:fldCharType="end"/>
      </w:r>
      <w:r w:rsidRPr="00CB4FCD">
        <w:t>. This variable performs well in predicting re</w:t>
      </w:r>
      <w:r>
        <w:t xml:space="preserve">mittances as </w:t>
      </w:r>
      <w:r w:rsidR="001A3531">
        <w:t>percent</w:t>
      </w:r>
      <w:r>
        <w:t xml:space="preserve"> of</w:t>
      </w:r>
      <w:r w:rsidRPr="00CB4FCD">
        <w:t xml:space="preserve"> </w:t>
      </w:r>
      <w:proofErr w:type="gramStart"/>
      <w:r w:rsidRPr="00CB4FCD">
        <w:t>GDP, but</w:t>
      </w:r>
      <w:proofErr w:type="gramEnd"/>
      <w:r w:rsidRPr="00CB4FCD">
        <w:t xml:space="preserve"> is a poor instrument for predicting remittances in constant USD, which is the variable we have used in the main models. Nonetheless, since our results are robust to different specifications of the dependent variable</w:t>
      </w:r>
      <w:r w:rsidR="005A2BA2">
        <w:t xml:space="preserve"> (see Table </w:t>
      </w:r>
      <w:r w:rsidR="005A2BA2" w:rsidRPr="00E014C8">
        <w:t>A3</w:t>
      </w:r>
      <w:r w:rsidR="00760CAC" w:rsidRPr="00E014C8">
        <w:t>,</w:t>
      </w:r>
      <w:r>
        <w:t xml:space="preserve"> Supplementary Appendix)</w:t>
      </w:r>
      <w:r w:rsidRPr="00CB4FCD">
        <w:t xml:space="preserve">, we consider this test informative </w:t>
      </w:r>
      <w:r>
        <w:t>for addressing the robustness</w:t>
      </w:r>
      <w:r w:rsidRPr="00CB4FCD">
        <w:t xml:space="preserve"> of our results. In the sample of autocracies, remittances over GDP and the instrument are strongly correlated (0.60). </w:t>
      </w:r>
    </w:p>
    <w:p w14:paraId="3F165A52" w14:textId="70689FF6" w:rsidR="00A803B0" w:rsidRDefault="00A803B0" w:rsidP="00AC132B">
      <w:pPr>
        <w:pStyle w:val="Newparagraph"/>
      </w:pPr>
      <w:r>
        <w:t>Model 9</w:t>
      </w:r>
      <w:r w:rsidRPr="00CB4FCD">
        <w:t xml:space="preserve"> shows the results of the second stage IV </w:t>
      </w:r>
      <w:proofErr w:type="spellStart"/>
      <w:r w:rsidRPr="00CB4FCD">
        <w:t>probit</w:t>
      </w:r>
      <w:proofErr w:type="spellEnd"/>
      <w:r w:rsidRPr="00CB4FCD">
        <w:t xml:space="preserve"> estimation</w:t>
      </w:r>
      <w:r w:rsidR="00760CAC">
        <w:t xml:space="preserve">  </w:t>
      </w:r>
      <w:r w:rsidR="007B197B">
        <w:t>–</w:t>
      </w:r>
      <w:r w:rsidR="00760CAC">
        <w:t xml:space="preserve"> after dichotomizing</w:t>
      </w:r>
      <w:r w:rsidR="00760CAC" w:rsidRPr="00760CAC">
        <w:t xml:space="preserve"> the dependent variable, so that categories 1 and 2 are coded 0 (fixed exchange rates) and categories 3 and 4 are coded 1 (flexible exchange rates)</w:t>
      </w:r>
      <w:r w:rsidR="00F2423F">
        <w:t xml:space="preserve">, </w:t>
      </w:r>
      <w:r w:rsidRPr="00CB4FCD">
        <w:t>confirming the results in the main models: remittances increase the likelihood of observing a fixed exchange rate at low levels of central bank independence, but as CBI increases the probability of observing a fixed exchange rate decreases in favo</w:t>
      </w:r>
      <w:r w:rsidR="00760CAC">
        <w:t>u</w:t>
      </w:r>
      <w:r w:rsidRPr="00CB4FCD">
        <w:t xml:space="preserve">r of more flexible exchange rate arrangements. Note, however, that the Wald Test of exogeneity suggests that the pooled </w:t>
      </w:r>
      <w:proofErr w:type="spellStart"/>
      <w:r w:rsidRPr="00CB4FCD">
        <w:t>probit</w:t>
      </w:r>
      <w:proofErr w:type="spellEnd"/>
      <w:r w:rsidRPr="00CB4FCD">
        <w:t xml:space="preserve"> estimation is preferred. </w:t>
      </w:r>
    </w:p>
    <w:p w14:paraId="5793C1D9" w14:textId="7E6717DE" w:rsidR="00A803B0" w:rsidRPr="00CB4FCD" w:rsidRDefault="007B197B" w:rsidP="00AC132B">
      <w:pPr>
        <w:pStyle w:val="Newparagraph"/>
      </w:pPr>
      <w:r>
        <w:t>I</w:t>
      </w:r>
      <w:r w:rsidR="00A803B0">
        <w:t>n the Supplementary Appendix, we show further robustness tests. First, o</w:t>
      </w:r>
      <w:r w:rsidR="00A803B0" w:rsidRPr="00C94A99">
        <w:t>ur results hold when we replicate Table 1 using different measures of our dependent and main independent varia</w:t>
      </w:r>
      <w:r w:rsidR="00A803B0">
        <w:t>ble (remittances)</w:t>
      </w:r>
      <w:r w:rsidR="005A2BA2">
        <w:t xml:space="preserve">. In Table </w:t>
      </w:r>
      <w:r w:rsidR="005A2BA2" w:rsidRPr="00E014C8">
        <w:t>A3</w:t>
      </w:r>
      <w:r w:rsidR="00A803B0" w:rsidRPr="00C94A99">
        <w:t xml:space="preserve">, we measure remittances as a </w:t>
      </w:r>
      <w:r w:rsidR="00A803B0" w:rsidRPr="00C94A99">
        <w:lastRenderedPageBreak/>
        <w:t>ratio of GDP an</w:t>
      </w:r>
      <w:r w:rsidR="00A803B0">
        <w:t>d as a ratio of population. I</w:t>
      </w:r>
      <w:r w:rsidR="00A803B0" w:rsidRPr="00C94A99">
        <w:t xml:space="preserve">n both cases, our main result holds. </w:t>
      </w:r>
      <w:r>
        <w:t>The r</w:t>
      </w:r>
      <w:r w:rsidR="00A803B0" w:rsidRPr="00C94A99">
        <w:t>esults also hold when we dichotomize the dependent variable</w:t>
      </w:r>
      <w:r w:rsidR="00F2423F">
        <w:t xml:space="preserve"> in</w:t>
      </w:r>
      <w:r w:rsidR="002831D2">
        <w:t>to</w:t>
      </w:r>
      <w:r w:rsidR="00F2423F">
        <w:t xml:space="preserve"> fixed and flexible exchange rates as explained above</w:t>
      </w:r>
      <w:r w:rsidR="00A803B0" w:rsidRPr="00C94A99">
        <w:t>. This reduces concerns about the effect that movements within the main categories could have on our results – that is, that our theory mainly applies to marginal changes between fixed exchange rates and crawling pegs, or between managed floats and free</w:t>
      </w:r>
      <w:r w:rsidR="00A803B0">
        <w:t>-</w:t>
      </w:r>
      <w:r w:rsidR="00A803B0" w:rsidRPr="00C94A99">
        <w:t>floating regimes</w:t>
      </w:r>
      <w:r w:rsidR="00760CAC">
        <w:t>.</w:t>
      </w:r>
      <w:r w:rsidR="00A803B0" w:rsidRPr="00C94A99">
        <w:t xml:space="preserve"> </w:t>
      </w:r>
      <w:r w:rsidR="00A803B0">
        <w:t xml:space="preserve">These results are reported </w:t>
      </w:r>
      <w:r w:rsidR="00E773DE">
        <w:t>i</w:t>
      </w:r>
      <w:r w:rsidR="00A803B0">
        <w:t xml:space="preserve">n </w:t>
      </w:r>
      <w:r w:rsidR="0036522D" w:rsidRPr="00E014C8">
        <w:t>Table A4</w:t>
      </w:r>
      <w:r w:rsidR="00A803B0" w:rsidRPr="00E014C8">
        <w:t>.</w:t>
      </w:r>
      <w:r w:rsidR="00A803B0">
        <w:t xml:space="preserve"> </w:t>
      </w:r>
    </w:p>
    <w:p w14:paraId="5A80754D" w14:textId="77777777" w:rsidR="00A803B0" w:rsidRPr="00CB4FCD" w:rsidRDefault="00A803B0" w:rsidP="00AC132B">
      <w:pPr>
        <w:pStyle w:val="Newparagraph"/>
      </w:pPr>
    </w:p>
    <w:p w14:paraId="0D20F227" w14:textId="77777777" w:rsidR="00A803B0" w:rsidRPr="00CB4FCD" w:rsidRDefault="00A803B0" w:rsidP="00A803B0">
      <w:pPr>
        <w:pStyle w:val="Heading1"/>
        <w:rPr>
          <w:szCs w:val="24"/>
        </w:rPr>
      </w:pPr>
      <w:r w:rsidRPr="00CB4FCD">
        <w:rPr>
          <w:szCs w:val="24"/>
        </w:rPr>
        <w:t>Conclusions</w:t>
      </w:r>
    </w:p>
    <w:p w14:paraId="43F67A37" w14:textId="5869B216" w:rsidR="00A803B0" w:rsidRPr="00CB4FCD" w:rsidRDefault="00A803B0" w:rsidP="00AC132B">
      <w:pPr>
        <w:pStyle w:val="Paragraph"/>
      </w:pPr>
      <w:r w:rsidRPr="00CB4FCD">
        <w:t xml:space="preserve">We address one consequence of globalization on domestic politics: the effect of growing capital movements associated with international </w:t>
      </w:r>
      <w:r>
        <w:t>migration</w:t>
      </w:r>
      <w:r w:rsidRPr="00CB4FCD">
        <w:t xml:space="preserve">. We focus on </w:t>
      </w:r>
      <w:r w:rsidR="00E014C8">
        <w:t xml:space="preserve">developing </w:t>
      </w:r>
      <w:proofErr w:type="gramStart"/>
      <w:r w:rsidR="00E014C8">
        <w:t>countries, and</w:t>
      </w:r>
      <w:proofErr w:type="gramEnd"/>
      <w:r w:rsidR="00E014C8">
        <w:t xml:space="preserve"> analys</w:t>
      </w:r>
      <w:r w:rsidRPr="00CB4FCD">
        <w:t>e how remittances affect the choice of exchange rate regimes. We theorize and find that the relationship between remittances and exchange rate regime choices is highly dependent on the political and monetary institutions in the recipient countries. In fact, we propose that different channels may link remittances and exchange rate regimes depending on domestic institutions. We show that within the constra</w:t>
      </w:r>
      <w:r>
        <w:t xml:space="preserve">ints imposed by the </w:t>
      </w:r>
      <w:r w:rsidRPr="00CB4FCD">
        <w:t>trilemma</w:t>
      </w:r>
      <w:r>
        <w:t>,</w:t>
      </w:r>
      <w:r w:rsidRPr="00CB4FCD">
        <w:t xml:space="preserve"> remittances </w:t>
      </w:r>
      <w:proofErr w:type="gramStart"/>
      <w:r w:rsidRPr="00CB4FCD">
        <w:t xml:space="preserve">open </w:t>
      </w:r>
      <w:r w:rsidR="009D1C2E">
        <w:t>up</w:t>
      </w:r>
      <w:proofErr w:type="gramEnd"/>
      <w:r w:rsidR="009D1C2E">
        <w:t xml:space="preserve"> </w:t>
      </w:r>
      <w:r w:rsidRPr="00CB4FCD">
        <w:t>policy options for less democratic countries</w:t>
      </w:r>
      <w:r>
        <w:t xml:space="preserve"> in the developing world</w:t>
      </w:r>
      <w:r w:rsidRPr="00CB4FCD">
        <w:t>.</w:t>
      </w:r>
    </w:p>
    <w:p w14:paraId="61BB64B9" w14:textId="25D2310B" w:rsidR="00A803B0" w:rsidRPr="00CB4FCD" w:rsidRDefault="00A803B0" w:rsidP="00AC132B">
      <w:pPr>
        <w:pStyle w:val="Newparagraph"/>
      </w:pPr>
      <w:r w:rsidRPr="00CB4FCD">
        <w:t xml:space="preserve">In our view, political and monetary institutions need to be explicitly </w:t>
      </w:r>
      <w:r>
        <w:t>considered</w:t>
      </w:r>
      <w:r w:rsidRPr="00CB4FCD">
        <w:t xml:space="preserve"> to understand why some governments have no choice but to adopt fixed exchange rates, while others have more freedom to choose exchange </w:t>
      </w:r>
      <w:r>
        <w:t>rates</w:t>
      </w:r>
      <w:r w:rsidRPr="00CB4FCD">
        <w:t>. We look at two crucial conditioning variables: political regimes and central bank independence. More concretely, we argue and show that remittances have different effects on exchange rate regime choices, depending on how credible monetary commitments are. Holding other things constant, remittances can make delegation to central banks credible in less-</w:t>
      </w:r>
      <w:r w:rsidRPr="00CB4FCD">
        <w:lastRenderedPageBreak/>
        <w:t xml:space="preserve">transparent regimes because they curb the incentives to use monetary </w:t>
      </w:r>
      <w:r w:rsidR="004A7476">
        <w:t xml:space="preserve">policy counter-cyclically, </w:t>
      </w:r>
      <w:r w:rsidRPr="00CB4FCD">
        <w:t xml:space="preserve">enhancing </w:t>
      </w:r>
      <w:r>
        <w:t>autocracies’</w:t>
      </w:r>
      <w:r w:rsidRPr="00CB4FCD">
        <w:t xml:space="preserve"> capacity to hono</w:t>
      </w:r>
      <w:r w:rsidR="004A7476">
        <w:t>u</w:t>
      </w:r>
      <w:r w:rsidRPr="00CB4FCD">
        <w:t xml:space="preserve">r </w:t>
      </w:r>
      <w:r>
        <w:t>price stability</w:t>
      </w:r>
      <w:r w:rsidRPr="00CB4FCD">
        <w:t xml:space="preserve"> commitments. In this way, </w:t>
      </w:r>
      <w:r>
        <w:t>remittances</w:t>
      </w:r>
      <w:r w:rsidRPr="00CB4FCD">
        <w:t xml:space="preserve"> </w:t>
      </w:r>
      <w:r>
        <w:t>allow the</w:t>
      </w:r>
      <w:r w:rsidRPr="00CB4FCD">
        <w:t xml:space="preserve"> substituti</w:t>
      </w:r>
      <w:r>
        <w:t>on of</w:t>
      </w:r>
      <w:r w:rsidRPr="00CB4FCD">
        <w:t xml:space="preserve"> fixed exchange rate regimes by independent central banks as mechanisms of co</w:t>
      </w:r>
      <w:r>
        <w:t>mmitment to monetary discipline.</w:t>
      </w:r>
    </w:p>
    <w:p w14:paraId="6D13F7C1" w14:textId="20503B20" w:rsidR="00A803B0" w:rsidRPr="00CB4FCD" w:rsidRDefault="00A803B0" w:rsidP="00AC132B">
      <w:pPr>
        <w:pStyle w:val="Newparagraph"/>
      </w:pPr>
      <w:r w:rsidRPr="00CB4FCD">
        <w:t xml:space="preserve">It is possible that some remittance-recipient autocracies with independent central banks are still willing to adopt or maintain fixed exchange rates. We interpret these cases as situations that the literature frames as “fear of floating” </w:t>
      </w:r>
      <w:r w:rsidRPr="00CB4FCD">
        <w:fldChar w:fldCharType="begin"/>
      </w:r>
      <w:r>
        <w:instrText xml:space="preserve"> ADDIN EN.CITE &lt;EndNote&gt;&lt;Cite&gt;&lt;Author&gt;Calvo&lt;/Author&gt;&lt;Year&gt;2002&lt;/Year&gt;&lt;RecNum&gt;3592&lt;/RecNum&gt;&lt;DisplayText&gt;(Calvo &amp;amp; Reinhart, 2002; Levy-Yeyati &amp;amp; Sturzenegger, 2005)&lt;/DisplayText&gt;&lt;record&gt;&lt;rec-number&gt;3592&lt;/rec-number&gt;&lt;foreign-keys&gt;&lt;key app="EN" db-id="wxw9eet5tpa22ve22arv5vv0ttr2rawvxwwp" timestamp="1469219909"&gt;3592&lt;/key&gt;&lt;/foreign-keys&gt;&lt;ref-type name="Journal Article"&gt;17&lt;/ref-type&gt;&lt;contributors&gt;&lt;authors&gt;&lt;author&gt;Calvo, Guillermo A.&lt;/author&gt;&lt;author&gt;Reinhart, Carmen M.&lt;/author&gt;&lt;/authors&gt;&lt;/contributors&gt;&lt;titles&gt;&lt;title&gt;Fear of Floating&lt;/title&gt;&lt;secondary-title&gt;The Quarterly Journal of Economics&lt;/secondary-title&gt;&lt;/titles&gt;&lt;periodical&gt;&lt;full-title&gt;The Quarterly Journal of Economics&lt;/full-title&gt;&lt;/periodical&gt;&lt;pages&gt;379-408&lt;/pages&gt;&lt;volume&gt;117&lt;/volume&gt;&lt;number&gt;2&lt;/number&gt;&lt;dates&gt;&lt;year&gt;2002&lt;/year&gt;&lt;pub-dates&gt;&lt;date&gt;May 1, 2002&lt;/date&gt;&lt;/pub-dates&gt;&lt;/dates&gt;&lt;urls&gt;&lt;related-urls&gt;&lt;url&gt;http://qje.oxfordjournals.org/content/117/2/379.abstract&lt;/url&gt;&lt;/related-urls&gt;&lt;/urls&gt;&lt;electronic-resource-num&gt;10.1162/003355302753650274&lt;/electronic-resource-num&gt;&lt;/record&gt;&lt;/Cite&gt;&lt;Cite&gt;&lt;Author&gt;Levy-Yeyati&lt;/Author&gt;&lt;Year&gt;2005&lt;/Year&gt;&lt;RecNum&gt;135&lt;/RecNum&gt;&lt;record&gt;&lt;rec-number&gt;135&lt;/rec-number&gt;&lt;foreign-keys&gt;&lt;key app="EN" db-id="wxw9eet5tpa22ve22arv5vv0ttr2rawvxwwp" timestamp="0"&gt;135&lt;/key&gt;&lt;/foreign-keys&gt;&lt;ref-type name="Journal Article"&gt;17&lt;/ref-type&gt;&lt;contributors&gt;&lt;authors&gt;&lt;author&gt;Levy-Yeyati, Eduardo&lt;/author&gt;&lt;author&gt;Federico Sturzenegger&lt;/author&gt;&lt;/authors&gt;&lt;/contributors&gt;&lt;titles&gt;&lt;title&gt;Classifying Exchange Rate Regimes: Deeds vs. Words&lt;/title&gt;&lt;secondary-title&gt;European Economic Review &lt;/secondary-title&gt;&lt;/titles&gt;&lt;periodical&gt;&lt;full-title&gt;European Economic Review&lt;/full-title&gt;&lt;/periodical&gt;&lt;pages&gt;1603-1635&lt;/pages&gt;&lt;volume&gt;49&lt;/volume&gt;&lt;number&gt;6&lt;/number&gt;&lt;keywords&gt;&lt;keyword&gt;Exchange rate&lt;/keyword&gt;&lt;/keywords&gt;&lt;dates&gt;&lt;year&gt;2005&lt;/year&gt;&lt;/dates&gt;&lt;urls&gt;&lt;related-urls&gt;&lt;url&gt;IPE-W5: Exchange rate regimes&lt;/url&gt;&lt;/related-urls&gt;&lt;/urls&gt;&lt;/record&gt;&lt;/Cite&gt;&lt;/EndNote&gt;</w:instrText>
      </w:r>
      <w:r w:rsidRPr="00CB4FCD">
        <w:fldChar w:fldCharType="separate"/>
      </w:r>
      <w:r>
        <w:rPr>
          <w:noProof/>
        </w:rPr>
        <w:t>(Calvo &amp; Reinhart, 2002; Levy-Yeyati &amp; Sturzenegger, 2005)</w:t>
      </w:r>
      <w:r w:rsidRPr="00CB4FCD">
        <w:fldChar w:fldCharType="end"/>
      </w:r>
      <w:r w:rsidRPr="00CB4FCD">
        <w:t>, which may respond to domestic pressures, in the case of democracies, or to very serious credibility issues, in the case of autocracies.</w:t>
      </w:r>
      <w:r w:rsidR="0036522D">
        <w:t xml:space="preserve"> </w:t>
      </w:r>
    </w:p>
    <w:p w14:paraId="32148C31" w14:textId="77777777" w:rsidR="00A803B0" w:rsidRPr="00CB4FCD" w:rsidRDefault="00A803B0" w:rsidP="00AC132B">
      <w:pPr>
        <w:pStyle w:val="Newparagraph"/>
      </w:pPr>
      <w:r w:rsidRPr="00CB4FCD">
        <w:t xml:space="preserve">Finally, note that our analysis looks at how </w:t>
      </w:r>
      <w:r w:rsidRPr="00CB4FCD">
        <w:rPr>
          <w:i/>
        </w:rPr>
        <w:t xml:space="preserve">levels </w:t>
      </w:r>
      <w:r w:rsidRPr="00CB4FCD">
        <w:t xml:space="preserve">of remittances interact with political regimes and monetary institutions to affect the probability of observing different exchange rate regimes. A next step in this research </w:t>
      </w:r>
      <w:r>
        <w:t xml:space="preserve">agenda </w:t>
      </w:r>
      <w:r w:rsidRPr="00CB4FCD">
        <w:t xml:space="preserve">will explore how </w:t>
      </w:r>
      <w:r w:rsidRPr="00CB4FCD">
        <w:rPr>
          <w:i/>
        </w:rPr>
        <w:t>changes</w:t>
      </w:r>
      <w:r w:rsidRPr="00CB4FCD">
        <w:t xml:space="preserve"> in remittances may equally affect the choices of exchange rate regimes. While our argument has so far rested on the well-documented stable and anti-cyclical character of remittances, changes in economic conditions in destination countries may trigger a fall in remittances sent back home. We consider that exploring these dynamic effects will also imply giving serious attention to the role of central bank independence as a mediating factor in the decision to transition to more flexible exchange rates. </w:t>
      </w:r>
    </w:p>
    <w:p w14:paraId="3CC4099C" w14:textId="56B35ABF" w:rsidR="007B4A77" w:rsidRDefault="007B4A77">
      <w:pPr>
        <w:spacing w:line="240" w:lineRule="auto"/>
      </w:pPr>
      <w:r>
        <w:br w:type="page"/>
      </w:r>
    </w:p>
    <w:p w14:paraId="7B1F51EC" w14:textId="0911ACB5" w:rsidR="00F1519D" w:rsidRDefault="00161344" w:rsidP="009F6FDF">
      <w:pPr>
        <w:pStyle w:val="Heading1"/>
      </w:pPr>
      <w:r>
        <w:lastRenderedPageBreak/>
        <w:t>References</w:t>
      </w:r>
    </w:p>
    <w:p w14:paraId="7D0F690C" w14:textId="47C5C53A" w:rsidR="009F6FDF" w:rsidRPr="009F6FDF" w:rsidRDefault="00AC132B" w:rsidP="009F6FDF">
      <w:pPr>
        <w:pStyle w:val="EndNoteBibliography"/>
        <w:ind w:left="720" w:hanging="720"/>
        <w:rPr>
          <w:noProof/>
        </w:rPr>
      </w:pPr>
      <w:r>
        <w:fldChar w:fldCharType="begin"/>
      </w:r>
      <w:r>
        <w:instrText xml:space="preserve"> ADDIN EN.REFLIST </w:instrText>
      </w:r>
      <w:r>
        <w:fldChar w:fldCharType="separate"/>
      </w:r>
      <w:r w:rsidR="009F6FDF" w:rsidRPr="009F6FDF">
        <w:rPr>
          <w:noProof/>
        </w:rPr>
        <w:t xml:space="preserve">Abdih, Y., Chami, R., Dagher, J., &amp; Montiel, P. (2012). Remittances and Institutions: Are Remittances a Curse? </w:t>
      </w:r>
      <w:r w:rsidR="009F6FDF" w:rsidRPr="009F6FDF">
        <w:rPr>
          <w:i/>
          <w:noProof/>
        </w:rPr>
        <w:t>World Development, 40</w:t>
      </w:r>
      <w:r w:rsidR="009F6FDF" w:rsidRPr="009F6FDF">
        <w:rPr>
          <w:noProof/>
        </w:rPr>
        <w:t>(4), 657-666. doi:</w:t>
      </w:r>
      <w:hyperlink r:id="rId8" w:history="1">
        <w:r w:rsidR="009F6FDF" w:rsidRPr="009F6FDF">
          <w:rPr>
            <w:rStyle w:val="Hyperlink"/>
            <w:noProof/>
          </w:rPr>
          <w:t>https://doi.org/10.1016/j.worlddev.2011.09.014</w:t>
        </w:r>
      </w:hyperlink>
    </w:p>
    <w:p w14:paraId="5FF2419C" w14:textId="5E7DB44E" w:rsidR="009F6FDF" w:rsidRPr="009F6FDF" w:rsidRDefault="009F6FDF" w:rsidP="009F6FDF">
      <w:pPr>
        <w:pStyle w:val="EndNoteBibliography"/>
        <w:ind w:left="720" w:hanging="720"/>
        <w:rPr>
          <w:noProof/>
        </w:rPr>
      </w:pPr>
      <w:r w:rsidRPr="006D0866">
        <w:rPr>
          <w:noProof/>
          <w:lang w:val="es-ES"/>
        </w:rPr>
        <w:t xml:space="preserve">Adams, R. H., &amp; Cuecuecha, A. (2010). </w:t>
      </w:r>
      <w:r w:rsidRPr="009F6FDF">
        <w:rPr>
          <w:noProof/>
        </w:rPr>
        <w:t xml:space="preserve">Remittances, Household Expenditure and Investment in Guatemala. </w:t>
      </w:r>
      <w:r w:rsidRPr="009F6FDF">
        <w:rPr>
          <w:i/>
          <w:noProof/>
        </w:rPr>
        <w:t>World Development, 38</w:t>
      </w:r>
      <w:r w:rsidRPr="009F6FDF">
        <w:rPr>
          <w:noProof/>
        </w:rPr>
        <w:t>(11), 1626-1641. doi:</w:t>
      </w:r>
      <w:hyperlink r:id="rId9" w:history="1">
        <w:r w:rsidRPr="009F6FDF">
          <w:rPr>
            <w:rStyle w:val="Hyperlink"/>
            <w:noProof/>
          </w:rPr>
          <w:t>http://dx.doi.org/10.1016/j.worlddev.2010.03.003</w:t>
        </w:r>
      </w:hyperlink>
    </w:p>
    <w:p w14:paraId="0CE63AC8" w14:textId="790FC391" w:rsidR="009F6FDF" w:rsidRPr="009F6FDF" w:rsidRDefault="009F6FDF" w:rsidP="009F6FDF">
      <w:pPr>
        <w:pStyle w:val="EndNoteBibliography"/>
        <w:ind w:left="720" w:hanging="720"/>
        <w:rPr>
          <w:noProof/>
        </w:rPr>
      </w:pPr>
      <w:r w:rsidRPr="009F6FDF">
        <w:rPr>
          <w:noProof/>
        </w:rPr>
        <w:t xml:space="preserve">Adams, R. H., &amp; Page, J. (2005). Do International Migration and Remittances Reduce Poverty in Developing Countries? </w:t>
      </w:r>
      <w:r w:rsidRPr="009F6FDF">
        <w:rPr>
          <w:i/>
          <w:noProof/>
        </w:rPr>
        <w:t>World Development, 33</w:t>
      </w:r>
      <w:r w:rsidRPr="009F6FDF">
        <w:rPr>
          <w:noProof/>
        </w:rPr>
        <w:t>(10), 1645-1669. doi:</w:t>
      </w:r>
      <w:hyperlink r:id="rId10" w:history="1">
        <w:r w:rsidRPr="009F6FDF">
          <w:rPr>
            <w:rStyle w:val="Hyperlink"/>
            <w:noProof/>
          </w:rPr>
          <w:t>http://dx.doi.org/10.1016/j.worlddev.2005.05.004</w:t>
        </w:r>
      </w:hyperlink>
    </w:p>
    <w:p w14:paraId="638677C2" w14:textId="77777777" w:rsidR="009F6FDF" w:rsidRPr="009F6FDF" w:rsidRDefault="009F6FDF" w:rsidP="009F6FDF">
      <w:pPr>
        <w:pStyle w:val="EndNoteBibliography"/>
        <w:ind w:left="720" w:hanging="720"/>
        <w:rPr>
          <w:noProof/>
        </w:rPr>
      </w:pPr>
      <w:r w:rsidRPr="009F6FDF">
        <w:rPr>
          <w:noProof/>
        </w:rPr>
        <w:t xml:space="preserve">Adida, C. L., &amp; Girod, D. M. (2011). Do Migrants Improve Their Hometowns? Remittances and Access to Public Services in Mexico, 1995-2000. </w:t>
      </w:r>
      <w:r w:rsidRPr="009F6FDF">
        <w:rPr>
          <w:i/>
          <w:noProof/>
        </w:rPr>
        <w:t>Comparative Political Studies, 44</w:t>
      </w:r>
      <w:r w:rsidRPr="009F6FDF">
        <w:rPr>
          <w:noProof/>
        </w:rPr>
        <w:t>(1), 3-27. doi:10.1177/0010414010381073</w:t>
      </w:r>
    </w:p>
    <w:p w14:paraId="66797835" w14:textId="77777777" w:rsidR="009F6FDF" w:rsidRPr="009F6FDF" w:rsidRDefault="009F6FDF" w:rsidP="009F6FDF">
      <w:pPr>
        <w:pStyle w:val="EndNoteBibliography"/>
        <w:ind w:left="720" w:hanging="720"/>
        <w:rPr>
          <w:noProof/>
        </w:rPr>
      </w:pPr>
      <w:r w:rsidRPr="009F6FDF">
        <w:rPr>
          <w:noProof/>
        </w:rPr>
        <w:t>A</w:t>
      </w:r>
      <w:bookmarkStart w:id="2" w:name="_Hlk100464"/>
      <w:r w:rsidRPr="009F6FDF">
        <w:rPr>
          <w:noProof/>
        </w:rPr>
        <w:t xml:space="preserve">hmed, F. Z. (2012). The Perils of Unearned Foreign Income: Aid, Remittances, and Government Survival. </w:t>
      </w:r>
      <w:r w:rsidRPr="009F6FDF">
        <w:rPr>
          <w:i/>
          <w:noProof/>
        </w:rPr>
        <w:t>American Political Science Review, 106</w:t>
      </w:r>
      <w:r w:rsidRPr="009F6FDF">
        <w:rPr>
          <w:noProof/>
        </w:rPr>
        <w:t>(1), 146-165. doi:10.1017/S0003055411000475</w:t>
      </w:r>
    </w:p>
    <w:p w14:paraId="4F765056" w14:textId="77777777" w:rsidR="009F6FDF" w:rsidRPr="009F6FDF" w:rsidRDefault="009F6FDF" w:rsidP="009F6FDF">
      <w:pPr>
        <w:pStyle w:val="EndNoteBibliography"/>
        <w:ind w:left="720" w:hanging="720"/>
        <w:rPr>
          <w:noProof/>
        </w:rPr>
      </w:pPr>
      <w:r w:rsidRPr="009F6FDF">
        <w:rPr>
          <w:noProof/>
        </w:rPr>
        <w:t xml:space="preserve">Ahmed, F. Z. (2013). Remittances Deteriorate Governance. </w:t>
      </w:r>
      <w:r w:rsidRPr="009F6FDF">
        <w:rPr>
          <w:i/>
          <w:noProof/>
        </w:rPr>
        <w:t>The Review of Economics and Statistics, 95</w:t>
      </w:r>
      <w:r w:rsidRPr="009F6FDF">
        <w:rPr>
          <w:noProof/>
        </w:rPr>
        <w:t>(4), 1166-1182. doi:10.1162/REST_a_00336</w:t>
      </w:r>
    </w:p>
    <w:bookmarkEnd w:id="2"/>
    <w:p w14:paraId="7CF4232A" w14:textId="77777777" w:rsidR="003C7AEB" w:rsidRPr="003C7AEB" w:rsidRDefault="003C7AEB" w:rsidP="003C7AEB">
      <w:pPr>
        <w:pStyle w:val="EndNoteBibliography"/>
        <w:ind w:left="720" w:hanging="720"/>
        <w:rPr>
          <w:noProof/>
        </w:rPr>
      </w:pPr>
      <w:r w:rsidRPr="003C7AEB">
        <w:rPr>
          <w:noProof/>
        </w:rPr>
        <w:t xml:space="preserve">Aizenman, Joshua. 2018. “A modern reincarnation of Mundell-Fleming's trilemma.” </w:t>
      </w:r>
      <w:r w:rsidRPr="003C7AEB">
        <w:rPr>
          <w:i/>
          <w:noProof/>
        </w:rPr>
        <w:t>Economic Modelling.</w:t>
      </w:r>
      <w:r w:rsidRPr="003C7AEB">
        <w:rPr>
          <w:noProof/>
        </w:rPr>
        <w:t xml:space="preserve"> Available online 15 March. https://doi.org/10.1016/j.econmod.2018.03.008</w:t>
      </w:r>
    </w:p>
    <w:p w14:paraId="73829A5B" w14:textId="4BBF571D" w:rsidR="009F6FDF" w:rsidRPr="009F6FDF" w:rsidRDefault="009F6FDF" w:rsidP="009F6FDF">
      <w:pPr>
        <w:pStyle w:val="EndNoteBibliography"/>
        <w:ind w:left="720" w:hanging="720"/>
        <w:rPr>
          <w:noProof/>
        </w:rPr>
      </w:pPr>
      <w:r w:rsidRPr="006D0866">
        <w:rPr>
          <w:noProof/>
          <w:lang w:val="es-ES"/>
        </w:rPr>
        <w:t xml:space="preserve">Aparicio, F. J., &amp; Meseguer, C. (2012). </w:t>
      </w:r>
      <w:r w:rsidRPr="009F6FDF">
        <w:rPr>
          <w:noProof/>
        </w:rPr>
        <w:t xml:space="preserve">Collective Remittances and the State: The 3×1 Program in Mexican Municipalities. </w:t>
      </w:r>
      <w:r w:rsidRPr="009F6FDF">
        <w:rPr>
          <w:i/>
          <w:noProof/>
        </w:rPr>
        <w:t>World Development, 40</w:t>
      </w:r>
      <w:r w:rsidRPr="009F6FDF">
        <w:rPr>
          <w:noProof/>
        </w:rPr>
        <w:t>(1), 206-222. doi:</w:t>
      </w:r>
      <w:hyperlink r:id="rId11" w:history="1">
        <w:r w:rsidRPr="009F6FDF">
          <w:rPr>
            <w:rStyle w:val="Hyperlink"/>
            <w:noProof/>
          </w:rPr>
          <w:t>http://dx.doi.org/10.1016/j.worlddev.2011.05.016</w:t>
        </w:r>
      </w:hyperlink>
    </w:p>
    <w:p w14:paraId="0E4E8383" w14:textId="77777777" w:rsidR="009F6FDF" w:rsidRPr="009F6FDF" w:rsidRDefault="009F6FDF" w:rsidP="009F6FDF">
      <w:pPr>
        <w:pStyle w:val="EndNoteBibliography"/>
        <w:ind w:left="720" w:hanging="720"/>
        <w:rPr>
          <w:noProof/>
        </w:rPr>
      </w:pPr>
      <w:r w:rsidRPr="009F6FDF">
        <w:rPr>
          <w:noProof/>
        </w:rPr>
        <w:t xml:space="preserve">Arellano, M., &amp; Bond, S. (1991). Some Tests of Specification for Panel Data: Monte Carlo Evidence and an Application to Employment Equations. </w:t>
      </w:r>
      <w:r w:rsidRPr="009F6FDF">
        <w:rPr>
          <w:i/>
          <w:noProof/>
        </w:rPr>
        <w:t>The Review of Economic Studies, 58</w:t>
      </w:r>
      <w:r w:rsidRPr="009F6FDF">
        <w:rPr>
          <w:noProof/>
        </w:rPr>
        <w:t xml:space="preserve">(2), 277-297. </w:t>
      </w:r>
    </w:p>
    <w:p w14:paraId="332C89D0" w14:textId="56BEA293" w:rsidR="009F6FDF" w:rsidRPr="009F6FDF" w:rsidRDefault="009F6FDF" w:rsidP="009F6FDF">
      <w:pPr>
        <w:pStyle w:val="EndNoteBibliography"/>
        <w:ind w:left="720" w:hanging="720"/>
        <w:rPr>
          <w:noProof/>
        </w:rPr>
      </w:pPr>
      <w:r w:rsidRPr="009F6FDF">
        <w:rPr>
          <w:noProof/>
        </w:rPr>
        <w:t xml:space="preserve">Arellano, M., &amp; Bover, O. (1995). Another Look at the Instrumental Variable Estimation of Error-Components Models. </w:t>
      </w:r>
      <w:r w:rsidRPr="009F6FDF">
        <w:rPr>
          <w:i/>
          <w:noProof/>
        </w:rPr>
        <w:t>Journal of Econometrics, 68</w:t>
      </w:r>
      <w:r w:rsidRPr="009F6FDF">
        <w:rPr>
          <w:noProof/>
        </w:rPr>
        <w:t>(1), 29-51. doi:</w:t>
      </w:r>
      <w:hyperlink r:id="rId12" w:history="1">
        <w:r w:rsidRPr="009F6FDF">
          <w:rPr>
            <w:rStyle w:val="Hyperlink"/>
            <w:noProof/>
          </w:rPr>
          <w:t>http://dx.doi.org/10.1016/0304-4076(94)01642-D</w:t>
        </w:r>
      </w:hyperlink>
    </w:p>
    <w:p w14:paraId="0DEC051E" w14:textId="190E85F1" w:rsidR="009F6FDF" w:rsidRPr="009F6FDF" w:rsidRDefault="009F6FDF" w:rsidP="009F6FDF">
      <w:pPr>
        <w:pStyle w:val="EndNoteBibliography"/>
        <w:ind w:left="720" w:hanging="720"/>
        <w:rPr>
          <w:noProof/>
        </w:rPr>
      </w:pPr>
      <w:r w:rsidRPr="009F6FDF">
        <w:rPr>
          <w:noProof/>
        </w:rPr>
        <w:t xml:space="preserve">Avendano, R., Gaillard, N., &amp; Nieto-Parra, S. (2011). Are Working Remittances Relevant for Credit Rating Agencies? </w:t>
      </w:r>
      <w:r w:rsidRPr="009F6FDF">
        <w:rPr>
          <w:i/>
          <w:noProof/>
        </w:rPr>
        <w:t>Review of Development Finance, 1</w:t>
      </w:r>
      <w:r w:rsidRPr="009F6FDF">
        <w:rPr>
          <w:noProof/>
        </w:rPr>
        <w:t>(1), 57-78. doi:</w:t>
      </w:r>
      <w:hyperlink r:id="rId13" w:history="1">
        <w:r w:rsidRPr="009F6FDF">
          <w:rPr>
            <w:rStyle w:val="Hyperlink"/>
            <w:noProof/>
          </w:rPr>
          <w:t>http://dx.doi.org/10.1016/j.rdf.2010.10.003</w:t>
        </w:r>
      </w:hyperlink>
    </w:p>
    <w:p w14:paraId="04A41215" w14:textId="77777777" w:rsidR="009F6FDF" w:rsidRPr="009F6FDF" w:rsidRDefault="009F6FDF" w:rsidP="009F6FDF">
      <w:pPr>
        <w:pStyle w:val="EndNoteBibliography"/>
        <w:ind w:left="720" w:hanging="720"/>
        <w:rPr>
          <w:noProof/>
        </w:rPr>
      </w:pPr>
      <w:r w:rsidRPr="009F6FDF">
        <w:rPr>
          <w:noProof/>
        </w:rPr>
        <w:t xml:space="preserve">Baerg, N. R., Gray, J., &amp; Willisch, J. (2017). </w:t>
      </w:r>
      <w:r w:rsidRPr="009F6FDF">
        <w:rPr>
          <w:i/>
          <w:noProof/>
        </w:rPr>
        <w:t>They Could Have Been Contenders: A Power-Sharing Explanation for Central Bank Independence in Transition Countries</w:t>
      </w:r>
      <w:r w:rsidRPr="009F6FDF">
        <w:rPr>
          <w:noProof/>
        </w:rPr>
        <w:t xml:space="preserve">. Paper presented at the 2017 American Political Science Association Annual Meeting, August 31-September 3, 2017, San Francisco, CA. </w:t>
      </w:r>
    </w:p>
    <w:p w14:paraId="1738292B" w14:textId="77777777" w:rsidR="009F6FDF" w:rsidRPr="009F6FDF" w:rsidRDefault="009F6FDF" w:rsidP="009F6FDF">
      <w:pPr>
        <w:pStyle w:val="EndNoteBibliography"/>
        <w:ind w:left="720" w:hanging="720"/>
        <w:rPr>
          <w:noProof/>
        </w:rPr>
      </w:pPr>
      <w:r w:rsidRPr="009F6FDF">
        <w:rPr>
          <w:noProof/>
        </w:rPr>
        <w:t xml:space="preserve">Banaian, K., Kemme, D. M., &amp; Sargsyan, G. (2008). Inflation Targeting in Armenia: Monetary Policy in Transition. </w:t>
      </w:r>
      <w:r w:rsidRPr="009F6FDF">
        <w:rPr>
          <w:i/>
          <w:noProof/>
        </w:rPr>
        <w:t>Comparative Economic Studies, 50</w:t>
      </w:r>
      <w:r w:rsidRPr="009F6FDF">
        <w:rPr>
          <w:noProof/>
        </w:rPr>
        <w:t>(3), 421-437. doi:10.1057/ces.2008.22</w:t>
      </w:r>
    </w:p>
    <w:p w14:paraId="30BF55D4" w14:textId="77777777" w:rsidR="009F6FDF" w:rsidRPr="009F6FDF" w:rsidRDefault="009F6FDF" w:rsidP="009F6FDF">
      <w:pPr>
        <w:pStyle w:val="EndNoteBibliography"/>
        <w:ind w:left="720" w:hanging="720"/>
        <w:rPr>
          <w:noProof/>
        </w:rPr>
      </w:pPr>
      <w:r w:rsidRPr="009F6FDF">
        <w:rPr>
          <w:noProof/>
        </w:rPr>
        <w:t xml:space="preserve">Barajas, A., Chami, R., Ebeke, C., &amp; Oeking, A. (2016). </w:t>
      </w:r>
      <w:r w:rsidRPr="009F6FDF">
        <w:rPr>
          <w:i/>
          <w:noProof/>
        </w:rPr>
        <w:t>What’s Different about Monetary Policy Transmission in Remittance-Dependent Countries?</w:t>
      </w:r>
      <w:r w:rsidRPr="009F6FDF">
        <w:rPr>
          <w:noProof/>
        </w:rPr>
        <w:t xml:space="preserve"> Retrieved from Washington, D.C.: file:///Users/CarolinaGarriga/Downloads/_wp1644.pdf</w:t>
      </w:r>
    </w:p>
    <w:p w14:paraId="5B262955" w14:textId="77777777" w:rsidR="009F6FDF" w:rsidRPr="009F6FDF" w:rsidRDefault="009F6FDF" w:rsidP="009F6FDF">
      <w:pPr>
        <w:pStyle w:val="EndNoteBibliography"/>
        <w:ind w:left="720" w:hanging="720"/>
        <w:rPr>
          <w:noProof/>
        </w:rPr>
      </w:pPr>
      <w:r w:rsidRPr="009F6FDF">
        <w:rPr>
          <w:noProof/>
        </w:rPr>
        <w:t xml:space="preserve">Bearce, D. H. (2002). Monetary Divergence: Domestic Political Institutions and the Monetary Autonomy-Exchange Rate Stability Trade-off. </w:t>
      </w:r>
      <w:r w:rsidRPr="009F6FDF">
        <w:rPr>
          <w:i/>
          <w:noProof/>
        </w:rPr>
        <w:t>Comparative Political Studies, 35</w:t>
      </w:r>
      <w:r w:rsidRPr="009F6FDF">
        <w:rPr>
          <w:noProof/>
        </w:rPr>
        <w:t xml:space="preserve">(2), 194-220. </w:t>
      </w:r>
    </w:p>
    <w:p w14:paraId="153AC4C6" w14:textId="77777777" w:rsidR="009F6FDF" w:rsidRPr="009F6FDF" w:rsidRDefault="009F6FDF" w:rsidP="009F6FDF">
      <w:pPr>
        <w:pStyle w:val="EndNoteBibliography"/>
        <w:ind w:left="720" w:hanging="720"/>
        <w:rPr>
          <w:noProof/>
        </w:rPr>
      </w:pPr>
      <w:r w:rsidRPr="009F6FDF">
        <w:rPr>
          <w:noProof/>
        </w:rPr>
        <w:t xml:space="preserve">Bearce, D. H. (2008). Not Complements, But Substitutes: Fixed Exchange Rate Commitments, Central Bank Independence, and External Currency Stability. </w:t>
      </w:r>
      <w:r w:rsidRPr="009F6FDF">
        <w:rPr>
          <w:i/>
          <w:noProof/>
        </w:rPr>
        <w:t>International Studies Quarterly, 52</w:t>
      </w:r>
      <w:r w:rsidRPr="009F6FDF">
        <w:rPr>
          <w:noProof/>
        </w:rPr>
        <w:t xml:space="preserve">(4), 807-824. </w:t>
      </w:r>
    </w:p>
    <w:p w14:paraId="38EC3FFC" w14:textId="77777777" w:rsidR="009F6FDF" w:rsidRPr="009F6FDF" w:rsidRDefault="009F6FDF" w:rsidP="009F6FDF">
      <w:pPr>
        <w:pStyle w:val="EndNoteBibliography"/>
        <w:ind w:left="720" w:hanging="720"/>
        <w:rPr>
          <w:noProof/>
        </w:rPr>
      </w:pPr>
      <w:r w:rsidRPr="009F6FDF">
        <w:rPr>
          <w:noProof/>
        </w:rPr>
        <w:lastRenderedPageBreak/>
        <w:t xml:space="preserve">Bearce, D. H. (2014). A Political Explanation for Exchange-Rate Regime Gaps. </w:t>
      </w:r>
      <w:r w:rsidRPr="009F6FDF">
        <w:rPr>
          <w:i/>
          <w:noProof/>
        </w:rPr>
        <w:t>The Journal of Politics, 76</w:t>
      </w:r>
      <w:r w:rsidRPr="009F6FDF">
        <w:rPr>
          <w:noProof/>
        </w:rPr>
        <w:t>(01), 58-72. doi:doi:10.1017/S0022381613001047</w:t>
      </w:r>
    </w:p>
    <w:p w14:paraId="001F1CBD" w14:textId="77777777" w:rsidR="009F6FDF" w:rsidRPr="009F6FDF" w:rsidRDefault="009F6FDF" w:rsidP="009F6FDF">
      <w:pPr>
        <w:pStyle w:val="EndNoteBibliography"/>
        <w:ind w:left="720" w:hanging="720"/>
        <w:rPr>
          <w:noProof/>
        </w:rPr>
      </w:pPr>
      <w:r w:rsidRPr="009F6FDF">
        <w:rPr>
          <w:noProof/>
        </w:rPr>
        <w:t xml:space="preserve">Bearce, D. H., &amp; Hallerberg, M. (2011). Democracy and de Facto Exchange Rate Regimes. </w:t>
      </w:r>
      <w:r w:rsidRPr="009F6FDF">
        <w:rPr>
          <w:i/>
          <w:noProof/>
        </w:rPr>
        <w:t>Economics &amp; Politics, 23</w:t>
      </w:r>
      <w:r w:rsidRPr="009F6FDF">
        <w:rPr>
          <w:noProof/>
        </w:rPr>
        <w:t>(2), 172-194. doi:10.1111/j.1468-0343.2011.00381.x</w:t>
      </w:r>
    </w:p>
    <w:p w14:paraId="02750BB9" w14:textId="77777777" w:rsidR="009F6FDF" w:rsidRPr="009F6FDF" w:rsidRDefault="009F6FDF" w:rsidP="009F6FDF">
      <w:pPr>
        <w:pStyle w:val="EndNoteBibliography"/>
        <w:ind w:left="720" w:hanging="720"/>
        <w:rPr>
          <w:noProof/>
        </w:rPr>
      </w:pPr>
      <w:r w:rsidRPr="009F6FDF">
        <w:rPr>
          <w:noProof/>
        </w:rPr>
        <w:t xml:space="preserve">Bearce, D. H., &amp; Tuxhorn, K.-L. (2017). When Are Monetary Policy Preferences Egocentric? Evidence from American Surveys and an Experiment. </w:t>
      </w:r>
      <w:r w:rsidRPr="009F6FDF">
        <w:rPr>
          <w:i/>
          <w:noProof/>
        </w:rPr>
        <w:t>American Journal of Political Science, 61</w:t>
      </w:r>
      <w:r w:rsidRPr="009F6FDF">
        <w:rPr>
          <w:noProof/>
        </w:rPr>
        <w:t>(1), 178-193. doi:10.1111/ajps.12203</w:t>
      </w:r>
    </w:p>
    <w:p w14:paraId="262618D7" w14:textId="77777777" w:rsidR="009F6FDF" w:rsidRPr="009F6FDF" w:rsidRDefault="009F6FDF" w:rsidP="009F6FDF">
      <w:pPr>
        <w:pStyle w:val="EndNoteBibliography"/>
        <w:ind w:left="720" w:hanging="720"/>
        <w:rPr>
          <w:noProof/>
        </w:rPr>
      </w:pPr>
      <w:r w:rsidRPr="006D0866">
        <w:rPr>
          <w:noProof/>
          <w:lang w:val="es-ES"/>
        </w:rPr>
        <w:t xml:space="preserve">Bermeo, S. B., &amp; Leblang, D. (2015). </w:t>
      </w:r>
      <w:r w:rsidRPr="009F6FDF">
        <w:rPr>
          <w:noProof/>
        </w:rPr>
        <w:t xml:space="preserve">Migration and Foreign Aid. </w:t>
      </w:r>
      <w:r w:rsidRPr="009F6FDF">
        <w:rPr>
          <w:i/>
          <w:noProof/>
        </w:rPr>
        <w:t>International Organization, 69</w:t>
      </w:r>
      <w:r w:rsidRPr="009F6FDF">
        <w:rPr>
          <w:noProof/>
        </w:rPr>
        <w:t>(3), 627-657. doi:10.1017/S0020818315000119</w:t>
      </w:r>
    </w:p>
    <w:p w14:paraId="6FE4EFDD" w14:textId="77777777" w:rsidR="009F6FDF" w:rsidRPr="009F6FDF" w:rsidRDefault="009F6FDF" w:rsidP="009F6FDF">
      <w:pPr>
        <w:pStyle w:val="EndNoteBibliography"/>
        <w:ind w:left="720" w:hanging="720"/>
        <w:rPr>
          <w:noProof/>
        </w:rPr>
      </w:pPr>
      <w:r w:rsidRPr="009F6FDF">
        <w:rPr>
          <w:noProof/>
        </w:rPr>
        <w:t xml:space="preserve">Bernhard, W., Broz, J. L., &amp; Clark, W. R. (2002). The Political Economy of Monetary Institutions. </w:t>
      </w:r>
      <w:r w:rsidRPr="009F6FDF">
        <w:rPr>
          <w:i/>
          <w:noProof/>
        </w:rPr>
        <w:t>International Organization, 56</w:t>
      </w:r>
      <w:r w:rsidRPr="009F6FDF">
        <w:rPr>
          <w:noProof/>
        </w:rPr>
        <w:t xml:space="preserve">(4, The Political Economy of Monetary Institutions), 693-723. </w:t>
      </w:r>
    </w:p>
    <w:p w14:paraId="4F9345F8" w14:textId="76429667" w:rsidR="009F6FDF" w:rsidRPr="009F6FDF" w:rsidRDefault="009F6FDF" w:rsidP="009F6FDF">
      <w:pPr>
        <w:pStyle w:val="EndNoteBibliography"/>
        <w:ind w:left="720" w:hanging="720"/>
        <w:rPr>
          <w:noProof/>
        </w:rPr>
      </w:pPr>
      <w:r w:rsidRPr="009F6FDF">
        <w:rPr>
          <w:noProof/>
        </w:rPr>
        <w:t xml:space="preserve">Blundell, R., &amp; Bond, S. (1998). Initial Conditions and Moment Restrictions in Dynamic Panel Data Models. </w:t>
      </w:r>
      <w:r w:rsidRPr="009F6FDF">
        <w:rPr>
          <w:i/>
          <w:noProof/>
        </w:rPr>
        <w:t>Journal of Econometrics, 87</w:t>
      </w:r>
      <w:r w:rsidRPr="009F6FDF">
        <w:rPr>
          <w:noProof/>
        </w:rPr>
        <w:t>(1), 115-143. doi:</w:t>
      </w:r>
      <w:hyperlink r:id="rId14" w:history="1">
        <w:r w:rsidRPr="009F6FDF">
          <w:rPr>
            <w:rStyle w:val="Hyperlink"/>
            <w:noProof/>
          </w:rPr>
          <w:t>http://dx.doi.org/10.1016/S0304-4076(98)00009-8</w:t>
        </w:r>
      </w:hyperlink>
    </w:p>
    <w:p w14:paraId="1ADE20CB" w14:textId="77777777" w:rsidR="009F6FDF" w:rsidRPr="009F6FDF" w:rsidRDefault="009F6FDF" w:rsidP="009F6FDF">
      <w:pPr>
        <w:pStyle w:val="EndNoteBibliography"/>
        <w:ind w:left="720" w:hanging="720"/>
        <w:rPr>
          <w:noProof/>
        </w:rPr>
      </w:pPr>
      <w:r w:rsidRPr="009F6FDF">
        <w:rPr>
          <w:noProof/>
        </w:rPr>
        <w:t xml:space="preserve">Bodea, C. (2010). Exchange Rate Regimes and Independent Central Banks: A Correlated Choice of Imperfectly Credible Institutions. </w:t>
      </w:r>
      <w:r w:rsidRPr="009F6FDF">
        <w:rPr>
          <w:i/>
          <w:noProof/>
        </w:rPr>
        <w:t>International Organization, 64</w:t>
      </w:r>
      <w:r w:rsidRPr="009F6FDF">
        <w:rPr>
          <w:noProof/>
        </w:rPr>
        <w:t xml:space="preserve">(3), 411-442. </w:t>
      </w:r>
    </w:p>
    <w:p w14:paraId="3D2080FC" w14:textId="77777777" w:rsidR="009F6FDF" w:rsidRPr="009F6FDF" w:rsidRDefault="009F6FDF" w:rsidP="009F6FDF">
      <w:pPr>
        <w:pStyle w:val="EndNoteBibliography"/>
        <w:ind w:left="720" w:hanging="720"/>
        <w:rPr>
          <w:noProof/>
        </w:rPr>
      </w:pPr>
      <w:r w:rsidRPr="009F6FDF">
        <w:rPr>
          <w:noProof/>
        </w:rPr>
        <w:t xml:space="preserve">Bodea, C., Garriga, A. C., &amp; Higashijima, M. (forthcoming). Economic Institutions and Autocratic Breakdown: Monetary Constraints and Fiscal Spending in Dominant-Party Regimes. </w:t>
      </w:r>
      <w:r w:rsidRPr="009F6FDF">
        <w:rPr>
          <w:i/>
          <w:noProof/>
        </w:rPr>
        <w:t>Journal of Politics</w:t>
      </w:r>
      <w:r w:rsidRPr="009F6FDF">
        <w:rPr>
          <w:noProof/>
        </w:rPr>
        <w:t xml:space="preserve">. </w:t>
      </w:r>
    </w:p>
    <w:p w14:paraId="3F120A5C" w14:textId="77777777" w:rsidR="009F6FDF" w:rsidRPr="009F6FDF" w:rsidRDefault="009F6FDF" w:rsidP="009F6FDF">
      <w:pPr>
        <w:pStyle w:val="EndNoteBibliography"/>
        <w:ind w:left="720" w:hanging="720"/>
        <w:rPr>
          <w:noProof/>
        </w:rPr>
      </w:pPr>
      <w:r w:rsidRPr="009F6FDF">
        <w:rPr>
          <w:noProof/>
        </w:rPr>
        <w:t xml:space="preserve">Bodea, C., &amp; Hicks, R. (2015a). International Finance and Central Bank Independence: Institutional Diffusion and the Flow and Cost of Capital. </w:t>
      </w:r>
      <w:r w:rsidRPr="009F6FDF">
        <w:rPr>
          <w:i/>
          <w:noProof/>
        </w:rPr>
        <w:t>Journal of Politics, 77</w:t>
      </w:r>
      <w:r w:rsidRPr="009F6FDF">
        <w:rPr>
          <w:noProof/>
        </w:rPr>
        <w:t xml:space="preserve">(1), 268-284. </w:t>
      </w:r>
    </w:p>
    <w:p w14:paraId="4E468D12" w14:textId="77777777" w:rsidR="009F6FDF" w:rsidRPr="009F6FDF" w:rsidRDefault="009F6FDF" w:rsidP="009F6FDF">
      <w:pPr>
        <w:pStyle w:val="EndNoteBibliography"/>
        <w:ind w:left="720" w:hanging="720"/>
        <w:rPr>
          <w:noProof/>
        </w:rPr>
      </w:pPr>
      <w:r w:rsidRPr="009F6FDF">
        <w:rPr>
          <w:noProof/>
        </w:rPr>
        <w:t xml:space="preserve">Bodea, C., &amp; Hicks, R. (2015b). Price Stability and Central Bank Independence: Discipline, Credibility, and Democratic Institutions. </w:t>
      </w:r>
      <w:r w:rsidRPr="009F6FDF">
        <w:rPr>
          <w:i/>
          <w:noProof/>
        </w:rPr>
        <w:t>International Organization, 69</w:t>
      </w:r>
      <w:r w:rsidRPr="009F6FDF">
        <w:rPr>
          <w:noProof/>
        </w:rPr>
        <w:t>(01), 35-61. doi:doi:10.1017/S0020818314000277</w:t>
      </w:r>
    </w:p>
    <w:p w14:paraId="7B15A248" w14:textId="77777777" w:rsidR="009F6FDF" w:rsidRPr="009F6FDF" w:rsidRDefault="009F6FDF" w:rsidP="009F6FDF">
      <w:pPr>
        <w:pStyle w:val="EndNoteBibliography"/>
        <w:ind w:left="720" w:hanging="720"/>
        <w:rPr>
          <w:noProof/>
        </w:rPr>
      </w:pPr>
      <w:r w:rsidRPr="009F6FDF">
        <w:rPr>
          <w:noProof/>
        </w:rPr>
        <w:t xml:space="preserve">Boylan, D. M. (1998). Preemptive Strike: Central Bank Reform in Chile's Transition from Authoritarian Rule. </w:t>
      </w:r>
      <w:r w:rsidRPr="009F6FDF">
        <w:rPr>
          <w:i/>
          <w:noProof/>
        </w:rPr>
        <w:t>Comparative Politics, 30</w:t>
      </w:r>
      <w:r w:rsidRPr="009F6FDF">
        <w:rPr>
          <w:noProof/>
        </w:rPr>
        <w:t xml:space="preserve">(4), 443-462. </w:t>
      </w:r>
    </w:p>
    <w:p w14:paraId="72DBAB6A" w14:textId="77777777" w:rsidR="009F6FDF" w:rsidRPr="009F6FDF" w:rsidRDefault="009F6FDF" w:rsidP="009F6FDF">
      <w:pPr>
        <w:pStyle w:val="EndNoteBibliography"/>
        <w:ind w:left="720" w:hanging="720"/>
        <w:rPr>
          <w:noProof/>
        </w:rPr>
      </w:pPr>
      <w:r w:rsidRPr="009F6FDF">
        <w:rPr>
          <w:noProof/>
        </w:rPr>
        <w:t xml:space="preserve">Boylan, D. M. (2001). </w:t>
      </w:r>
      <w:r w:rsidRPr="009F6FDF">
        <w:rPr>
          <w:i/>
          <w:noProof/>
        </w:rPr>
        <w:t>Defusing Democracy</w:t>
      </w:r>
      <w:r w:rsidRPr="009F6FDF">
        <w:rPr>
          <w:noProof/>
        </w:rPr>
        <w:t>. Ann Arbor, MI: University of Michigan Press.</w:t>
      </w:r>
    </w:p>
    <w:p w14:paraId="311803D1" w14:textId="77777777" w:rsidR="009F6FDF" w:rsidRPr="009F6FDF" w:rsidRDefault="009F6FDF" w:rsidP="009F6FDF">
      <w:pPr>
        <w:pStyle w:val="EndNoteBibliography"/>
        <w:ind w:left="720" w:hanging="720"/>
        <w:rPr>
          <w:noProof/>
        </w:rPr>
      </w:pPr>
      <w:r w:rsidRPr="009F6FDF">
        <w:rPr>
          <w:noProof/>
        </w:rPr>
        <w:t xml:space="preserve">Broz, J. L. (2002). Political System Transparency and Monetary Commitment Regimes. </w:t>
      </w:r>
      <w:r w:rsidRPr="009F6FDF">
        <w:rPr>
          <w:i/>
          <w:noProof/>
        </w:rPr>
        <w:t>International Organization, 56</w:t>
      </w:r>
      <w:r w:rsidRPr="009F6FDF">
        <w:rPr>
          <w:noProof/>
        </w:rPr>
        <w:t xml:space="preserve">(4), 861-887. </w:t>
      </w:r>
    </w:p>
    <w:p w14:paraId="5C856ADA" w14:textId="77777777" w:rsidR="003C7AEB" w:rsidRPr="003C7AEB" w:rsidRDefault="003C7AEB" w:rsidP="003C7AEB">
      <w:pPr>
        <w:pStyle w:val="EndNoteBibliography"/>
        <w:ind w:left="720" w:hanging="720"/>
        <w:rPr>
          <w:noProof/>
        </w:rPr>
      </w:pPr>
      <w:r w:rsidRPr="003C7AEB">
        <w:rPr>
          <w:noProof/>
        </w:rPr>
        <w:t xml:space="preserve">Bugamelli, Matteo and Francesco Paterno. 2009. “Do Workers’ Remittances Reduce the Probability of Current Account Reversals?” </w:t>
      </w:r>
      <w:r w:rsidRPr="003C7AEB">
        <w:rPr>
          <w:i/>
          <w:noProof/>
        </w:rPr>
        <w:t>World Development</w:t>
      </w:r>
      <w:r w:rsidRPr="003C7AEB">
        <w:rPr>
          <w:noProof/>
        </w:rPr>
        <w:t xml:space="preserve"> Vol. 37(12): 1821–1838.</w:t>
      </w:r>
    </w:p>
    <w:p w14:paraId="29C61DBD" w14:textId="77777777" w:rsidR="009F6FDF" w:rsidRPr="009F6FDF" w:rsidRDefault="009F6FDF" w:rsidP="009F6FDF">
      <w:pPr>
        <w:pStyle w:val="EndNoteBibliography"/>
        <w:ind w:left="720" w:hanging="720"/>
        <w:rPr>
          <w:noProof/>
        </w:rPr>
      </w:pPr>
      <w:r w:rsidRPr="009F6FDF">
        <w:rPr>
          <w:noProof/>
        </w:rPr>
        <w:t xml:space="preserve">Calvo, G. A., &amp; Reinhart, C. M. (2002). Fear of Floating. </w:t>
      </w:r>
      <w:r w:rsidRPr="009F6FDF">
        <w:rPr>
          <w:i/>
          <w:noProof/>
        </w:rPr>
        <w:t>The Quarterly Journal of Economics, 117</w:t>
      </w:r>
      <w:r w:rsidRPr="009F6FDF">
        <w:rPr>
          <w:noProof/>
        </w:rPr>
        <w:t>(2), 379-408. doi:10.1162/003355302753650274</w:t>
      </w:r>
    </w:p>
    <w:p w14:paraId="43BD48D9" w14:textId="77777777" w:rsidR="009F6FDF" w:rsidRPr="009F6FDF" w:rsidRDefault="009F6FDF" w:rsidP="009F6FDF">
      <w:pPr>
        <w:pStyle w:val="EndNoteBibliography"/>
        <w:ind w:left="720" w:hanging="720"/>
        <w:rPr>
          <w:noProof/>
        </w:rPr>
      </w:pPr>
      <w:r w:rsidRPr="006D0866">
        <w:rPr>
          <w:noProof/>
          <w:lang w:val="es-ES"/>
        </w:rPr>
        <w:t xml:space="preserve">Chami, R., Barajas, A., Cosimano, T., Fullenkamp, C., Gapen, M., &amp; Montiel, P. (2008). </w:t>
      </w:r>
      <w:r w:rsidRPr="009F6FDF">
        <w:rPr>
          <w:i/>
          <w:noProof/>
        </w:rPr>
        <w:t>Macroeconomic Consequences of Remittances</w:t>
      </w:r>
      <w:r w:rsidRPr="009F6FDF">
        <w:rPr>
          <w:noProof/>
        </w:rPr>
        <w:t xml:space="preserve">. Retrieved from Washington, D.C.: </w:t>
      </w:r>
    </w:p>
    <w:p w14:paraId="68153FC7" w14:textId="77777777" w:rsidR="009F6FDF" w:rsidRPr="009F6FDF" w:rsidRDefault="009F6FDF" w:rsidP="009F6FDF">
      <w:pPr>
        <w:pStyle w:val="EndNoteBibliography"/>
        <w:ind w:left="720" w:hanging="720"/>
        <w:rPr>
          <w:noProof/>
        </w:rPr>
      </w:pPr>
      <w:r w:rsidRPr="009F6FDF">
        <w:rPr>
          <w:noProof/>
        </w:rPr>
        <w:t xml:space="preserve">Chinn, M., &amp; Ito, H. (2008). A New Measure of Financial Openness. </w:t>
      </w:r>
      <w:r w:rsidRPr="009F6FDF">
        <w:rPr>
          <w:i/>
          <w:noProof/>
        </w:rPr>
        <w:t>Journal of Comparative Policy Analysis, 10</w:t>
      </w:r>
      <w:r w:rsidRPr="009F6FDF">
        <w:rPr>
          <w:noProof/>
        </w:rPr>
        <w:t xml:space="preserve">(3), 309-322. </w:t>
      </w:r>
    </w:p>
    <w:p w14:paraId="3CF4C75B" w14:textId="77777777" w:rsidR="009F6FDF" w:rsidRPr="009F6FDF" w:rsidRDefault="009F6FDF" w:rsidP="009F6FDF">
      <w:pPr>
        <w:pStyle w:val="EndNoteBibliography"/>
        <w:ind w:left="720" w:hanging="720"/>
        <w:rPr>
          <w:noProof/>
        </w:rPr>
      </w:pPr>
      <w:r w:rsidRPr="009F6FDF">
        <w:rPr>
          <w:noProof/>
        </w:rPr>
        <w:t xml:space="preserve">Chiu, E. M. P., &amp; Willett, T. D. (2009). The Interactions of Strength of Governments and Alternative Exchange Rate Regimes in Avoiding Currency Crises. </w:t>
      </w:r>
      <w:r w:rsidRPr="009F6FDF">
        <w:rPr>
          <w:i/>
          <w:noProof/>
        </w:rPr>
        <w:t>International Studies Quarterly, 53</w:t>
      </w:r>
      <w:r w:rsidRPr="009F6FDF">
        <w:rPr>
          <w:noProof/>
        </w:rPr>
        <w:t xml:space="preserve">(4), 1001-1025. </w:t>
      </w:r>
    </w:p>
    <w:p w14:paraId="4558F997" w14:textId="77777777" w:rsidR="009F6FDF" w:rsidRPr="009F6FDF" w:rsidRDefault="009F6FDF" w:rsidP="009F6FDF">
      <w:pPr>
        <w:pStyle w:val="EndNoteBibliography"/>
        <w:ind w:left="720" w:hanging="720"/>
        <w:rPr>
          <w:noProof/>
        </w:rPr>
      </w:pPr>
      <w:r w:rsidRPr="009F6FDF">
        <w:rPr>
          <w:noProof/>
        </w:rPr>
        <w:t xml:space="preserve">Clark, W. R. (2002). Partisan and Electoral Motivations and the Choice of Monetary Institutions under Fully Mobile Capital. </w:t>
      </w:r>
      <w:r w:rsidRPr="009F6FDF">
        <w:rPr>
          <w:i/>
          <w:noProof/>
        </w:rPr>
        <w:t>International Organization, 56</w:t>
      </w:r>
      <w:r w:rsidRPr="009F6FDF">
        <w:rPr>
          <w:noProof/>
        </w:rPr>
        <w:t xml:space="preserve">(4, The Political Economy of Monetary Institutions), 725-749. </w:t>
      </w:r>
    </w:p>
    <w:p w14:paraId="17099011" w14:textId="2F3CB7ED" w:rsidR="009F6FDF" w:rsidRPr="009F6FDF" w:rsidRDefault="009F6FDF" w:rsidP="009F6FDF">
      <w:pPr>
        <w:pStyle w:val="EndNoteBibliography"/>
        <w:ind w:left="720" w:hanging="720"/>
        <w:rPr>
          <w:noProof/>
        </w:rPr>
      </w:pPr>
      <w:r w:rsidRPr="009F6FDF">
        <w:rPr>
          <w:noProof/>
        </w:rPr>
        <w:lastRenderedPageBreak/>
        <w:t xml:space="preserve">Combes, J.-L., &amp; Ebeke, C. (2011). Remittances and Household Consumption Instability in Developing Countries. </w:t>
      </w:r>
      <w:r w:rsidRPr="009F6FDF">
        <w:rPr>
          <w:i/>
          <w:noProof/>
        </w:rPr>
        <w:t>World Development, 39</w:t>
      </w:r>
      <w:r w:rsidRPr="009F6FDF">
        <w:rPr>
          <w:noProof/>
        </w:rPr>
        <w:t>(7), 1076-1089. doi:</w:t>
      </w:r>
      <w:hyperlink r:id="rId15" w:history="1">
        <w:r w:rsidRPr="009F6FDF">
          <w:rPr>
            <w:rStyle w:val="Hyperlink"/>
            <w:noProof/>
          </w:rPr>
          <w:t>http://dx.doi.org/10.1016/j.worlddev.2010.10.006</w:t>
        </w:r>
      </w:hyperlink>
    </w:p>
    <w:p w14:paraId="59C99366" w14:textId="77777777" w:rsidR="009F6FDF" w:rsidRPr="009F6FDF" w:rsidRDefault="009F6FDF" w:rsidP="009F6FDF">
      <w:pPr>
        <w:pStyle w:val="EndNoteBibliography"/>
        <w:ind w:left="720" w:hanging="720"/>
        <w:rPr>
          <w:noProof/>
        </w:rPr>
      </w:pPr>
      <w:r w:rsidRPr="009F6FDF">
        <w:rPr>
          <w:noProof/>
        </w:rPr>
        <w:t xml:space="preserve">Combes, J.-L., Ebeke, C., &amp; Maurel, M. (2015). The Effect of Remittances Prior to an Election. </w:t>
      </w:r>
      <w:r w:rsidRPr="009F6FDF">
        <w:rPr>
          <w:i/>
          <w:noProof/>
        </w:rPr>
        <w:t>Applied Economics, 47</w:t>
      </w:r>
      <w:r w:rsidRPr="009F6FDF">
        <w:rPr>
          <w:noProof/>
        </w:rPr>
        <w:t>(38), 4074-4089. doi:10.1080/00036846.2015.1023945</w:t>
      </w:r>
    </w:p>
    <w:p w14:paraId="1E41F33F" w14:textId="77777777" w:rsidR="009F6FDF" w:rsidRPr="009F6FDF" w:rsidRDefault="009F6FDF" w:rsidP="009F6FDF">
      <w:pPr>
        <w:pStyle w:val="EndNoteBibliography"/>
        <w:ind w:left="720" w:hanging="720"/>
        <w:rPr>
          <w:noProof/>
        </w:rPr>
      </w:pPr>
      <w:r w:rsidRPr="009F6FDF">
        <w:rPr>
          <w:noProof/>
        </w:rPr>
        <w:t xml:space="preserve">Cukierman, A., Webb, S. B., &amp; Neyapti, B. (1992). Measuring the Independence of Central Banks and Its Effect on Policy Outcome. </w:t>
      </w:r>
      <w:r w:rsidRPr="009F6FDF">
        <w:rPr>
          <w:i/>
          <w:noProof/>
        </w:rPr>
        <w:t>The World Bank Economic Review, 6</w:t>
      </w:r>
      <w:r w:rsidRPr="009F6FDF">
        <w:rPr>
          <w:noProof/>
        </w:rPr>
        <w:t xml:space="preserve">(1), 353-398. </w:t>
      </w:r>
    </w:p>
    <w:p w14:paraId="25BDFD2F" w14:textId="77777777" w:rsidR="009F6FDF" w:rsidRPr="009F6FDF" w:rsidRDefault="009F6FDF" w:rsidP="009F6FDF">
      <w:pPr>
        <w:pStyle w:val="EndNoteBibliography"/>
        <w:ind w:left="720" w:hanging="720"/>
        <w:rPr>
          <w:noProof/>
        </w:rPr>
      </w:pPr>
      <w:r w:rsidRPr="009F6FDF">
        <w:rPr>
          <w:noProof/>
        </w:rPr>
        <w:t xml:space="preserve">Dion, M. (2009). Globalization, Democracy, and Mexican Welfare, 1988–2006. </w:t>
      </w:r>
      <w:r w:rsidRPr="009F6FDF">
        <w:rPr>
          <w:i/>
          <w:noProof/>
        </w:rPr>
        <w:t>Comparative Politics, 49</w:t>
      </w:r>
      <w:r w:rsidRPr="009F6FDF">
        <w:rPr>
          <w:noProof/>
        </w:rPr>
        <w:t xml:space="preserve">(1), 63-82. </w:t>
      </w:r>
    </w:p>
    <w:p w14:paraId="0DAC61E4" w14:textId="77777777" w:rsidR="009F6FDF" w:rsidRPr="009F6FDF" w:rsidRDefault="009F6FDF" w:rsidP="009F6FDF">
      <w:pPr>
        <w:pStyle w:val="EndNoteBibliography"/>
        <w:ind w:left="720" w:hanging="720"/>
        <w:rPr>
          <w:noProof/>
        </w:rPr>
      </w:pPr>
      <w:r w:rsidRPr="009F6FDF">
        <w:rPr>
          <w:noProof/>
        </w:rPr>
        <w:t xml:space="preserve">Doyle, D. (2015). Remittances and Social Spending. </w:t>
      </w:r>
      <w:r w:rsidRPr="009F6FDF">
        <w:rPr>
          <w:i/>
          <w:noProof/>
        </w:rPr>
        <w:t>American Political Science Review, 109</w:t>
      </w:r>
      <w:r w:rsidRPr="009F6FDF">
        <w:rPr>
          <w:noProof/>
        </w:rPr>
        <w:t>(04), 785-802. doi:doi:10.1017/S0003055415000416</w:t>
      </w:r>
    </w:p>
    <w:p w14:paraId="113F9B1D" w14:textId="77777777" w:rsidR="009F6FDF" w:rsidRPr="009F6FDF" w:rsidRDefault="009F6FDF" w:rsidP="009F6FDF">
      <w:pPr>
        <w:pStyle w:val="EndNoteBibliography"/>
        <w:ind w:left="720" w:hanging="720"/>
        <w:rPr>
          <w:noProof/>
        </w:rPr>
      </w:pPr>
      <w:r w:rsidRPr="009F6FDF">
        <w:rPr>
          <w:noProof/>
        </w:rPr>
        <w:t xml:space="preserve">Duquette-Rury, L. (2014). Collective Remittances and Transnational Coproduction: the 3 × 1 Program for Migrants and Household Access to Public Goods in Mexico. </w:t>
      </w:r>
      <w:r w:rsidRPr="009F6FDF">
        <w:rPr>
          <w:i/>
          <w:noProof/>
        </w:rPr>
        <w:t>Studies in Comparative International Development, 49</w:t>
      </w:r>
      <w:r w:rsidRPr="009F6FDF">
        <w:rPr>
          <w:noProof/>
        </w:rPr>
        <w:t>(1), 112-139. doi:10.1007/s12116-014-9153-3</w:t>
      </w:r>
    </w:p>
    <w:p w14:paraId="5A602C75" w14:textId="77777777" w:rsidR="009F6FDF" w:rsidRPr="009F6FDF" w:rsidRDefault="009F6FDF" w:rsidP="009F6FDF">
      <w:pPr>
        <w:pStyle w:val="EndNoteBibliography"/>
        <w:ind w:left="720" w:hanging="720"/>
        <w:rPr>
          <w:noProof/>
        </w:rPr>
      </w:pPr>
      <w:bookmarkStart w:id="3" w:name="_Hlk100509"/>
      <w:r w:rsidRPr="009F6FDF">
        <w:rPr>
          <w:noProof/>
        </w:rPr>
        <w:t xml:space="preserve">Easton, M. R., &amp; Montinola, G. R. (2016). Remittances, Regime Type, and Government Spending Priorities. </w:t>
      </w:r>
      <w:r w:rsidRPr="009F6FDF">
        <w:rPr>
          <w:i/>
          <w:noProof/>
        </w:rPr>
        <w:t>Studies in Comparative International Development</w:t>
      </w:r>
      <w:r w:rsidRPr="009F6FDF">
        <w:rPr>
          <w:noProof/>
        </w:rPr>
        <w:t>, 1-23. doi:10.1007/s12116-016-9233-7</w:t>
      </w:r>
    </w:p>
    <w:bookmarkEnd w:id="3"/>
    <w:p w14:paraId="09D0CB1B" w14:textId="77777777" w:rsidR="009F6FDF" w:rsidRPr="009F6FDF" w:rsidRDefault="009F6FDF" w:rsidP="009F6FDF">
      <w:pPr>
        <w:pStyle w:val="EndNoteBibliography"/>
        <w:ind w:left="720" w:hanging="720"/>
        <w:rPr>
          <w:noProof/>
        </w:rPr>
      </w:pPr>
      <w:r w:rsidRPr="009F6FDF">
        <w:rPr>
          <w:noProof/>
        </w:rPr>
        <w:t xml:space="preserve">Ebeke, C. H. (2012). Do Remittances Lead to a Public Moral Hazard in Developing Countries? An Empirical Investigation. </w:t>
      </w:r>
      <w:r w:rsidRPr="009F6FDF">
        <w:rPr>
          <w:i/>
          <w:noProof/>
        </w:rPr>
        <w:t>The Journal of Development Studies, 48</w:t>
      </w:r>
      <w:r w:rsidRPr="009F6FDF">
        <w:rPr>
          <w:noProof/>
        </w:rPr>
        <w:t>(8), 1009-1025. doi:10.1080/00220388.2011.615918</w:t>
      </w:r>
    </w:p>
    <w:p w14:paraId="3DEAD5F5" w14:textId="77777777" w:rsidR="009F6FDF" w:rsidRPr="009F6FDF" w:rsidRDefault="009F6FDF" w:rsidP="009F6FDF">
      <w:pPr>
        <w:pStyle w:val="EndNoteBibliography"/>
        <w:ind w:left="720" w:hanging="720"/>
        <w:rPr>
          <w:noProof/>
        </w:rPr>
      </w:pPr>
      <w:r w:rsidRPr="009F6FDF">
        <w:rPr>
          <w:noProof/>
        </w:rPr>
        <w:t xml:space="preserve">Ebeke, C. H. (2014). Do International Remittances Affect the Level and the Volatility of Government Tax Revenues? . </w:t>
      </w:r>
      <w:r w:rsidRPr="009F6FDF">
        <w:rPr>
          <w:i/>
          <w:noProof/>
        </w:rPr>
        <w:t>Journal of International Development, 26</w:t>
      </w:r>
      <w:r w:rsidRPr="009F6FDF">
        <w:rPr>
          <w:noProof/>
        </w:rPr>
        <w:t>(7), 1039-1053. doi:doi:10.1002/jid.2979</w:t>
      </w:r>
    </w:p>
    <w:p w14:paraId="678D6666" w14:textId="77777777" w:rsidR="009F6FDF" w:rsidRPr="009F6FDF" w:rsidRDefault="009F6FDF" w:rsidP="009F6FDF">
      <w:pPr>
        <w:pStyle w:val="EndNoteBibliography"/>
        <w:ind w:left="720" w:hanging="720"/>
        <w:rPr>
          <w:noProof/>
        </w:rPr>
      </w:pPr>
      <w:r w:rsidRPr="009F6FDF">
        <w:rPr>
          <w:noProof/>
        </w:rPr>
        <w:t xml:space="preserve">Ebeke, C. H., &amp; Drabo, A. (2011). </w:t>
      </w:r>
      <w:r w:rsidRPr="009F6FDF">
        <w:rPr>
          <w:i/>
          <w:noProof/>
        </w:rPr>
        <w:t>Remittances, Public Health Spending and Foreign Aid in the Access to Health Care Services in Developing Countries</w:t>
      </w:r>
      <w:r w:rsidRPr="009F6FDF">
        <w:rPr>
          <w:noProof/>
        </w:rPr>
        <w:t xml:space="preserve">. Etudes et Documents du CERDI.  </w:t>
      </w:r>
    </w:p>
    <w:p w14:paraId="585D9EC1" w14:textId="77777777" w:rsidR="009F6FDF" w:rsidRPr="009F6FDF" w:rsidRDefault="009F6FDF" w:rsidP="009F6FDF">
      <w:pPr>
        <w:pStyle w:val="EndNoteBibliography"/>
        <w:ind w:left="720" w:hanging="720"/>
        <w:rPr>
          <w:noProof/>
        </w:rPr>
      </w:pPr>
      <w:bookmarkStart w:id="4" w:name="_Hlk99091"/>
      <w:r w:rsidRPr="009F6FDF">
        <w:rPr>
          <w:noProof/>
        </w:rPr>
        <w:t xml:space="preserve">Escribà-Folch, A., Meseguer, C., &amp; Wright, J. (2015). Remittances and Democratization. </w:t>
      </w:r>
      <w:r w:rsidRPr="009F6FDF">
        <w:rPr>
          <w:i/>
          <w:noProof/>
        </w:rPr>
        <w:t>International Studies Quarterly, 59</w:t>
      </w:r>
      <w:r w:rsidRPr="009F6FDF">
        <w:rPr>
          <w:noProof/>
        </w:rPr>
        <w:t>(3), 571-586. doi:10.1111/isqu.12180</w:t>
      </w:r>
    </w:p>
    <w:bookmarkEnd w:id="4"/>
    <w:p w14:paraId="0E91F801" w14:textId="77777777" w:rsidR="009F6FDF" w:rsidRPr="009F6FDF" w:rsidRDefault="009F6FDF" w:rsidP="009F6FDF">
      <w:pPr>
        <w:pStyle w:val="EndNoteBibliography"/>
        <w:ind w:left="720" w:hanging="720"/>
        <w:rPr>
          <w:noProof/>
        </w:rPr>
      </w:pPr>
      <w:r w:rsidRPr="009F6FDF">
        <w:rPr>
          <w:noProof/>
        </w:rPr>
        <w:t xml:space="preserve">Fajnzylber, P., &amp; López, J. H. (2008). The Development Impact of Remittances in Latin America. </w:t>
      </w:r>
      <w:r w:rsidRPr="009F6FDF">
        <w:rPr>
          <w:i/>
          <w:noProof/>
        </w:rPr>
        <w:t>Remittances and Development</w:t>
      </w:r>
      <w:r w:rsidRPr="009F6FDF">
        <w:rPr>
          <w:noProof/>
        </w:rPr>
        <w:t xml:space="preserve">, 1. </w:t>
      </w:r>
    </w:p>
    <w:p w14:paraId="0483EF79" w14:textId="77777777" w:rsidR="009F6FDF" w:rsidRPr="009F6FDF" w:rsidRDefault="009F6FDF" w:rsidP="009F6FDF">
      <w:pPr>
        <w:pStyle w:val="EndNoteBibliography"/>
        <w:ind w:left="720" w:hanging="720"/>
        <w:rPr>
          <w:noProof/>
        </w:rPr>
      </w:pPr>
      <w:r w:rsidRPr="009F6FDF">
        <w:rPr>
          <w:noProof/>
        </w:rPr>
        <w:t xml:space="preserve">Fernandez, G., Karacadag, C., &amp; Duttagupta, R. (2004). </w:t>
      </w:r>
      <w:r w:rsidRPr="009F6FDF">
        <w:rPr>
          <w:i/>
          <w:noProof/>
        </w:rPr>
        <w:t>From Fixed to Float: Operational Aspects of Moving towards Exchange Rate Flexibility</w:t>
      </w:r>
      <w:r w:rsidRPr="009F6FDF">
        <w:rPr>
          <w:noProof/>
        </w:rPr>
        <w:t xml:space="preserve"> (1451994486). Retrieved from Washington, D.C.: </w:t>
      </w:r>
    </w:p>
    <w:p w14:paraId="210CB6E3" w14:textId="77777777" w:rsidR="009F6FDF" w:rsidRPr="009F6FDF" w:rsidRDefault="009F6FDF" w:rsidP="009F6FDF">
      <w:pPr>
        <w:pStyle w:val="EndNoteBibliography"/>
        <w:ind w:left="720" w:hanging="720"/>
        <w:rPr>
          <w:noProof/>
        </w:rPr>
      </w:pPr>
      <w:r w:rsidRPr="009F6FDF">
        <w:rPr>
          <w:noProof/>
        </w:rPr>
        <w:t xml:space="preserve">Fleming, J. M. (1962). Domestic Financial Policies Under Fixed and Floating Exchange Rates. </w:t>
      </w:r>
      <w:r w:rsidRPr="009F6FDF">
        <w:rPr>
          <w:i/>
          <w:noProof/>
        </w:rPr>
        <w:t>IMF Staff Papers, 9</w:t>
      </w:r>
      <w:r w:rsidRPr="009F6FDF">
        <w:rPr>
          <w:noProof/>
        </w:rPr>
        <w:t xml:space="preserve">(3), 369-380. </w:t>
      </w:r>
    </w:p>
    <w:p w14:paraId="0CBA2D0D" w14:textId="77777777" w:rsidR="009F6FDF" w:rsidRPr="009F6FDF" w:rsidRDefault="009F6FDF" w:rsidP="009F6FDF">
      <w:pPr>
        <w:pStyle w:val="EndNoteBibliography"/>
        <w:ind w:left="720" w:hanging="720"/>
        <w:rPr>
          <w:noProof/>
        </w:rPr>
      </w:pPr>
      <w:r w:rsidRPr="009F6FDF">
        <w:rPr>
          <w:noProof/>
        </w:rPr>
        <w:t xml:space="preserve">Frankel, J. (2011). Are Bilateral Remittances Countercyclical? </w:t>
      </w:r>
      <w:r w:rsidRPr="009F6FDF">
        <w:rPr>
          <w:i/>
          <w:noProof/>
        </w:rPr>
        <w:t>Open Economies Review, 22</w:t>
      </w:r>
      <w:r w:rsidRPr="009F6FDF">
        <w:rPr>
          <w:noProof/>
        </w:rPr>
        <w:t xml:space="preserve">(1), 1-16. </w:t>
      </w:r>
    </w:p>
    <w:p w14:paraId="35F8979A" w14:textId="77777777" w:rsidR="009F6FDF" w:rsidRPr="009F6FDF" w:rsidRDefault="009F6FDF" w:rsidP="009F6FDF">
      <w:pPr>
        <w:pStyle w:val="EndNoteBibliography"/>
        <w:ind w:left="720" w:hanging="720"/>
        <w:rPr>
          <w:noProof/>
        </w:rPr>
      </w:pPr>
      <w:r w:rsidRPr="009F6FDF">
        <w:rPr>
          <w:noProof/>
        </w:rPr>
        <w:t xml:space="preserve">Frieden, J. A. (1991). Invested Interests: The Politics of National Economic Policies in a World of Global Finance. </w:t>
      </w:r>
      <w:r w:rsidRPr="009F6FDF">
        <w:rPr>
          <w:i/>
          <w:noProof/>
        </w:rPr>
        <w:t>International Organization, 45</w:t>
      </w:r>
      <w:r w:rsidRPr="009F6FDF">
        <w:rPr>
          <w:noProof/>
        </w:rPr>
        <w:t xml:space="preserve">(4), 425-451. </w:t>
      </w:r>
    </w:p>
    <w:p w14:paraId="5A8E9588" w14:textId="77777777" w:rsidR="009F6FDF" w:rsidRPr="009F6FDF" w:rsidRDefault="009F6FDF" w:rsidP="009F6FDF">
      <w:pPr>
        <w:pStyle w:val="EndNoteBibliography"/>
        <w:ind w:left="720" w:hanging="720"/>
        <w:rPr>
          <w:noProof/>
        </w:rPr>
      </w:pPr>
      <w:r w:rsidRPr="009F6FDF">
        <w:rPr>
          <w:noProof/>
        </w:rPr>
        <w:t xml:space="preserve">Frieden, J. A. (2015). </w:t>
      </w:r>
      <w:r w:rsidRPr="009F6FDF">
        <w:rPr>
          <w:i/>
          <w:noProof/>
        </w:rPr>
        <w:t>Currency Politics: The Political Economy of Exchange Rate Policy</w:t>
      </w:r>
      <w:r w:rsidRPr="009F6FDF">
        <w:rPr>
          <w:noProof/>
        </w:rPr>
        <w:t>. Princeton, NJ: Princeton University Press.</w:t>
      </w:r>
    </w:p>
    <w:p w14:paraId="5BAF265E" w14:textId="77777777" w:rsidR="003C7AEB" w:rsidRDefault="009F6FDF" w:rsidP="003C7AEB">
      <w:pPr>
        <w:spacing w:line="237" w:lineRule="auto"/>
        <w:ind w:left="720" w:right="20" w:hanging="719"/>
        <w:jc w:val="both"/>
        <w:rPr>
          <w:noProof/>
        </w:rPr>
      </w:pPr>
      <w:r w:rsidRPr="009F6FDF">
        <w:rPr>
          <w:noProof/>
        </w:rPr>
        <w:t xml:space="preserve">Garrett, G., &amp; Lange, P. (1991). Political Responses to Interdependence: What's "Left" for the Left? </w:t>
      </w:r>
      <w:r w:rsidRPr="009F6FDF">
        <w:rPr>
          <w:i/>
          <w:noProof/>
        </w:rPr>
        <w:t>International Organization, 45</w:t>
      </w:r>
      <w:r w:rsidRPr="009F6FDF">
        <w:rPr>
          <w:noProof/>
        </w:rPr>
        <w:t xml:space="preserve">(4), 539-564. </w:t>
      </w:r>
    </w:p>
    <w:p w14:paraId="0BF31CA8" w14:textId="4C8CDB58" w:rsidR="003C7AEB" w:rsidRPr="00DB0DC0" w:rsidRDefault="003C7AEB" w:rsidP="003C7AEB">
      <w:pPr>
        <w:spacing w:line="237" w:lineRule="auto"/>
        <w:ind w:left="720" w:right="20" w:hanging="719"/>
        <w:jc w:val="both"/>
        <w:rPr>
          <w:rFonts w:eastAsia="Garamond"/>
        </w:rPr>
      </w:pPr>
      <w:r w:rsidRPr="00DB0DC0">
        <w:rPr>
          <w:rFonts w:eastAsia="Garamond"/>
        </w:rPr>
        <w:t xml:space="preserve">Gnangnon, Sena K. </w:t>
      </w:r>
      <w:r w:rsidR="00DE6D23">
        <w:rPr>
          <w:rFonts w:eastAsia="Garamond"/>
        </w:rPr>
        <w:t>(</w:t>
      </w:r>
      <w:r w:rsidRPr="00DB0DC0">
        <w:rPr>
          <w:rFonts w:eastAsia="Garamond"/>
        </w:rPr>
        <w:t>2014</w:t>
      </w:r>
      <w:r w:rsidR="00DE6D23">
        <w:rPr>
          <w:rFonts w:eastAsia="Garamond"/>
        </w:rPr>
        <w:t>)</w:t>
      </w:r>
      <w:r w:rsidRPr="00DB0DC0">
        <w:rPr>
          <w:rFonts w:eastAsia="Garamond"/>
        </w:rPr>
        <w:t>.</w:t>
      </w:r>
      <w:r w:rsidR="009C52AB">
        <w:rPr>
          <w:rFonts w:eastAsia="Garamond"/>
        </w:rPr>
        <w:t>"</w:t>
      </w:r>
      <w:r w:rsidRPr="00DB0DC0">
        <w:rPr>
          <w:rFonts w:eastAsia="Garamond"/>
        </w:rPr>
        <w:t xml:space="preserve">The effect of Development Aid Unpredictability and Migrants’ Remittances on Fiscal consolidation in Developing Countries.” </w:t>
      </w:r>
      <w:r w:rsidRPr="00DB0DC0">
        <w:rPr>
          <w:rFonts w:eastAsia="Garamond"/>
          <w:i/>
        </w:rPr>
        <w:t>World Development</w:t>
      </w:r>
      <w:r w:rsidRPr="00DB0DC0">
        <w:rPr>
          <w:rFonts w:eastAsia="Garamond"/>
        </w:rPr>
        <w:t>, 54: 168-190.</w:t>
      </w:r>
    </w:p>
    <w:p w14:paraId="25DF916F" w14:textId="77777777" w:rsidR="009F6FDF" w:rsidRPr="009F6FDF" w:rsidRDefault="009F6FDF" w:rsidP="009F6FDF">
      <w:pPr>
        <w:pStyle w:val="EndNoteBibliography"/>
        <w:ind w:left="720" w:hanging="720"/>
        <w:rPr>
          <w:noProof/>
        </w:rPr>
      </w:pPr>
      <w:r w:rsidRPr="009F6FDF">
        <w:rPr>
          <w:noProof/>
        </w:rPr>
        <w:lastRenderedPageBreak/>
        <w:t xml:space="preserve">Garriga, A. C. (2016). Central Bank Independence in the World: A New Data Set. </w:t>
      </w:r>
      <w:r w:rsidRPr="009F6FDF">
        <w:rPr>
          <w:i/>
          <w:noProof/>
        </w:rPr>
        <w:t>International Interactions, 42</w:t>
      </w:r>
      <w:r w:rsidRPr="009F6FDF">
        <w:rPr>
          <w:noProof/>
        </w:rPr>
        <w:t xml:space="preserve">(5), 849-868. </w:t>
      </w:r>
    </w:p>
    <w:p w14:paraId="4A4375EB" w14:textId="77777777" w:rsidR="009F6FDF" w:rsidRPr="009F6FDF" w:rsidRDefault="009F6FDF" w:rsidP="009F6FDF">
      <w:pPr>
        <w:pStyle w:val="EndNoteBibliography"/>
        <w:ind w:left="720" w:hanging="720"/>
        <w:rPr>
          <w:noProof/>
        </w:rPr>
      </w:pPr>
      <w:r w:rsidRPr="009F6FDF">
        <w:rPr>
          <w:noProof/>
        </w:rPr>
        <w:t xml:space="preserve">Johnson, J. (2016). </w:t>
      </w:r>
      <w:r w:rsidRPr="009F6FDF">
        <w:rPr>
          <w:i/>
          <w:noProof/>
        </w:rPr>
        <w:t>Priests of Prosperity</w:t>
      </w:r>
      <w:r w:rsidRPr="009F6FDF">
        <w:rPr>
          <w:noProof/>
        </w:rPr>
        <w:t>. Ithaca, NY: Cornell University Press.</w:t>
      </w:r>
    </w:p>
    <w:p w14:paraId="0E7E9DA7" w14:textId="77777777" w:rsidR="009F6FDF" w:rsidRPr="009F6FDF" w:rsidRDefault="009F6FDF" w:rsidP="009F6FDF">
      <w:pPr>
        <w:pStyle w:val="EndNoteBibliography"/>
        <w:ind w:left="720" w:hanging="720"/>
        <w:rPr>
          <w:noProof/>
        </w:rPr>
      </w:pPr>
      <w:r w:rsidRPr="009F6FDF">
        <w:rPr>
          <w:noProof/>
        </w:rPr>
        <w:t xml:space="preserve">Leblang, D. (2003). To Devalue or to Defend? The Political Economy of Exchange Rate Policy. </w:t>
      </w:r>
      <w:r w:rsidRPr="009F6FDF">
        <w:rPr>
          <w:i/>
          <w:noProof/>
        </w:rPr>
        <w:t>International Studies Quarterly, 47</w:t>
      </w:r>
      <w:r w:rsidRPr="009F6FDF">
        <w:rPr>
          <w:noProof/>
        </w:rPr>
        <w:t>(4), 533-560. doi:10.1046/j.0020-8833.2003.00278.x</w:t>
      </w:r>
    </w:p>
    <w:p w14:paraId="7A00F8C3" w14:textId="77777777" w:rsidR="009F6FDF" w:rsidRPr="009F6FDF" w:rsidRDefault="009F6FDF" w:rsidP="009F6FDF">
      <w:pPr>
        <w:pStyle w:val="EndNoteBibliography"/>
        <w:ind w:left="720" w:hanging="720"/>
        <w:rPr>
          <w:noProof/>
        </w:rPr>
      </w:pPr>
      <w:r w:rsidRPr="009F6FDF">
        <w:rPr>
          <w:noProof/>
        </w:rPr>
        <w:t xml:space="preserve">Leblang, D. (2010). Familiarity Breeds Investment: Diaspora Networks and International Investment. </w:t>
      </w:r>
      <w:r w:rsidRPr="009F6FDF">
        <w:rPr>
          <w:i/>
          <w:noProof/>
        </w:rPr>
        <w:t>American Political Science Review, 104</w:t>
      </w:r>
      <w:r w:rsidRPr="009F6FDF">
        <w:rPr>
          <w:noProof/>
        </w:rPr>
        <w:t xml:space="preserve">(3), 584-600. </w:t>
      </w:r>
    </w:p>
    <w:p w14:paraId="44B94725" w14:textId="77777777" w:rsidR="009F6FDF" w:rsidRPr="009F6FDF" w:rsidRDefault="009F6FDF" w:rsidP="009F6FDF">
      <w:pPr>
        <w:pStyle w:val="EndNoteBibliography"/>
        <w:ind w:left="720" w:hanging="720"/>
        <w:rPr>
          <w:noProof/>
        </w:rPr>
      </w:pPr>
      <w:r w:rsidRPr="009F6FDF">
        <w:rPr>
          <w:noProof/>
        </w:rPr>
        <w:t xml:space="preserve">Leblang, D. (2015). Harnessing the Diaspora: Dual Citizenship, Migrant Return Remittances. </w:t>
      </w:r>
      <w:r w:rsidRPr="009F6FDF">
        <w:rPr>
          <w:i/>
          <w:noProof/>
        </w:rPr>
        <w:t>Comparative Political Studies</w:t>
      </w:r>
      <w:r w:rsidRPr="009F6FDF">
        <w:rPr>
          <w:noProof/>
        </w:rPr>
        <w:t>. doi:10.1177/0010414015606736</w:t>
      </w:r>
    </w:p>
    <w:p w14:paraId="52D26DBA" w14:textId="77777777" w:rsidR="009F6FDF" w:rsidRPr="009F6FDF" w:rsidRDefault="009F6FDF" w:rsidP="009F6FDF">
      <w:pPr>
        <w:pStyle w:val="EndNoteBibliography"/>
        <w:ind w:left="720" w:hanging="720"/>
        <w:rPr>
          <w:noProof/>
        </w:rPr>
      </w:pPr>
      <w:r w:rsidRPr="009F6FDF">
        <w:rPr>
          <w:noProof/>
        </w:rPr>
        <w:t xml:space="preserve">Levy-Yeyati, E., &amp; Sturzenegger, F. (2005). Classifying Exchange Rate Regimes: Deeds vs. Words. </w:t>
      </w:r>
      <w:r w:rsidRPr="009F6FDF">
        <w:rPr>
          <w:i/>
          <w:noProof/>
        </w:rPr>
        <w:t>European Economic Review, 49</w:t>
      </w:r>
      <w:r w:rsidRPr="009F6FDF">
        <w:rPr>
          <w:noProof/>
        </w:rPr>
        <w:t xml:space="preserve">(6), 1603-1635. </w:t>
      </w:r>
    </w:p>
    <w:p w14:paraId="75DEB888" w14:textId="34E39560" w:rsidR="00DE23C5" w:rsidRDefault="00DE23C5" w:rsidP="009F6FDF">
      <w:pPr>
        <w:pStyle w:val="EndNoteBibliography"/>
        <w:ind w:left="720" w:hanging="720"/>
        <w:rPr>
          <w:noProof/>
        </w:rPr>
      </w:pPr>
      <w:r>
        <w:rPr>
          <w:noProof/>
        </w:rPr>
        <w:t xml:space="preserve">Lim, S &amp; Morshed, A.K.M . </w:t>
      </w:r>
      <w:r w:rsidR="00797B0C">
        <w:rPr>
          <w:noProof/>
        </w:rPr>
        <w:t>(</w:t>
      </w:r>
      <w:r>
        <w:rPr>
          <w:noProof/>
        </w:rPr>
        <w:t>2017</w:t>
      </w:r>
      <w:r w:rsidR="00797B0C">
        <w:rPr>
          <w:noProof/>
        </w:rPr>
        <w:t>)</w:t>
      </w:r>
      <w:r>
        <w:rPr>
          <w:noProof/>
        </w:rPr>
        <w:t>. Fiscal Policy in a Small Open Economy with Cross-Border Labour Mobility</w:t>
      </w:r>
      <w:r w:rsidR="009C52AB">
        <w:rPr>
          <w:noProof/>
        </w:rPr>
        <w:t xml:space="preserve">. </w:t>
      </w:r>
      <w:r w:rsidR="009C52AB" w:rsidRPr="009C52AB">
        <w:rPr>
          <w:i/>
          <w:noProof/>
        </w:rPr>
        <w:t>Journal of Macroeconomics</w:t>
      </w:r>
      <w:r w:rsidR="009C52AB">
        <w:rPr>
          <w:noProof/>
        </w:rPr>
        <w:t xml:space="preserve">, </w:t>
      </w:r>
      <w:r>
        <w:rPr>
          <w:noProof/>
        </w:rPr>
        <w:t xml:space="preserve">52: 147-174.  </w:t>
      </w:r>
    </w:p>
    <w:p w14:paraId="25284AEB" w14:textId="4BE39BD9" w:rsidR="009F6FDF" w:rsidRPr="009F6FDF" w:rsidRDefault="009F6FDF" w:rsidP="009F6FDF">
      <w:pPr>
        <w:pStyle w:val="EndNoteBibliography"/>
        <w:ind w:left="720" w:hanging="720"/>
        <w:rPr>
          <w:noProof/>
        </w:rPr>
      </w:pPr>
      <w:r w:rsidRPr="009F6FDF">
        <w:rPr>
          <w:noProof/>
        </w:rPr>
        <w:t xml:space="preserve">Mandelman, F. S. (2013). Monetary and Exchange Rate Policy under Remittance Fluctuations. </w:t>
      </w:r>
      <w:r w:rsidRPr="009F6FDF">
        <w:rPr>
          <w:i/>
          <w:noProof/>
        </w:rPr>
        <w:t>Journal of Development Economics, 102</w:t>
      </w:r>
      <w:r w:rsidRPr="009F6FDF">
        <w:rPr>
          <w:noProof/>
        </w:rPr>
        <w:t>, 128-147. doi:</w:t>
      </w:r>
      <w:hyperlink r:id="rId16" w:history="1">
        <w:r w:rsidRPr="009F6FDF">
          <w:rPr>
            <w:rStyle w:val="Hyperlink"/>
            <w:noProof/>
          </w:rPr>
          <w:t>http://dx.doi.org/10.1016/j.jdeveco.2012.02.006</w:t>
        </w:r>
      </w:hyperlink>
    </w:p>
    <w:p w14:paraId="3E1BDE63" w14:textId="77777777" w:rsidR="009F6FDF" w:rsidRPr="009F6FDF" w:rsidRDefault="009F6FDF" w:rsidP="009F6FDF">
      <w:pPr>
        <w:pStyle w:val="EndNoteBibliography"/>
        <w:ind w:left="720" w:hanging="720"/>
        <w:rPr>
          <w:noProof/>
        </w:rPr>
      </w:pPr>
      <w:r w:rsidRPr="009F6FDF">
        <w:rPr>
          <w:noProof/>
        </w:rPr>
        <w:t xml:space="preserve">Marshall, M. G., &amp; Jaggers, K. (2012). Polity IV Dataset.   </w:t>
      </w:r>
    </w:p>
    <w:p w14:paraId="7167E48F" w14:textId="77777777" w:rsidR="009F6FDF" w:rsidRPr="009F6FDF" w:rsidRDefault="009F6FDF" w:rsidP="009F6FDF">
      <w:pPr>
        <w:pStyle w:val="EndNoteBibliography"/>
        <w:ind w:left="720" w:hanging="720"/>
        <w:rPr>
          <w:noProof/>
        </w:rPr>
      </w:pPr>
      <w:r w:rsidRPr="009F6FDF">
        <w:rPr>
          <w:noProof/>
        </w:rPr>
        <w:t xml:space="preserve">Maxfield, S. (1997). </w:t>
      </w:r>
      <w:r w:rsidRPr="009F6FDF">
        <w:rPr>
          <w:i/>
          <w:noProof/>
        </w:rPr>
        <w:t>Gatekeepers of Growth:  The International Political Economy of Central Banking in Developing Countries</w:t>
      </w:r>
      <w:r w:rsidRPr="009F6FDF">
        <w:rPr>
          <w:noProof/>
        </w:rPr>
        <w:t>. Princeton, NJ: Princeton University Press.</w:t>
      </w:r>
    </w:p>
    <w:p w14:paraId="6DDCD7C1" w14:textId="77777777" w:rsidR="009F6FDF" w:rsidRPr="009F6FDF" w:rsidRDefault="009F6FDF" w:rsidP="009F6FDF">
      <w:pPr>
        <w:pStyle w:val="EndNoteBibliography"/>
        <w:ind w:left="720" w:hanging="720"/>
        <w:rPr>
          <w:noProof/>
        </w:rPr>
      </w:pPr>
      <w:r w:rsidRPr="009F6FDF">
        <w:rPr>
          <w:noProof/>
        </w:rPr>
        <w:t xml:space="preserve">McMann, K. M. (2006). </w:t>
      </w:r>
      <w:r w:rsidRPr="009F6FDF">
        <w:rPr>
          <w:i/>
          <w:noProof/>
        </w:rPr>
        <w:t>Economic Autonomy and Democracy: Hybrid Regimes in Russia and Kyrgyzstan</w:t>
      </w:r>
      <w:r w:rsidRPr="009F6FDF">
        <w:rPr>
          <w:noProof/>
        </w:rPr>
        <w:t>: Cambridge University Press.</w:t>
      </w:r>
    </w:p>
    <w:p w14:paraId="551B666D" w14:textId="77777777" w:rsidR="009F6FDF" w:rsidRPr="009F6FDF" w:rsidRDefault="009F6FDF" w:rsidP="009F6FDF">
      <w:pPr>
        <w:pStyle w:val="EndNoteBibliography"/>
        <w:ind w:left="720" w:hanging="720"/>
        <w:rPr>
          <w:noProof/>
        </w:rPr>
      </w:pPr>
      <w:r w:rsidRPr="009F6FDF">
        <w:rPr>
          <w:noProof/>
        </w:rPr>
        <w:t xml:space="preserve">McNamara, K. (2002). Rational Fictions: Central Bank Independence and the Social Logic of Delegation. </w:t>
      </w:r>
      <w:r w:rsidRPr="009F6FDF">
        <w:rPr>
          <w:i/>
          <w:noProof/>
        </w:rPr>
        <w:t>West European Politics, 25</w:t>
      </w:r>
      <w:r w:rsidRPr="009F6FDF">
        <w:rPr>
          <w:noProof/>
        </w:rPr>
        <w:t>(1), 47-76. doi:10.1080/713601585</w:t>
      </w:r>
    </w:p>
    <w:p w14:paraId="4FCDE288" w14:textId="3C8DD3C7" w:rsidR="009F6FDF" w:rsidRPr="009F6FDF" w:rsidRDefault="009F6FDF" w:rsidP="009F6FDF">
      <w:pPr>
        <w:pStyle w:val="EndNoteBibliography"/>
        <w:ind w:left="720" w:hanging="720"/>
        <w:rPr>
          <w:noProof/>
        </w:rPr>
      </w:pPr>
      <w:r w:rsidRPr="009F6FDF">
        <w:rPr>
          <w:noProof/>
        </w:rPr>
        <w:t xml:space="preserve">Meissner, C. M., &amp; Oomes, N. (2009). Why Do Countries Peg the Way They Peg? The Determinants of Anchor Currency Choice. </w:t>
      </w:r>
      <w:r w:rsidRPr="009F6FDF">
        <w:rPr>
          <w:i/>
          <w:noProof/>
        </w:rPr>
        <w:t>Journal of International Money and Finance, 28</w:t>
      </w:r>
      <w:r w:rsidRPr="009F6FDF">
        <w:rPr>
          <w:noProof/>
        </w:rPr>
        <w:t>(3), 522-547. doi:</w:t>
      </w:r>
      <w:hyperlink r:id="rId17" w:history="1">
        <w:r w:rsidRPr="009F6FDF">
          <w:rPr>
            <w:rStyle w:val="Hyperlink"/>
            <w:noProof/>
          </w:rPr>
          <w:t>http://dx.doi.org/10.1016/j.jimonfin.2008.08.007</w:t>
        </w:r>
      </w:hyperlink>
    </w:p>
    <w:p w14:paraId="2B5FA414" w14:textId="77777777" w:rsidR="009F6FDF" w:rsidRPr="009F6FDF" w:rsidRDefault="009F6FDF" w:rsidP="009F6FDF">
      <w:pPr>
        <w:pStyle w:val="EndNoteBibliography"/>
        <w:ind w:left="720" w:hanging="720"/>
        <w:rPr>
          <w:noProof/>
        </w:rPr>
      </w:pPr>
      <w:r w:rsidRPr="009F6FDF">
        <w:rPr>
          <w:noProof/>
        </w:rPr>
        <w:t xml:space="preserve">Mundell, R. A. (1961). A Theory of Optimum Currency Areas. </w:t>
      </w:r>
      <w:r w:rsidRPr="009F6FDF">
        <w:rPr>
          <w:i/>
          <w:noProof/>
        </w:rPr>
        <w:t>American Economic Review, 51</w:t>
      </w:r>
      <w:r w:rsidRPr="009F6FDF">
        <w:rPr>
          <w:noProof/>
        </w:rPr>
        <w:t xml:space="preserve">(4), 657-665. </w:t>
      </w:r>
    </w:p>
    <w:p w14:paraId="4CDBDD05" w14:textId="77777777" w:rsidR="009F6FDF" w:rsidRPr="009F6FDF" w:rsidRDefault="009F6FDF" w:rsidP="009F6FDF">
      <w:pPr>
        <w:pStyle w:val="EndNoteBibliography"/>
        <w:ind w:left="720" w:hanging="720"/>
        <w:rPr>
          <w:noProof/>
        </w:rPr>
      </w:pPr>
      <w:r w:rsidRPr="009F6FDF">
        <w:rPr>
          <w:noProof/>
        </w:rPr>
        <w:t xml:space="preserve">Ncube, M., &amp; Brixiova, Z. (2013). </w:t>
      </w:r>
      <w:r w:rsidRPr="009F6FDF">
        <w:rPr>
          <w:i/>
          <w:noProof/>
        </w:rPr>
        <w:t>Remittances and their Macroeconomic Impact</w:t>
      </w:r>
      <w:r w:rsidRPr="009F6FDF">
        <w:rPr>
          <w:noProof/>
        </w:rPr>
        <w:t xml:space="preserve">. Retrieved from </w:t>
      </w:r>
    </w:p>
    <w:p w14:paraId="763E8AC7" w14:textId="77777777" w:rsidR="009F6FDF" w:rsidRPr="009F6FDF" w:rsidRDefault="009F6FDF" w:rsidP="009F6FDF">
      <w:pPr>
        <w:pStyle w:val="EndNoteBibliography"/>
        <w:ind w:left="720" w:hanging="720"/>
        <w:rPr>
          <w:noProof/>
        </w:rPr>
      </w:pPr>
      <w:r w:rsidRPr="009F6FDF">
        <w:rPr>
          <w:noProof/>
        </w:rPr>
        <w:t xml:space="preserve">Obstfeld, M., &amp; Rogoff, K. (1995). The Mirage of Fixed Exchange Rates. </w:t>
      </w:r>
      <w:r w:rsidRPr="009F6FDF">
        <w:rPr>
          <w:i/>
          <w:noProof/>
        </w:rPr>
        <w:t>The Journal of Economic Perspectives, 9</w:t>
      </w:r>
      <w:r w:rsidRPr="009F6FDF">
        <w:rPr>
          <w:noProof/>
        </w:rPr>
        <w:t xml:space="preserve">(4), 73-96. </w:t>
      </w:r>
    </w:p>
    <w:p w14:paraId="75BDD69E" w14:textId="77777777" w:rsidR="009F6FDF" w:rsidRPr="009F6FDF" w:rsidRDefault="009F6FDF" w:rsidP="009F6FDF">
      <w:pPr>
        <w:pStyle w:val="EndNoteBibliography"/>
        <w:ind w:left="720" w:hanging="720"/>
        <w:rPr>
          <w:noProof/>
        </w:rPr>
      </w:pPr>
      <w:r w:rsidRPr="009F6FDF">
        <w:rPr>
          <w:noProof/>
        </w:rPr>
        <w:t xml:space="preserve">Obstfeld, M., Shambaugh, J. C., &amp; Taylor, A. M. (2005). The Trilemma in History: Tradeoffs among Exchange Rates, Monetary Policies, and Capital Mobility. </w:t>
      </w:r>
      <w:r w:rsidRPr="009F6FDF">
        <w:rPr>
          <w:i/>
          <w:noProof/>
        </w:rPr>
        <w:t>Review of Economics and Statistics, 87</w:t>
      </w:r>
      <w:r w:rsidRPr="009F6FDF">
        <w:rPr>
          <w:noProof/>
        </w:rPr>
        <w:t xml:space="preserve">(3), 423-438. </w:t>
      </w:r>
    </w:p>
    <w:p w14:paraId="2A1EDC7D" w14:textId="77777777" w:rsidR="009F6FDF" w:rsidRPr="009F6FDF" w:rsidRDefault="009F6FDF" w:rsidP="009F6FDF">
      <w:pPr>
        <w:pStyle w:val="EndNoteBibliography"/>
        <w:ind w:left="720" w:hanging="720"/>
        <w:rPr>
          <w:noProof/>
        </w:rPr>
      </w:pPr>
      <w:r w:rsidRPr="009F6FDF">
        <w:rPr>
          <w:noProof/>
        </w:rPr>
        <w:t xml:space="preserve">Panda, D. P., &amp; Trivedi, P. (2015). Macroeconomic Determinants of Remittances: A Cross Country Analysis. </w:t>
      </w:r>
      <w:r w:rsidRPr="009F6FDF">
        <w:rPr>
          <w:i/>
          <w:noProof/>
        </w:rPr>
        <w:t>Journal of International Economics, 6</w:t>
      </w:r>
      <w:r w:rsidRPr="009F6FDF">
        <w:rPr>
          <w:noProof/>
        </w:rPr>
        <w:t xml:space="preserve">(2), 83. </w:t>
      </w:r>
    </w:p>
    <w:p w14:paraId="18F7A1CF" w14:textId="77777777" w:rsidR="009F6FDF" w:rsidRPr="009F6FDF" w:rsidRDefault="009F6FDF" w:rsidP="009F6FDF">
      <w:pPr>
        <w:pStyle w:val="EndNoteBibliography"/>
        <w:ind w:left="720" w:hanging="720"/>
        <w:rPr>
          <w:noProof/>
        </w:rPr>
      </w:pPr>
      <w:r w:rsidRPr="009F6FDF">
        <w:rPr>
          <w:noProof/>
        </w:rPr>
        <w:t xml:space="preserve">Reinhart, C. M., &amp; Rogoff, K. S. (2004). The Modern History of Exchange Rate Arrangements: A Reinterpretation. </w:t>
      </w:r>
      <w:r w:rsidRPr="009F6FDF">
        <w:rPr>
          <w:i/>
          <w:noProof/>
        </w:rPr>
        <w:t xml:space="preserve">Quarterly Journal of Economics, 119 </w:t>
      </w:r>
      <w:r w:rsidRPr="009F6FDF">
        <w:rPr>
          <w:noProof/>
        </w:rPr>
        <w:t xml:space="preserve">(1), 1-48. </w:t>
      </w:r>
    </w:p>
    <w:p w14:paraId="05D63AAA" w14:textId="77777777" w:rsidR="009F6FDF" w:rsidRPr="009F6FDF" w:rsidRDefault="009F6FDF" w:rsidP="009F6FDF">
      <w:pPr>
        <w:pStyle w:val="EndNoteBibliography"/>
        <w:ind w:left="720" w:hanging="720"/>
        <w:rPr>
          <w:noProof/>
        </w:rPr>
      </w:pPr>
      <w:r w:rsidRPr="009F6FDF">
        <w:rPr>
          <w:noProof/>
        </w:rPr>
        <w:t xml:space="preserve">Rey, H. (2015). </w:t>
      </w:r>
      <w:r w:rsidRPr="009F6FDF">
        <w:rPr>
          <w:i/>
          <w:noProof/>
        </w:rPr>
        <w:t>Dilemma Not Trilemma: The Global Financial Cycle and Monetary Policy Independence</w:t>
      </w:r>
      <w:r w:rsidRPr="009F6FDF">
        <w:rPr>
          <w:noProof/>
        </w:rPr>
        <w:t xml:space="preserve">. Retrieved from </w:t>
      </w:r>
    </w:p>
    <w:p w14:paraId="3F45E9FE" w14:textId="77777777" w:rsidR="009F6FDF" w:rsidRPr="009F6FDF" w:rsidRDefault="009F6FDF" w:rsidP="009F6FDF">
      <w:pPr>
        <w:pStyle w:val="EndNoteBibliography"/>
        <w:ind w:left="720" w:hanging="720"/>
        <w:rPr>
          <w:noProof/>
        </w:rPr>
      </w:pPr>
      <w:r w:rsidRPr="009F6FDF">
        <w:rPr>
          <w:noProof/>
        </w:rPr>
        <w:t xml:space="preserve">Rey, H. (2016). International Channels of Transmission of Monetary Policy and the Mundellian Trilemma. </w:t>
      </w:r>
      <w:r w:rsidRPr="009F6FDF">
        <w:rPr>
          <w:i/>
          <w:noProof/>
        </w:rPr>
        <w:t>IMF Economic Review, 64</w:t>
      </w:r>
      <w:r w:rsidRPr="009F6FDF">
        <w:rPr>
          <w:noProof/>
        </w:rPr>
        <w:t>(1), 6-35. doi:10.1057/imfer.2016.4</w:t>
      </w:r>
    </w:p>
    <w:p w14:paraId="1371BDAB" w14:textId="77777777" w:rsidR="009F6FDF" w:rsidRPr="009F6FDF" w:rsidRDefault="009F6FDF" w:rsidP="009F6FDF">
      <w:pPr>
        <w:pStyle w:val="EndNoteBibliography"/>
        <w:ind w:left="720" w:hanging="720"/>
        <w:rPr>
          <w:noProof/>
        </w:rPr>
      </w:pPr>
      <w:r w:rsidRPr="009F6FDF">
        <w:rPr>
          <w:noProof/>
        </w:rPr>
        <w:lastRenderedPageBreak/>
        <w:t xml:space="preserve">Rogoff, K., Husain, A., Mody, A., Brooks, R., &amp; Oomes, N. (2004). </w:t>
      </w:r>
      <w:r w:rsidRPr="009F6FDF">
        <w:rPr>
          <w:i/>
          <w:noProof/>
        </w:rPr>
        <w:t>Evolution and Performance of Exchange Rate Regimes</w:t>
      </w:r>
      <w:r w:rsidRPr="009F6FDF">
        <w:rPr>
          <w:noProof/>
        </w:rPr>
        <w:t xml:space="preserve"> (1589063279). Retrieved from Washington, D.C.: </w:t>
      </w:r>
    </w:p>
    <w:p w14:paraId="66B9FC74" w14:textId="77777777" w:rsidR="009F6FDF" w:rsidRPr="009F6FDF" w:rsidRDefault="009F6FDF" w:rsidP="009F6FDF">
      <w:pPr>
        <w:pStyle w:val="EndNoteBibliography"/>
        <w:ind w:left="720" w:hanging="720"/>
        <w:rPr>
          <w:noProof/>
        </w:rPr>
      </w:pPr>
      <w:r w:rsidRPr="009F6FDF">
        <w:rPr>
          <w:noProof/>
        </w:rPr>
        <w:t xml:space="preserve">Roodman, D. (2009). How to Do xtabond2: An Introduction to "Difference" and "System" GMM in Stata. </w:t>
      </w:r>
      <w:r w:rsidRPr="009F6FDF">
        <w:rPr>
          <w:i/>
          <w:noProof/>
        </w:rPr>
        <w:t>The Stata Journal, 9</w:t>
      </w:r>
      <w:r w:rsidRPr="009F6FDF">
        <w:rPr>
          <w:noProof/>
        </w:rPr>
        <w:t xml:space="preserve">(1), 86-136. </w:t>
      </w:r>
    </w:p>
    <w:p w14:paraId="59693288" w14:textId="77777777" w:rsidR="009F6FDF" w:rsidRPr="009F6FDF" w:rsidRDefault="009F6FDF" w:rsidP="009F6FDF">
      <w:pPr>
        <w:pStyle w:val="EndNoteBibliography"/>
        <w:ind w:left="720" w:hanging="720"/>
        <w:rPr>
          <w:noProof/>
        </w:rPr>
      </w:pPr>
      <w:r w:rsidRPr="009F6FDF">
        <w:rPr>
          <w:noProof/>
        </w:rPr>
        <w:t xml:space="preserve">Rudra, N. (2002). Globalization and the Decline of the Welfare State in Less Developed Countries. </w:t>
      </w:r>
      <w:r w:rsidRPr="009F6FDF">
        <w:rPr>
          <w:i/>
          <w:noProof/>
        </w:rPr>
        <w:t>International Organization, 56</w:t>
      </w:r>
      <w:r w:rsidRPr="009F6FDF">
        <w:rPr>
          <w:noProof/>
        </w:rPr>
        <w:t xml:space="preserve">(2), 411-445. </w:t>
      </w:r>
    </w:p>
    <w:p w14:paraId="10DFEE64" w14:textId="77777777" w:rsidR="009F6FDF" w:rsidRPr="009F6FDF" w:rsidRDefault="009F6FDF" w:rsidP="009F6FDF">
      <w:pPr>
        <w:pStyle w:val="EndNoteBibliography"/>
        <w:ind w:left="720" w:hanging="720"/>
        <w:rPr>
          <w:noProof/>
        </w:rPr>
      </w:pPr>
      <w:r w:rsidRPr="009F6FDF">
        <w:rPr>
          <w:noProof/>
        </w:rPr>
        <w:t xml:space="preserve">Ruiz, I., &amp; Vargas-Silva, C. (2010). Monetary Policy and International Remittances. </w:t>
      </w:r>
      <w:r w:rsidRPr="009F6FDF">
        <w:rPr>
          <w:i/>
          <w:noProof/>
        </w:rPr>
        <w:t>The Journal of Developing Areas, 43</w:t>
      </w:r>
      <w:r w:rsidRPr="009F6FDF">
        <w:rPr>
          <w:noProof/>
        </w:rPr>
        <w:t xml:space="preserve">(2), 173-186. </w:t>
      </w:r>
    </w:p>
    <w:p w14:paraId="20E8F6E5" w14:textId="77777777" w:rsidR="009F6FDF" w:rsidRPr="009F6FDF" w:rsidRDefault="009F6FDF" w:rsidP="009F6FDF">
      <w:pPr>
        <w:pStyle w:val="EndNoteBibliography"/>
        <w:ind w:left="720" w:hanging="720"/>
        <w:rPr>
          <w:noProof/>
        </w:rPr>
      </w:pPr>
      <w:r w:rsidRPr="009F6FDF">
        <w:rPr>
          <w:noProof/>
        </w:rPr>
        <w:t xml:space="preserve">Simmons, B., &amp; Hainmueller, J. (2005). Can Domestic Institutions Explain Exchange Rate Regime Choice? The Political Economy of Monetary Institutions Reconsidered. </w:t>
      </w:r>
      <w:r w:rsidRPr="009F6FDF">
        <w:rPr>
          <w:i/>
          <w:noProof/>
        </w:rPr>
        <w:t>International Finance, 505011</w:t>
      </w:r>
      <w:r w:rsidRPr="009F6FDF">
        <w:rPr>
          <w:noProof/>
        </w:rPr>
        <w:t xml:space="preserve">. </w:t>
      </w:r>
    </w:p>
    <w:p w14:paraId="253DF180" w14:textId="77777777" w:rsidR="009F6FDF" w:rsidRPr="009F6FDF" w:rsidRDefault="009F6FDF" w:rsidP="009F6FDF">
      <w:pPr>
        <w:pStyle w:val="EndNoteBibliography"/>
        <w:ind w:left="720" w:hanging="720"/>
        <w:rPr>
          <w:noProof/>
        </w:rPr>
      </w:pPr>
      <w:r w:rsidRPr="009F6FDF">
        <w:rPr>
          <w:noProof/>
        </w:rPr>
        <w:t xml:space="preserve">Singer, D. A. (2010). Migrant Remittances and Exchange Rate Regimes in the Developing World. </w:t>
      </w:r>
      <w:r w:rsidRPr="009F6FDF">
        <w:rPr>
          <w:i/>
          <w:noProof/>
        </w:rPr>
        <w:t>American Political Science Review, 104</w:t>
      </w:r>
      <w:r w:rsidRPr="009F6FDF">
        <w:rPr>
          <w:noProof/>
        </w:rPr>
        <w:t>(02), 307-323. doi:doi:10.1017/S0003055410000110</w:t>
      </w:r>
    </w:p>
    <w:p w14:paraId="7B6E1F73" w14:textId="77777777" w:rsidR="009F6FDF" w:rsidRPr="009F6FDF" w:rsidRDefault="009F6FDF" w:rsidP="009F6FDF">
      <w:pPr>
        <w:pStyle w:val="EndNoteBibliography"/>
        <w:ind w:left="720" w:hanging="720"/>
        <w:rPr>
          <w:noProof/>
        </w:rPr>
      </w:pPr>
      <w:r w:rsidRPr="009F6FDF">
        <w:rPr>
          <w:noProof/>
        </w:rPr>
        <w:t xml:space="preserve">Steinberg, D. A., &amp; Malhotra, K. (2014). The Effect of Authoritarian Regime Type on Exchange Rate Policy. </w:t>
      </w:r>
      <w:r w:rsidRPr="009F6FDF">
        <w:rPr>
          <w:i/>
          <w:noProof/>
        </w:rPr>
        <w:t>World Politics, 66</w:t>
      </w:r>
      <w:r w:rsidRPr="009F6FDF">
        <w:rPr>
          <w:noProof/>
        </w:rPr>
        <w:t>(03), 491-529. doi:doi:10.1017/S0043887114000136</w:t>
      </w:r>
    </w:p>
    <w:p w14:paraId="41A8473B" w14:textId="77777777" w:rsidR="009F6FDF" w:rsidRPr="009F6FDF" w:rsidRDefault="009F6FDF" w:rsidP="009F6FDF">
      <w:pPr>
        <w:pStyle w:val="EndNoteBibliography"/>
        <w:ind w:left="720" w:hanging="720"/>
        <w:rPr>
          <w:noProof/>
        </w:rPr>
      </w:pPr>
      <w:r w:rsidRPr="009F6FDF">
        <w:rPr>
          <w:noProof/>
        </w:rPr>
        <w:t xml:space="preserve">Tyburski, M. D. (2012). The Resource Curse Reversed? Remittances and Corruption in Mexico1. </w:t>
      </w:r>
      <w:r w:rsidRPr="009F6FDF">
        <w:rPr>
          <w:i/>
          <w:noProof/>
        </w:rPr>
        <w:t>International Studies Quarterly, 56</w:t>
      </w:r>
      <w:r w:rsidRPr="009F6FDF">
        <w:rPr>
          <w:noProof/>
        </w:rPr>
        <w:t>(2), 339-350. doi:10.1111/j.1468-2478.2012.00721.x</w:t>
      </w:r>
    </w:p>
    <w:p w14:paraId="4EE962FA" w14:textId="77777777" w:rsidR="009F6FDF" w:rsidRPr="009F6FDF" w:rsidRDefault="009F6FDF" w:rsidP="009F6FDF">
      <w:pPr>
        <w:pStyle w:val="EndNoteBibliography"/>
        <w:ind w:left="720" w:hanging="720"/>
        <w:rPr>
          <w:noProof/>
        </w:rPr>
      </w:pPr>
      <w:r w:rsidRPr="009F6FDF">
        <w:rPr>
          <w:noProof/>
        </w:rPr>
        <w:t xml:space="preserve">Tyburski, M. D. (2014). Curse or Cure? Migrant Remittances and Corruption. </w:t>
      </w:r>
      <w:r w:rsidRPr="009F6FDF">
        <w:rPr>
          <w:i/>
          <w:noProof/>
        </w:rPr>
        <w:t>The Journal of Politics, 76</w:t>
      </w:r>
      <w:r w:rsidRPr="009F6FDF">
        <w:rPr>
          <w:noProof/>
        </w:rPr>
        <w:t>(3), 814-824. doi:doi:10.1017/S0022381614000279</w:t>
      </w:r>
    </w:p>
    <w:p w14:paraId="55F63AC8" w14:textId="77777777" w:rsidR="009F6FDF" w:rsidRPr="009F6FDF" w:rsidRDefault="009F6FDF" w:rsidP="009F6FDF">
      <w:pPr>
        <w:pStyle w:val="EndNoteBibliography"/>
        <w:ind w:left="720" w:hanging="720"/>
        <w:rPr>
          <w:noProof/>
        </w:rPr>
      </w:pPr>
      <w:r w:rsidRPr="006D0866">
        <w:rPr>
          <w:noProof/>
          <w:lang w:val="es-ES"/>
        </w:rPr>
        <w:t xml:space="preserve">Van Aarle, B., &amp; Sosoian, R. (2010). </w:t>
      </w:r>
      <w:r w:rsidRPr="009F6FDF">
        <w:rPr>
          <w:noProof/>
        </w:rPr>
        <w:t xml:space="preserve">Macroeconomic Adjustment in Armenia: The Role of External Factors. </w:t>
      </w:r>
      <w:r w:rsidRPr="009F6FDF">
        <w:rPr>
          <w:i/>
          <w:noProof/>
        </w:rPr>
        <w:t>Journal of Business and Economics, 3</w:t>
      </w:r>
      <w:r w:rsidRPr="009F6FDF">
        <w:rPr>
          <w:noProof/>
        </w:rPr>
        <w:t xml:space="preserve">(5), 51-75. </w:t>
      </w:r>
    </w:p>
    <w:p w14:paraId="5833CDB9" w14:textId="77777777" w:rsidR="009F6FDF" w:rsidRPr="009F6FDF" w:rsidRDefault="009F6FDF" w:rsidP="009F6FDF">
      <w:pPr>
        <w:pStyle w:val="EndNoteBibliography"/>
        <w:ind w:left="720" w:hanging="720"/>
        <w:rPr>
          <w:noProof/>
        </w:rPr>
      </w:pPr>
      <w:r w:rsidRPr="009F6FDF">
        <w:rPr>
          <w:noProof/>
        </w:rPr>
        <w:t xml:space="preserve">Vargas-Silva, C. (2009). The Tale of Three Amigos: Remittances, Exchange Rates, and Money Demand in Mexico. </w:t>
      </w:r>
      <w:r w:rsidRPr="009F6FDF">
        <w:rPr>
          <w:i/>
          <w:noProof/>
        </w:rPr>
        <w:t>Review of Development Economics, 13</w:t>
      </w:r>
      <w:r w:rsidRPr="009F6FDF">
        <w:rPr>
          <w:noProof/>
        </w:rPr>
        <w:t>(1), 1-14. doi:10.1111/j.1467-9361.2008.00468.x</w:t>
      </w:r>
    </w:p>
    <w:p w14:paraId="79BCBFF6" w14:textId="77777777" w:rsidR="009F6FDF" w:rsidRPr="009F6FDF" w:rsidRDefault="009F6FDF" w:rsidP="009F6FDF">
      <w:pPr>
        <w:pStyle w:val="EndNoteBibliography"/>
        <w:ind w:left="720" w:hanging="720"/>
        <w:rPr>
          <w:noProof/>
        </w:rPr>
      </w:pPr>
      <w:r w:rsidRPr="009F6FDF">
        <w:rPr>
          <w:noProof/>
        </w:rPr>
        <w:t xml:space="preserve">World Bank. (2006). </w:t>
      </w:r>
      <w:r w:rsidRPr="009F6FDF">
        <w:rPr>
          <w:i/>
          <w:noProof/>
        </w:rPr>
        <w:t>Global  Economic  Prospects:  Economic  Implications  of  Remittances  and  Migration</w:t>
      </w:r>
      <w:r w:rsidRPr="009F6FDF">
        <w:rPr>
          <w:noProof/>
        </w:rPr>
        <w:t xml:space="preserve">. Retrieved from Washington, D.C.: </w:t>
      </w:r>
    </w:p>
    <w:p w14:paraId="50EA024E" w14:textId="77777777" w:rsidR="009F6FDF" w:rsidRPr="009F6FDF" w:rsidRDefault="009F6FDF" w:rsidP="009F6FDF">
      <w:pPr>
        <w:pStyle w:val="EndNoteBibliography"/>
        <w:ind w:left="720" w:hanging="720"/>
        <w:rPr>
          <w:noProof/>
        </w:rPr>
      </w:pPr>
      <w:r w:rsidRPr="009F6FDF">
        <w:rPr>
          <w:noProof/>
        </w:rPr>
        <w:t>World Bank. (2015). World Development Indicators On-Line. from World Bank</w:t>
      </w:r>
    </w:p>
    <w:p w14:paraId="61086002" w14:textId="56AB6A16" w:rsidR="009F6FDF" w:rsidRPr="009F6FDF" w:rsidRDefault="009F6FDF" w:rsidP="009F6FDF">
      <w:pPr>
        <w:pStyle w:val="EndNoteBibliography"/>
        <w:ind w:left="720" w:hanging="720"/>
        <w:rPr>
          <w:noProof/>
        </w:rPr>
      </w:pPr>
      <w:r w:rsidRPr="009F6FDF">
        <w:rPr>
          <w:noProof/>
        </w:rPr>
        <w:t xml:space="preserve">World Bank. (2017). Trends in Migration and Remittances.   Retrieved from </w:t>
      </w:r>
      <w:hyperlink r:id="rId18" w:history="1">
        <w:r w:rsidRPr="009F6FDF">
          <w:rPr>
            <w:rStyle w:val="Hyperlink"/>
            <w:noProof/>
          </w:rPr>
          <w:t>http://www.worldbank.org/en/news/infographic/2017/04/21/trends-in-migration-and-remittances-2017</w:t>
        </w:r>
      </w:hyperlink>
    </w:p>
    <w:p w14:paraId="1EAB26E1" w14:textId="77777777" w:rsidR="009F6FDF" w:rsidRPr="009F6FDF" w:rsidRDefault="009F6FDF" w:rsidP="009F6FDF">
      <w:pPr>
        <w:pStyle w:val="EndNoteBibliography"/>
        <w:ind w:left="720" w:hanging="720"/>
        <w:rPr>
          <w:noProof/>
        </w:rPr>
      </w:pPr>
      <w:r w:rsidRPr="009F6FDF">
        <w:rPr>
          <w:noProof/>
        </w:rPr>
        <w:t xml:space="preserve">Yang, D., &amp; Choi, H. (2007). Are Remittances Insurance? Evidence from Rainfall Shocks in the Philippines. </w:t>
      </w:r>
      <w:r w:rsidRPr="009F6FDF">
        <w:rPr>
          <w:i/>
          <w:noProof/>
        </w:rPr>
        <w:t>The World Bank Economic Review, 21</w:t>
      </w:r>
      <w:r w:rsidRPr="009F6FDF">
        <w:rPr>
          <w:noProof/>
        </w:rPr>
        <w:t xml:space="preserve">(2), 219-248. </w:t>
      </w:r>
    </w:p>
    <w:p w14:paraId="33C12318" w14:textId="64C96EC3" w:rsidR="00FE4713" w:rsidRDefault="00AC132B" w:rsidP="0080308E">
      <w:pPr>
        <w:pStyle w:val="Figurecaption"/>
      </w:pPr>
      <w:r>
        <w:fldChar w:fldCharType="end"/>
      </w:r>
    </w:p>
    <w:p w14:paraId="4D3FAFAF" w14:textId="77777777" w:rsidR="00F1519D" w:rsidRDefault="00F1519D" w:rsidP="00F1519D">
      <w:pPr>
        <w:sectPr w:rsidR="00F1519D" w:rsidSect="00165A21">
          <w:footerReference w:type="even" r:id="rId19"/>
          <w:footerReference w:type="default" r:id="rId20"/>
          <w:pgSz w:w="11901" w:h="16840" w:code="9"/>
          <w:pgMar w:top="1418" w:right="1701" w:bottom="1418" w:left="1701" w:header="709" w:footer="709" w:gutter="0"/>
          <w:cols w:space="708"/>
          <w:docGrid w:linePitch="360"/>
        </w:sectPr>
      </w:pPr>
    </w:p>
    <w:p w14:paraId="45100CFE" w14:textId="77777777" w:rsidR="00D5078E" w:rsidRPr="00CB4FCD" w:rsidRDefault="00D5078E" w:rsidP="00D5078E">
      <w:pPr>
        <w:pStyle w:val="Tabletitle"/>
      </w:pPr>
      <w:r w:rsidRPr="00CB4FCD">
        <w:lastRenderedPageBreak/>
        <w:t xml:space="preserve">Table 1. Ordered </w:t>
      </w:r>
      <w:proofErr w:type="spellStart"/>
      <w:r w:rsidRPr="00CB4FCD">
        <w:t>probit</w:t>
      </w:r>
      <w:proofErr w:type="spellEnd"/>
      <w:r w:rsidRPr="00CB4FCD">
        <w:t xml:space="preserve"> estimations of de facto exchange rate (four-category dependent variable)</w:t>
      </w:r>
    </w:p>
    <w:tbl>
      <w:tblPr>
        <w:tblW w:w="9356" w:type="dxa"/>
        <w:tblInd w:w="-34" w:type="dxa"/>
        <w:tblLayout w:type="fixed"/>
        <w:tblLook w:val="0000" w:firstRow="0" w:lastRow="0" w:firstColumn="0" w:lastColumn="0" w:noHBand="0" w:noVBand="0"/>
      </w:tblPr>
      <w:tblGrid>
        <w:gridCol w:w="3828"/>
        <w:gridCol w:w="2410"/>
        <w:gridCol w:w="1417"/>
        <w:gridCol w:w="1701"/>
      </w:tblGrid>
      <w:tr w:rsidR="00D5078E" w:rsidRPr="00D5078E" w14:paraId="1DAF9D53" w14:textId="77777777" w:rsidTr="00D5078E">
        <w:tc>
          <w:tcPr>
            <w:tcW w:w="3828" w:type="dxa"/>
            <w:tcBorders>
              <w:top w:val="single" w:sz="4" w:space="0" w:color="auto"/>
            </w:tcBorders>
          </w:tcPr>
          <w:p w14:paraId="13CF4D02"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 xml:space="preserve">Model and </w:t>
            </w:r>
          </w:p>
        </w:tc>
        <w:tc>
          <w:tcPr>
            <w:tcW w:w="2410" w:type="dxa"/>
            <w:tcBorders>
              <w:top w:val="single" w:sz="4" w:space="0" w:color="auto"/>
            </w:tcBorders>
          </w:tcPr>
          <w:p w14:paraId="12CA0C50"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w:t>
            </w:r>
          </w:p>
        </w:tc>
        <w:tc>
          <w:tcPr>
            <w:tcW w:w="1417" w:type="dxa"/>
            <w:tcBorders>
              <w:top w:val="single" w:sz="4" w:space="0" w:color="auto"/>
            </w:tcBorders>
          </w:tcPr>
          <w:p w14:paraId="6C471095"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(2)</w:t>
            </w:r>
          </w:p>
        </w:tc>
        <w:tc>
          <w:tcPr>
            <w:tcW w:w="1701" w:type="dxa"/>
            <w:tcBorders>
              <w:top w:val="single" w:sz="4" w:space="0" w:color="auto"/>
            </w:tcBorders>
          </w:tcPr>
          <w:p w14:paraId="7D5414D1"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(3)</w:t>
            </w:r>
          </w:p>
        </w:tc>
      </w:tr>
      <w:tr w:rsidR="00D5078E" w:rsidRPr="00D5078E" w14:paraId="401EEFB9" w14:textId="77777777" w:rsidTr="00D5078E">
        <w:tc>
          <w:tcPr>
            <w:tcW w:w="3828" w:type="dxa"/>
            <w:tcBorders>
              <w:bottom w:val="single" w:sz="4" w:space="0" w:color="auto"/>
            </w:tcBorders>
          </w:tcPr>
          <w:p w14:paraId="75333551"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Sample</w:t>
            </w:r>
          </w:p>
        </w:tc>
        <w:tc>
          <w:tcPr>
            <w:tcW w:w="2410" w:type="dxa"/>
            <w:tcBorders>
              <w:bottom w:val="single" w:sz="4" w:space="0" w:color="auto"/>
            </w:tcBorders>
          </w:tcPr>
          <w:p w14:paraId="48915F28"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All developing countries</w:t>
            </w:r>
          </w:p>
        </w:tc>
        <w:tc>
          <w:tcPr>
            <w:tcW w:w="1417" w:type="dxa"/>
            <w:tcBorders>
              <w:bottom w:val="single" w:sz="4" w:space="0" w:color="auto"/>
            </w:tcBorders>
          </w:tcPr>
          <w:p w14:paraId="0BFC6FC1"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Autocracies</w:t>
            </w:r>
          </w:p>
        </w:tc>
        <w:tc>
          <w:tcPr>
            <w:tcW w:w="1701" w:type="dxa"/>
            <w:tcBorders>
              <w:bottom w:val="single" w:sz="4" w:space="0" w:color="auto"/>
            </w:tcBorders>
          </w:tcPr>
          <w:p w14:paraId="6E57FA01"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Democracies</w:t>
            </w:r>
          </w:p>
        </w:tc>
      </w:tr>
      <w:tr w:rsidR="00D5078E" w:rsidRPr="00D5078E" w14:paraId="639E9E09" w14:textId="77777777" w:rsidTr="00D5078E">
        <w:tc>
          <w:tcPr>
            <w:tcW w:w="3828" w:type="dxa"/>
            <w:shd w:val="clear" w:color="auto" w:fill="F2F2F2" w:themeFill="background1" w:themeFillShade="F2"/>
          </w:tcPr>
          <w:p w14:paraId="7DDF73AE" w14:textId="77777777" w:rsidR="00D5078E" w:rsidRPr="00D5078E" w:rsidRDefault="00D5078E" w:rsidP="00D5078E">
            <w:pPr>
              <w:widowControl w:val="0"/>
              <w:autoSpaceDE w:val="0"/>
              <w:autoSpaceDN w:val="0"/>
              <w:adjustRightInd w:val="0"/>
              <w:spacing w:line="240" w:lineRule="auto"/>
              <w:rPr>
                <w:b/>
                <w:sz w:val="23"/>
                <w:szCs w:val="23"/>
              </w:rPr>
            </w:pPr>
            <w:r w:rsidRPr="00D5078E">
              <w:rPr>
                <w:b/>
                <w:sz w:val="23"/>
                <w:szCs w:val="23"/>
              </w:rPr>
              <w:t>Remittances (in constant US$, log)</w:t>
            </w:r>
            <w:r w:rsidRPr="00D5078E">
              <w:rPr>
                <w:sz w:val="23"/>
                <w:szCs w:val="23"/>
                <w:vertAlign w:val="subscript"/>
              </w:rPr>
              <w:t xml:space="preserve"> t-1</w:t>
            </w:r>
          </w:p>
        </w:tc>
        <w:tc>
          <w:tcPr>
            <w:tcW w:w="2410" w:type="dxa"/>
            <w:shd w:val="clear" w:color="auto" w:fill="F2F2F2" w:themeFill="background1" w:themeFillShade="F2"/>
            <w:vAlign w:val="bottom"/>
          </w:tcPr>
          <w:p w14:paraId="0065D480" w14:textId="77777777" w:rsidR="00D5078E" w:rsidRPr="00D5078E" w:rsidRDefault="00D5078E" w:rsidP="00D5078E">
            <w:pPr>
              <w:widowControl w:val="0"/>
              <w:autoSpaceDE w:val="0"/>
              <w:autoSpaceDN w:val="0"/>
              <w:adjustRightInd w:val="0"/>
              <w:spacing w:line="240" w:lineRule="auto"/>
              <w:jc w:val="center"/>
              <w:rPr>
                <w:b/>
                <w:sz w:val="23"/>
                <w:szCs w:val="23"/>
              </w:rPr>
            </w:pPr>
            <w:r w:rsidRPr="00D5078E">
              <w:rPr>
                <w:sz w:val="23"/>
                <w:szCs w:val="23"/>
              </w:rPr>
              <w:t>-0.0663</w:t>
            </w:r>
          </w:p>
        </w:tc>
        <w:tc>
          <w:tcPr>
            <w:tcW w:w="1417" w:type="dxa"/>
            <w:shd w:val="clear" w:color="auto" w:fill="F2F2F2" w:themeFill="background1" w:themeFillShade="F2"/>
            <w:vAlign w:val="bottom"/>
          </w:tcPr>
          <w:p w14:paraId="5D95D065" w14:textId="77777777" w:rsidR="00D5078E" w:rsidRPr="00D5078E" w:rsidRDefault="00D5078E" w:rsidP="00D5078E">
            <w:pPr>
              <w:widowControl w:val="0"/>
              <w:autoSpaceDE w:val="0"/>
              <w:autoSpaceDN w:val="0"/>
              <w:adjustRightInd w:val="0"/>
              <w:spacing w:line="240" w:lineRule="auto"/>
              <w:jc w:val="center"/>
              <w:rPr>
                <w:b/>
                <w:sz w:val="23"/>
                <w:szCs w:val="23"/>
              </w:rPr>
            </w:pPr>
            <w:r w:rsidRPr="00D5078E">
              <w:rPr>
                <w:sz w:val="23"/>
                <w:szCs w:val="23"/>
              </w:rPr>
              <w:t>-0.164**</w:t>
            </w:r>
          </w:p>
        </w:tc>
        <w:tc>
          <w:tcPr>
            <w:tcW w:w="1701" w:type="dxa"/>
            <w:shd w:val="clear" w:color="auto" w:fill="F2F2F2" w:themeFill="background1" w:themeFillShade="F2"/>
            <w:vAlign w:val="bottom"/>
          </w:tcPr>
          <w:p w14:paraId="57689EBD"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0.0247</w:t>
            </w:r>
          </w:p>
        </w:tc>
      </w:tr>
      <w:tr w:rsidR="00D5078E" w:rsidRPr="00D5078E" w14:paraId="2B43D519" w14:textId="77777777" w:rsidTr="00D5078E">
        <w:tc>
          <w:tcPr>
            <w:tcW w:w="3828" w:type="dxa"/>
            <w:shd w:val="clear" w:color="auto" w:fill="F2F2F2" w:themeFill="background1" w:themeFillShade="F2"/>
          </w:tcPr>
          <w:p w14:paraId="5721B641"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shd w:val="clear" w:color="auto" w:fill="F2F2F2" w:themeFill="background1" w:themeFillShade="F2"/>
            <w:vAlign w:val="bottom"/>
          </w:tcPr>
          <w:p w14:paraId="4359C689"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(0.0666)</w:t>
            </w:r>
          </w:p>
        </w:tc>
        <w:tc>
          <w:tcPr>
            <w:tcW w:w="1417" w:type="dxa"/>
            <w:shd w:val="clear" w:color="auto" w:fill="F2F2F2" w:themeFill="background1" w:themeFillShade="F2"/>
            <w:vAlign w:val="bottom"/>
          </w:tcPr>
          <w:p w14:paraId="6622575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(0.0750)</w:t>
            </w:r>
          </w:p>
        </w:tc>
        <w:tc>
          <w:tcPr>
            <w:tcW w:w="1701" w:type="dxa"/>
            <w:shd w:val="clear" w:color="auto" w:fill="F2F2F2" w:themeFill="background1" w:themeFillShade="F2"/>
            <w:vAlign w:val="bottom"/>
          </w:tcPr>
          <w:p w14:paraId="4E7CF806"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(0.0853)</w:t>
            </w:r>
          </w:p>
        </w:tc>
      </w:tr>
      <w:tr w:rsidR="00D5078E" w:rsidRPr="00D5078E" w14:paraId="4EA06C48" w14:textId="77777777" w:rsidTr="00D5078E">
        <w:tc>
          <w:tcPr>
            <w:tcW w:w="3828" w:type="dxa"/>
            <w:shd w:val="clear" w:color="auto" w:fill="F2F2F2" w:themeFill="background1" w:themeFillShade="F2"/>
          </w:tcPr>
          <w:p w14:paraId="6452EE88" w14:textId="77777777" w:rsidR="00D5078E" w:rsidRPr="00D5078E" w:rsidRDefault="00D5078E" w:rsidP="00D5078E">
            <w:pPr>
              <w:widowControl w:val="0"/>
              <w:autoSpaceDE w:val="0"/>
              <w:autoSpaceDN w:val="0"/>
              <w:adjustRightInd w:val="0"/>
              <w:spacing w:line="240" w:lineRule="auto"/>
              <w:rPr>
                <w:b/>
                <w:sz w:val="23"/>
                <w:szCs w:val="23"/>
              </w:rPr>
            </w:pPr>
            <w:r w:rsidRPr="00D5078E">
              <w:rPr>
                <w:b/>
                <w:sz w:val="23"/>
                <w:szCs w:val="23"/>
              </w:rPr>
              <w:t>CBI</w:t>
            </w:r>
            <w:r w:rsidRPr="00D5078E">
              <w:rPr>
                <w:sz w:val="23"/>
                <w:szCs w:val="23"/>
                <w:vertAlign w:val="subscript"/>
              </w:rPr>
              <w:t xml:space="preserve"> t-1</w:t>
            </w:r>
          </w:p>
        </w:tc>
        <w:tc>
          <w:tcPr>
            <w:tcW w:w="2410" w:type="dxa"/>
            <w:shd w:val="clear" w:color="auto" w:fill="F2F2F2" w:themeFill="background1" w:themeFillShade="F2"/>
            <w:vAlign w:val="bottom"/>
          </w:tcPr>
          <w:p w14:paraId="5C95B810" w14:textId="77777777" w:rsidR="00D5078E" w:rsidRPr="00D5078E" w:rsidRDefault="00D5078E" w:rsidP="00D5078E">
            <w:pPr>
              <w:widowControl w:val="0"/>
              <w:autoSpaceDE w:val="0"/>
              <w:autoSpaceDN w:val="0"/>
              <w:adjustRightInd w:val="0"/>
              <w:spacing w:line="240" w:lineRule="auto"/>
              <w:jc w:val="center"/>
              <w:rPr>
                <w:b/>
                <w:sz w:val="23"/>
                <w:szCs w:val="23"/>
              </w:rPr>
            </w:pPr>
            <w:r w:rsidRPr="00D5078E">
              <w:rPr>
                <w:sz w:val="23"/>
                <w:szCs w:val="23"/>
              </w:rPr>
              <w:t>-3.401*</w:t>
            </w:r>
          </w:p>
        </w:tc>
        <w:tc>
          <w:tcPr>
            <w:tcW w:w="1417" w:type="dxa"/>
            <w:shd w:val="clear" w:color="auto" w:fill="F2F2F2" w:themeFill="background1" w:themeFillShade="F2"/>
            <w:vAlign w:val="bottom"/>
          </w:tcPr>
          <w:p w14:paraId="76C323C9" w14:textId="77777777" w:rsidR="00D5078E" w:rsidRPr="00D5078E" w:rsidRDefault="00D5078E" w:rsidP="00D5078E">
            <w:pPr>
              <w:widowControl w:val="0"/>
              <w:autoSpaceDE w:val="0"/>
              <w:autoSpaceDN w:val="0"/>
              <w:adjustRightInd w:val="0"/>
              <w:spacing w:line="240" w:lineRule="auto"/>
              <w:jc w:val="center"/>
              <w:rPr>
                <w:b/>
                <w:sz w:val="23"/>
                <w:szCs w:val="23"/>
              </w:rPr>
            </w:pPr>
            <w:r w:rsidRPr="00D5078E">
              <w:rPr>
                <w:sz w:val="23"/>
                <w:szCs w:val="23"/>
              </w:rPr>
              <w:t>-7.254***</w:t>
            </w:r>
          </w:p>
        </w:tc>
        <w:tc>
          <w:tcPr>
            <w:tcW w:w="1701" w:type="dxa"/>
            <w:shd w:val="clear" w:color="auto" w:fill="F2F2F2" w:themeFill="background1" w:themeFillShade="F2"/>
            <w:vAlign w:val="bottom"/>
          </w:tcPr>
          <w:p w14:paraId="3740DE64"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0.293</w:t>
            </w:r>
          </w:p>
        </w:tc>
      </w:tr>
      <w:tr w:rsidR="00D5078E" w:rsidRPr="00D5078E" w14:paraId="4CEF7E8A" w14:textId="77777777" w:rsidTr="00D5078E">
        <w:tc>
          <w:tcPr>
            <w:tcW w:w="3828" w:type="dxa"/>
            <w:shd w:val="clear" w:color="auto" w:fill="F2F2F2" w:themeFill="background1" w:themeFillShade="F2"/>
          </w:tcPr>
          <w:p w14:paraId="7B66EAB5"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shd w:val="clear" w:color="auto" w:fill="F2F2F2" w:themeFill="background1" w:themeFillShade="F2"/>
            <w:vAlign w:val="bottom"/>
          </w:tcPr>
          <w:p w14:paraId="364718D1"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(1.950)</w:t>
            </w:r>
          </w:p>
        </w:tc>
        <w:tc>
          <w:tcPr>
            <w:tcW w:w="1417" w:type="dxa"/>
            <w:shd w:val="clear" w:color="auto" w:fill="F2F2F2" w:themeFill="background1" w:themeFillShade="F2"/>
            <w:vAlign w:val="bottom"/>
          </w:tcPr>
          <w:p w14:paraId="608FD587"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(2.241)</w:t>
            </w:r>
          </w:p>
        </w:tc>
        <w:tc>
          <w:tcPr>
            <w:tcW w:w="1701" w:type="dxa"/>
            <w:shd w:val="clear" w:color="auto" w:fill="F2F2F2" w:themeFill="background1" w:themeFillShade="F2"/>
            <w:vAlign w:val="bottom"/>
          </w:tcPr>
          <w:p w14:paraId="08FF807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(2.361)</w:t>
            </w:r>
          </w:p>
        </w:tc>
      </w:tr>
      <w:tr w:rsidR="00D5078E" w:rsidRPr="00D5078E" w14:paraId="3D650118" w14:textId="77777777" w:rsidTr="00D5078E">
        <w:tc>
          <w:tcPr>
            <w:tcW w:w="3828" w:type="dxa"/>
            <w:shd w:val="clear" w:color="auto" w:fill="F2F2F2" w:themeFill="background1" w:themeFillShade="F2"/>
          </w:tcPr>
          <w:p w14:paraId="1AD647E8" w14:textId="10C59773" w:rsidR="00D5078E" w:rsidRPr="00D5078E" w:rsidRDefault="00D5078E" w:rsidP="00D5078E">
            <w:pPr>
              <w:widowControl w:val="0"/>
              <w:autoSpaceDE w:val="0"/>
              <w:autoSpaceDN w:val="0"/>
              <w:adjustRightInd w:val="0"/>
              <w:spacing w:line="240" w:lineRule="auto"/>
              <w:rPr>
                <w:b/>
                <w:sz w:val="23"/>
                <w:szCs w:val="23"/>
              </w:rPr>
            </w:pPr>
            <w:r w:rsidRPr="00D5078E">
              <w:rPr>
                <w:b/>
                <w:sz w:val="23"/>
                <w:szCs w:val="23"/>
              </w:rPr>
              <w:t>Remittances (in constant US$, log)</w:t>
            </w:r>
            <w:r w:rsidRPr="00D5078E">
              <w:rPr>
                <w:sz w:val="23"/>
                <w:szCs w:val="23"/>
                <w:vertAlign w:val="subscript"/>
              </w:rPr>
              <w:t xml:space="preserve"> t-1</w:t>
            </w:r>
          </w:p>
        </w:tc>
        <w:tc>
          <w:tcPr>
            <w:tcW w:w="2410" w:type="dxa"/>
            <w:shd w:val="clear" w:color="auto" w:fill="F2F2F2" w:themeFill="background1" w:themeFillShade="F2"/>
            <w:vAlign w:val="bottom"/>
          </w:tcPr>
          <w:p w14:paraId="2991459B" w14:textId="77777777" w:rsidR="00D5078E" w:rsidRPr="00D5078E" w:rsidRDefault="00D5078E" w:rsidP="00D5078E">
            <w:pPr>
              <w:widowControl w:val="0"/>
              <w:autoSpaceDE w:val="0"/>
              <w:autoSpaceDN w:val="0"/>
              <w:adjustRightInd w:val="0"/>
              <w:spacing w:line="240" w:lineRule="auto"/>
              <w:jc w:val="center"/>
              <w:rPr>
                <w:b/>
                <w:sz w:val="23"/>
                <w:szCs w:val="23"/>
              </w:rPr>
            </w:pPr>
            <w:r w:rsidRPr="00D5078E">
              <w:rPr>
                <w:sz w:val="23"/>
                <w:szCs w:val="23"/>
              </w:rPr>
              <w:t>0.177</w:t>
            </w:r>
          </w:p>
        </w:tc>
        <w:tc>
          <w:tcPr>
            <w:tcW w:w="1417" w:type="dxa"/>
            <w:shd w:val="clear" w:color="auto" w:fill="F2F2F2" w:themeFill="background1" w:themeFillShade="F2"/>
            <w:vAlign w:val="bottom"/>
          </w:tcPr>
          <w:p w14:paraId="4528193C" w14:textId="77777777" w:rsidR="00D5078E" w:rsidRPr="00D5078E" w:rsidRDefault="00D5078E" w:rsidP="00D5078E">
            <w:pPr>
              <w:widowControl w:val="0"/>
              <w:autoSpaceDE w:val="0"/>
              <w:autoSpaceDN w:val="0"/>
              <w:adjustRightInd w:val="0"/>
              <w:spacing w:line="240" w:lineRule="auto"/>
              <w:jc w:val="center"/>
              <w:rPr>
                <w:b/>
                <w:sz w:val="23"/>
                <w:szCs w:val="23"/>
              </w:rPr>
            </w:pPr>
            <w:r w:rsidRPr="00D5078E">
              <w:rPr>
                <w:sz w:val="23"/>
                <w:szCs w:val="23"/>
              </w:rPr>
              <w:t>0.425***</w:t>
            </w:r>
          </w:p>
        </w:tc>
        <w:tc>
          <w:tcPr>
            <w:tcW w:w="1701" w:type="dxa"/>
            <w:shd w:val="clear" w:color="auto" w:fill="F2F2F2" w:themeFill="background1" w:themeFillShade="F2"/>
            <w:vAlign w:val="bottom"/>
          </w:tcPr>
          <w:p w14:paraId="2E5CE90A"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-0.0498</w:t>
            </w:r>
          </w:p>
        </w:tc>
      </w:tr>
      <w:tr w:rsidR="00D5078E" w:rsidRPr="00D5078E" w14:paraId="73F58CBF" w14:textId="77777777" w:rsidTr="00D5078E">
        <w:tc>
          <w:tcPr>
            <w:tcW w:w="3828" w:type="dxa"/>
            <w:shd w:val="clear" w:color="auto" w:fill="F2F2F2" w:themeFill="background1" w:themeFillShade="F2"/>
          </w:tcPr>
          <w:p w14:paraId="66E7D51A" w14:textId="01B30C6B"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 xml:space="preserve">           *</w:t>
            </w:r>
            <w:r w:rsidRPr="00D5078E">
              <w:rPr>
                <w:b/>
                <w:sz w:val="23"/>
                <w:szCs w:val="23"/>
              </w:rPr>
              <w:t>CBI</w:t>
            </w:r>
            <w:r w:rsidRPr="00D5078E">
              <w:rPr>
                <w:sz w:val="23"/>
                <w:szCs w:val="23"/>
                <w:vertAlign w:val="subscript"/>
              </w:rPr>
              <w:t xml:space="preserve"> t-1</w:t>
            </w:r>
          </w:p>
        </w:tc>
        <w:tc>
          <w:tcPr>
            <w:tcW w:w="2410" w:type="dxa"/>
            <w:shd w:val="clear" w:color="auto" w:fill="F2F2F2" w:themeFill="background1" w:themeFillShade="F2"/>
            <w:vAlign w:val="bottom"/>
          </w:tcPr>
          <w:p w14:paraId="66E7290D"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(0.118)</w:t>
            </w:r>
          </w:p>
        </w:tc>
        <w:tc>
          <w:tcPr>
            <w:tcW w:w="1417" w:type="dxa"/>
            <w:shd w:val="clear" w:color="auto" w:fill="F2F2F2" w:themeFill="background1" w:themeFillShade="F2"/>
            <w:vAlign w:val="bottom"/>
          </w:tcPr>
          <w:p w14:paraId="4D1EB30F"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(0.139)</w:t>
            </w:r>
          </w:p>
        </w:tc>
        <w:tc>
          <w:tcPr>
            <w:tcW w:w="1701" w:type="dxa"/>
            <w:shd w:val="clear" w:color="auto" w:fill="F2F2F2" w:themeFill="background1" w:themeFillShade="F2"/>
            <w:vAlign w:val="bottom"/>
          </w:tcPr>
          <w:p w14:paraId="2DC83066"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(0.153)</w:t>
            </w:r>
          </w:p>
        </w:tc>
      </w:tr>
      <w:tr w:rsidR="00D5078E" w:rsidRPr="00D5078E" w14:paraId="5B7F706C" w14:textId="77777777" w:rsidTr="00D5078E">
        <w:tc>
          <w:tcPr>
            <w:tcW w:w="3828" w:type="dxa"/>
          </w:tcPr>
          <w:p w14:paraId="2E257778"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Dependent variable</w:t>
            </w:r>
            <w:r w:rsidRPr="00D5078E">
              <w:rPr>
                <w:sz w:val="23"/>
                <w:szCs w:val="23"/>
                <w:vertAlign w:val="subscript"/>
              </w:rPr>
              <w:t>t-1</w:t>
            </w:r>
          </w:p>
        </w:tc>
        <w:tc>
          <w:tcPr>
            <w:tcW w:w="2410" w:type="dxa"/>
            <w:vAlign w:val="bottom"/>
          </w:tcPr>
          <w:p w14:paraId="6E6508A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2.802***</w:t>
            </w:r>
          </w:p>
        </w:tc>
        <w:tc>
          <w:tcPr>
            <w:tcW w:w="1417" w:type="dxa"/>
            <w:vAlign w:val="bottom"/>
          </w:tcPr>
          <w:p w14:paraId="35095172"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2.630***</w:t>
            </w:r>
          </w:p>
        </w:tc>
        <w:tc>
          <w:tcPr>
            <w:tcW w:w="1701" w:type="dxa"/>
            <w:vAlign w:val="bottom"/>
          </w:tcPr>
          <w:p w14:paraId="4186628C"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3.140***</w:t>
            </w:r>
          </w:p>
        </w:tc>
      </w:tr>
      <w:tr w:rsidR="00D5078E" w:rsidRPr="00D5078E" w14:paraId="597AE791" w14:textId="77777777" w:rsidTr="00D5078E">
        <w:tc>
          <w:tcPr>
            <w:tcW w:w="3828" w:type="dxa"/>
          </w:tcPr>
          <w:p w14:paraId="4308B7BA"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407D21E7"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(0.231)</w:t>
            </w:r>
          </w:p>
        </w:tc>
        <w:tc>
          <w:tcPr>
            <w:tcW w:w="1417" w:type="dxa"/>
            <w:vAlign w:val="bottom"/>
          </w:tcPr>
          <w:p w14:paraId="1B8A71C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(0.289)</w:t>
            </w:r>
          </w:p>
        </w:tc>
        <w:tc>
          <w:tcPr>
            <w:tcW w:w="1701" w:type="dxa"/>
            <w:vAlign w:val="bottom"/>
          </w:tcPr>
          <w:p w14:paraId="293B0D5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(0.379)</w:t>
            </w:r>
          </w:p>
        </w:tc>
      </w:tr>
      <w:tr w:rsidR="00D5078E" w:rsidRPr="00D5078E" w14:paraId="0EE65A24" w14:textId="77777777" w:rsidTr="00D5078E">
        <w:tc>
          <w:tcPr>
            <w:tcW w:w="3828" w:type="dxa"/>
          </w:tcPr>
          <w:p w14:paraId="5B128B47"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GDP (log)</w:t>
            </w:r>
            <w:r w:rsidRPr="00D5078E">
              <w:rPr>
                <w:sz w:val="23"/>
                <w:szCs w:val="23"/>
                <w:vertAlign w:val="subscript"/>
              </w:rPr>
              <w:t xml:space="preserve"> </w:t>
            </w:r>
          </w:p>
        </w:tc>
        <w:tc>
          <w:tcPr>
            <w:tcW w:w="2410" w:type="dxa"/>
            <w:vAlign w:val="bottom"/>
          </w:tcPr>
          <w:p w14:paraId="71760851"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0.380</w:t>
            </w:r>
          </w:p>
        </w:tc>
        <w:tc>
          <w:tcPr>
            <w:tcW w:w="1417" w:type="dxa"/>
            <w:vAlign w:val="bottom"/>
          </w:tcPr>
          <w:p w14:paraId="582A1059"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-0.376</w:t>
            </w:r>
          </w:p>
        </w:tc>
        <w:tc>
          <w:tcPr>
            <w:tcW w:w="1701" w:type="dxa"/>
            <w:vAlign w:val="bottom"/>
          </w:tcPr>
          <w:p w14:paraId="60C20929"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-8.959</w:t>
            </w:r>
          </w:p>
        </w:tc>
      </w:tr>
      <w:tr w:rsidR="00D5078E" w:rsidRPr="00D5078E" w14:paraId="177EDF15" w14:textId="77777777" w:rsidTr="00D5078E">
        <w:tc>
          <w:tcPr>
            <w:tcW w:w="3828" w:type="dxa"/>
          </w:tcPr>
          <w:p w14:paraId="361CCE4D"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0A2334CC"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(0.675)</w:t>
            </w:r>
          </w:p>
        </w:tc>
        <w:tc>
          <w:tcPr>
            <w:tcW w:w="1417" w:type="dxa"/>
            <w:vAlign w:val="bottom"/>
          </w:tcPr>
          <w:p w14:paraId="03AD1AE7"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(0.700)</w:t>
            </w:r>
          </w:p>
        </w:tc>
        <w:tc>
          <w:tcPr>
            <w:tcW w:w="1701" w:type="dxa"/>
            <w:vAlign w:val="bottom"/>
          </w:tcPr>
          <w:p w14:paraId="22EDCA84"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(9.030)</w:t>
            </w:r>
          </w:p>
        </w:tc>
      </w:tr>
      <w:tr w:rsidR="00D5078E" w:rsidRPr="00D5078E" w14:paraId="5E3FE5AC" w14:textId="77777777" w:rsidTr="00D5078E">
        <w:tc>
          <w:tcPr>
            <w:tcW w:w="3828" w:type="dxa"/>
          </w:tcPr>
          <w:p w14:paraId="7940D3C9"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GDP per capita (log)</w:t>
            </w:r>
            <w:r w:rsidRPr="00D5078E">
              <w:rPr>
                <w:sz w:val="23"/>
                <w:szCs w:val="23"/>
                <w:vertAlign w:val="subscript"/>
              </w:rPr>
              <w:t xml:space="preserve"> </w:t>
            </w:r>
          </w:p>
        </w:tc>
        <w:tc>
          <w:tcPr>
            <w:tcW w:w="2410" w:type="dxa"/>
            <w:vAlign w:val="bottom"/>
          </w:tcPr>
          <w:p w14:paraId="4709B7D6"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-0.363</w:t>
            </w:r>
          </w:p>
        </w:tc>
        <w:tc>
          <w:tcPr>
            <w:tcW w:w="1417" w:type="dxa"/>
            <w:vAlign w:val="bottom"/>
          </w:tcPr>
          <w:p w14:paraId="5ADE6348"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0.320</w:t>
            </w:r>
          </w:p>
        </w:tc>
        <w:tc>
          <w:tcPr>
            <w:tcW w:w="1701" w:type="dxa"/>
            <w:vAlign w:val="bottom"/>
          </w:tcPr>
          <w:p w14:paraId="2093B97E"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9.065</w:t>
            </w:r>
          </w:p>
        </w:tc>
      </w:tr>
      <w:tr w:rsidR="00D5078E" w:rsidRPr="00D5078E" w14:paraId="30A4DA17" w14:textId="77777777" w:rsidTr="00D5078E">
        <w:tc>
          <w:tcPr>
            <w:tcW w:w="3828" w:type="dxa"/>
          </w:tcPr>
          <w:p w14:paraId="545ADB96"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3CA6FD1B"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(0.680)</w:t>
            </w:r>
          </w:p>
        </w:tc>
        <w:tc>
          <w:tcPr>
            <w:tcW w:w="1417" w:type="dxa"/>
            <w:vAlign w:val="bottom"/>
          </w:tcPr>
          <w:p w14:paraId="6D48D90F"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(0.719)</w:t>
            </w:r>
          </w:p>
        </w:tc>
        <w:tc>
          <w:tcPr>
            <w:tcW w:w="1701" w:type="dxa"/>
            <w:vAlign w:val="bottom"/>
          </w:tcPr>
          <w:p w14:paraId="1EBC1601"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(8.998)</w:t>
            </w:r>
          </w:p>
        </w:tc>
      </w:tr>
      <w:tr w:rsidR="00D5078E" w:rsidRPr="00D5078E" w14:paraId="3B978251" w14:textId="77777777" w:rsidTr="00D5078E">
        <w:tc>
          <w:tcPr>
            <w:tcW w:w="3828" w:type="dxa"/>
          </w:tcPr>
          <w:p w14:paraId="3F4F60E6"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Exports</w:t>
            </w:r>
            <w:r w:rsidRPr="00D5078E">
              <w:rPr>
                <w:sz w:val="23"/>
                <w:szCs w:val="23"/>
                <w:vertAlign w:val="subscript"/>
              </w:rPr>
              <w:t xml:space="preserve"> t-1</w:t>
            </w:r>
            <w:r w:rsidRPr="00D5078E" w:rsidDel="006849AF">
              <w:rPr>
                <w:sz w:val="23"/>
                <w:szCs w:val="23"/>
              </w:rPr>
              <w:t xml:space="preserve"> </w:t>
            </w:r>
          </w:p>
        </w:tc>
        <w:tc>
          <w:tcPr>
            <w:tcW w:w="2410" w:type="dxa"/>
            <w:vAlign w:val="bottom"/>
          </w:tcPr>
          <w:p w14:paraId="63452867"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-0.00337</w:t>
            </w:r>
          </w:p>
        </w:tc>
        <w:tc>
          <w:tcPr>
            <w:tcW w:w="1417" w:type="dxa"/>
            <w:vAlign w:val="bottom"/>
          </w:tcPr>
          <w:p w14:paraId="6F2BD0E1"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-0.00241</w:t>
            </w:r>
          </w:p>
        </w:tc>
        <w:tc>
          <w:tcPr>
            <w:tcW w:w="1701" w:type="dxa"/>
            <w:vAlign w:val="bottom"/>
          </w:tcPr>
          <w:p w14:paraId="7EF9434B"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-0.00169</w:t>
            </w:r>
          </w:p>
        </w:tc>
      </w:tr>
      <w:tr w:rsidR="00D5078E" w:rsidRPr="00D5078E" w14:paraId="08D46FA2" w14:textId="77777777" w:rsidTr="00D5078E">
        <w:tc>
          <w:tcPr>
            <w:tcW w:w="3828" w:type="dxa"/>
          </w:tcPr>
          <w:p w14:paraId="3E6F30D2"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4AB0C87F"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(0.00289)</w:t>
            </w:r>
          </w:p>
        </w:tc>
        <w:tc>
          <w:tcPr>
            <w:tcW w:w="1417" w:type="dxa"/>
            <w:vAlign w:val="bottom"/>
          </w:tcPr>
          <w:p w14:paraId="7B0892AA"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(0.00290)</w:t>
            </w:r>
          </w:p>
        </w:tc>
        <w:tc>
          <w:tcPr>
            <w:tcW w:w="1701" w:type="dxa"/>
            <w:vAlign w:val="bottom"/>
          </w:tcPr>
          <w:p w14:paraId="12EF7E7E"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(0.00578)</w:t>
            </w:r>
          </w:p>
        </w:tc>
      </w:tr>
      <w:tr w:rsidR="00D5078E" w:rsidRPr="00D5078E" w14:paraId="2F1E85CF" w14:textId="77777777" w:rsidTr="00D5078E">
        <w:tc>
          <w:tcPr>
            <w:tcW w:w="3828" w:type="dxa"/>
          </w:tcPr>
          <w:p w14:paraId="58CB54BE"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Reserves in months of imports</w:t>
            </w:r>
            <w:r w:rsidRPr="00D5078E" w:rsidDel="006849AF">
              <w:rPr>
                <w:sz w:val="23"/>
                <w:szCs w:val="23"/>
              </w:rPr>
              <w:t xml:space="preserve"> </w:t>
            </w:r>
          </w:p>
        </w:tc>
        <w:tc>
          <w:tcPr>
            <w:tcW w:w="2410" w:type="dxa"/>
            <w:vAlign w:val="bottom"/>
          </w:tcPr>
          <w:p w14:paraId="0B7EF46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-0.00291</w:t>
            </w:r>
          </w:p>
        </w:tc>
        <w:tc>
          <w:tcPr>
            <w:tcW w:w="1417" w:type="dxa"/>
            <w:vAlign w:val="bottom"/>
          </w:tcPr>
          <w:p w14:paraId="20723B01"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-0.0111</w:t>
            </w:r>
          </w:p>
        </w:tc>
        <w:tc>
          <w:tcPr>
            <w:tcW w:w="1701" w:type="dxa"/>
            <w:vAlign w:val="bottom"/>
          </w:tcPr>
          <w:p w14:paraId="594E6250"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-0.0205</w:t>
            </w:r>
          </w:p>
        </w:tc>
      </w:tr>
      <w:tr w:rsidR="00D5078E" w:rsidRPr="00D5078E" w14:paraId="22E909C2" w14:textId="77777777" w:rsidTr="00D5078E">
        <w:tc>
          <w:tcPr>
            <w:tcW w:w="3828" w:type="dxa"/>
          </w:tcPr>
          <w:p w14:paraId="41001B82"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3C2C24BE"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(0.0126)</w:t>
            </w:r>
          </w:p>
        </w:tc>
        <w:tc>
          <w:tcPr>
            <w:tcW w:w="1417" w:type="dxa"/>
            <w:vAlign w:val="bottom"/>
          </w:tcPr>
          <w:p w14:paraId="048A50B0"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(0.0229)</w:t>
            </w:r>
          </w:p>
        </w:tc>
        <w:tc>
          <w:tcPr>
            <w:tcW w:w="1701" w:type="dxa"/>
            <w:vAlign w:val="bottom"/>
          </w:tcPr>
          <w:p w14:paraId="4946243D"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(0.0187)</w:t>
            </w:r>
          </w:p>
        </w:tc>
      </w:tr>
      <w:tr w:rsidR="00D5078E" w:rsidRPr="00D5078E" w14:paraId="7868DF4B" w14:textId="77777777" w:rsidTr="00D5078E">
        <w:tc>
          <w:tcPr>
            <w:tcW w:w="3828" w:type="dxa"/>
          </w:tcPr>
          <w:p w14:paraId="612829E5"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Trade volatility</w:t>
            </w:r>
            <w:r w:rsidRPr="00D5078E">
              <w:rPr>
                <w:sz w:val="23"/>
                <w:szCs w:val="23"/>
                <w:vertAlign w:val="subscript"/>
              </w:rPr>
              <w:t xml:space="preserve"> </w:t>
            </w:r>
          </w:p>
        </w:tc>
        <w:tc>
          <w:tcPr>
            <w:tcW w:w="2410" w:type="dxa"/>
            <w:vAlign w:val="bottom"/>
          </w:tcPr>
          <w:p w14:paraId="5CDC2EE6"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0.00332</w:t>
            </w:r>
          </w:p>
        </w:tc>
        <w:tc>
          <w:tcPr>
            <w:tcW w:w="1417" w:type="dxa"/>
            <w:vAlign w:val="bottom"/>
          </w:tcPr>
          <w:p w14:paraId="06001F4D"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0.00199</w:t>
            </w:r>
          </w:p>
        </w:tc>
        <w:tc>
          <w:tcPr>
            <w:tcW w:w="1701" w:type="dxa"/>
            <w:vAlign w:val="bottom"/>
          </w:tcPr>
          <w:p w14:paraId="4DBD761C"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0.0168</w:t>
            </w:r>
          </w:p>
        </w:tc>
      </w:tr>
      <w:tr w:rsidR="00D5078E" w:rsidRPr="00D5078E" w14:paraId="458DBE5D" w14:textId="77777777" w:rsidTr="00D5078E">
        <w:tc>
          <w:tcPr>
            <w:tcW w:w="3828" w:type="dxa"/>
          </w:tcPr>
          <w:p w14:paraId="6A4B3941"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62E059F0"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(0.00599)</w:t>
            </w:r>
          </w:p>
        </w:tc>
        <w:tc>
          <w:tcPr>
            <w:tcW w:w="1417" w:type="dxa"/>
            <w:vAlign w:val="bottom"/>
          </w:tcPr>
          <w:p w14:paraId="53E73888"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(0.00683)</w:t>
            </w:r>
          </w:p>
        </w:tc>
        <w:tc>
          <w:tcPr>
            <w:tcW w:w="1701" w:type="dxa"/>
            <w:vAlign w:val="bottom"/>
          </w:tcPr>
          <w:p w14:paraId="6870AC45"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(0.0117)</w:t>
            </w:r>
          </w:p>
        </w:tc>
      </w:tr>
      <w:tr w:rsidR="00D5078E" w:rsidRPr="00D5078E" w14:paraId="1F452CDC" w14:textId="77777777" w:rsidTr="00D5078E">
        <w:tc>
          <w:tcPr>
            <w:tcW w:w="3828" w:type="dxa"/>
          </w:tcPr>
          <w:p w14:paraId="69CCD3D1"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Inflation</w:t>
            </w:r>
            <w:r w:rsidRPr="00D5078E">
              <w:rPr>
                <w:sz w:val="23"/>
                <w:szCs w:val="23"/>
                <w:vertAlign w:val="subscript"/>
              </w:rPr>
              <w:t xml:space="preserve"> t-1</w:t>
            </w:r>
            <w:r w:rsidRPr="00D5078E" w:rsidDel="006849AF">
              <w:rPr>
                <w:sz w:val="23"/>
                <w:szCs w:val="23"/>
              </w:rPr>
              <w:t xml:space="preserve"> </w:t>
            </w:r>
          </w:p>
        </w:tc>
        <w:tc>
          <w:tcPr>
            <w:tcW w:w="2410" w:type="dxa"/>
            <w:vAlign w:val="bottom"/>
          </w:tcPr>
          <w:p w14:paraId="71E6F78D"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0.0360</w:t>
            </w:r>
          </w:p>
        </w:tc>
        <w:tc>
          <w:tcPr>
            <w:tcW w:w="1417" w:type="dxa"/>
            <w:vAlign w:val="bottom"/>
          </w:tcPr>
          <w:p w14:paraId="44B3DB60"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-0.00153</w:t>
            </w:r>
          </w:p>
        </w:tc>
        <w:tc>
          <w:tcPr>
            <w:tcW w:w="1701" w:type="dxa"/>
            <w:vAlign w:val="bottom"/>
          </w:tcPr>
          <w:p w14:paraId="42F3D528"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0.0893</w:t>
            </w:r>
          </w:p>
        </w:tc>
      </w:tr>
      <w:tr w:rsidR="00D5078E" w:rsidRPr="00D5078E" w14:paraId="09703095" w14:textId="77777777" w:rsidTr="00D5078E">
        <w:tc>
          <w:tcPr>
            <w:tcW w:w="3828" w:type="dxa"/>
          </w:tcPr>
          <w:p w14:paraId="3BD6B8C8"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377BA7B9"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(0.125)</w:t>
            </w:r>
          </w:p>
        </w:tc>
        <w:tc>
          <w:tcPr>
            <w:tcW w:w="1417" w:type="dxa"/>
            <w:vAlign w:val="bottom"/>
          </w:tcPr>
          <w:p w14:paraId="1DDE4099"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(0.159)</w:t>
            </w:r>
          </w:p>
        </w:tc>
        <w:tc>
          <w:tcPr>
            <w:tcW w:w="1701" w:type="dxa"/>
            <w:vAlign w:val="bottom"/>
          </w:tcPr>
          <w:p w14:paraId="7260DFA2"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(0.180)</w:t>
            </w:r>
          </w:p>
        </w:tc>
      </w:tr>
      <w:tr w:rsidR="00D5078E" w:rsidRPr="00D5078E" w14:paraId="5306C725" w14:textId="77777777" w:rsidTr="00D5078E">
        <w:tc>
          <w:tcPr>
            <w:tcW w:w="3828" w:type="dxa"/>
          </w:tcPr>
          <w:p w14:paraId="300478CE"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Current account balance</w:t>
            </w:r>
            <w:r w:rsidRPr="00D5078E">
              <w:rPr>
                <w:sz w:val="23"/>
                <w:szCs w:val="23"/>
                <w:vertAlign w:val="subscript"/>
              </w:rPr>
              <w:t xml:space="preserve"> </w:t>
            </w:r>
          </w:p>
        </w:tc>
        <w:tc>
          <w:tcPr>
            <w:tcW w:w="2410" w:type="dxa"/>
            <w:vAlign w:val="bottom"/>
          </w:tcPr>
          <w:p w14:paraId="369B44EA"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-0.000754</w:t>
            </w:r>
          </w:p>
        </w:tc>
        <w:tc>
          <w:tcPr>
            <w:tcW w:w="1417" w:type="dxa"/>
            <w:vAlign w:val="bottom"/>
          </w:tcPr>
          <w:p w14:paraId="7DAF82D2"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-0.00554</w:t>
            </w:r>
          </w:p>
        </w:tc>
        <w:tc>
          <w:tcPr>
            <w:tcW w:w="1701" w:type="dxa"/>
            <w:vAlign w:val="bottom"/>
          </w:tcPr>
          <w:p w14:paraId="513AACDF"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0.0302</w:t>
            </w:r>
          </w:p>
        </w:tc>
      </w:tr>
      <w:tr w:rsidR="00D5078E" w:rsidRPr="00D5078E" w14:paraId="5FF68B0A" w14:textId="77777777" w:rsidTr="00D5078E">
        <w:trPr>
          <w:trHeight w:val="147"/>
        </w:trPr>
        <w:tc>
          <w:tcPr>
            <w:tcW w:w="3828" w:type="dxa"/>
          </w:tcPr>
          <w:p w14:paraId="4612B201"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5643A8DA"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(0.00809)</w:t>
            </w:r>
          </w:p>
        </w:tc>
        <w:tc>
          <w:tcPr>
            <w:tcW w:w="1417" w:type="dxa"/>
            <w:vAlign w:val="bottom"/>
          </w:tcPr>
          <w:p w14:paraId="7CB1A0E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(0.00776)</w:t>
            </w:r>
          </w:p>
        </w:tc>
        <w:tc>
          <w:tcPr>
            <w:tcW w:w="1701" w:type="dxa"/>
            <w:vAlign w:val="bottom"/>
          </w:tcPr>
          <w:p w14:paraId="457621AC"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(0.0227)</w:t>
            </w:r>
          </w:p>
        </w:tc>
      </w:tr>
      <w:tr w:rsidR="00D5078E" w:rsidRPr="00D5078E" w14:paraId="5026C9AC" w14:textId="77777777" w:rsidTr="00D5078E">
        <w:tc>
          <w:tcPr>
            <w:tcW w:w="3828" w:type="dxa"/>
          </w:tcPr>
          <w:p w14:paraId="1040EA62"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Capital account openness</w:t>
            </w:r>
          </w:p>
        </w:tc>
        <w:tc>
          <w:tcPr>
            <w:tcW w:w="2410" w:type="dxa"/>
            <w:vAlign w:val="bottom"/>
          </w:tcPr>
          <w:p w14:paraId="256C6CB9"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0.0344</w:t>
            </w:r>
          </w:p>
        </w:tc>
        <w:tc>
          <w:tcPr>
            <w:tcW w:w="1417" w:type="dxa"/>
            <w:vAlign w:val="bottom"/>
          </w:tcPr>
          <w:p w14:paraId="4B93B4BF"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0.0637</w:t>
            </w:r>
          </w:p>
        </w:tc>
        <w:tc>
          <w:tcPr>
            <w:tcW w:w="1701" w:type="dxa"/>
            <w:vAlign w:val="bottom"/>
          </w:tcPr>
          <w:p w14:paraId="7C89DE6C"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-0.00415</w:t>
            </w:r>
          </w:p>
        </w:tc>
      </w:tr>
      <w:tr w:rsidR="00D5078E" w:rsidRPr="00D5078E" w14:paraId="1B4547E7" w14:textId="77777777" w:rsidTr="00D5078E">
        <w:tc>
          <w:tcPr>
            <w:tcW w:w="3828" w:type="dxa"/>
            <w:shd w:val="clear" w:color="auto" w:fill="auto"/>
          </w:tcPr>
          <w:p w14:paraId="7B13AFCF"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shd w:val="clear" w:color="auto" w:fill="auto"/>
            <w:vAlign w:val="bottom"/>
          </w:tcPr>
          <w:p w14:paraId="3D4CA0B8"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(0.0341)</w:t>
            </w:r>
          </w:p>
        </w:tc>
        <w:tc>
          <w:tcPr>
            <w:tcW w:w="1417" w:type="dxa"/>
            <w:shd w:val="clear" w:color="auto" w:fill="auto"/>
            <w:vAlign w:val="bottom"/>
          </w:tcPr>
          <w:p w14:paraId="3FBE8AE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(0.0426)</w:t>
            </w:r>
          </w:p>
        </w:tc>
        <w:tc>
          <w:tcPr>
            <w:tcW w:w="1701" w:type="dxa"/>
            <w:vAlign w:val="bottom"/>
          </w:tcPr>
          <w:p w14:paraId="0BE2EA5A"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(0.0673)</w:t>
            </w:r>
          </w:p>
        </w:tc>
      </w:tr>
      <w:tr w:rsidR="00D5078E" w:rsidRPr="00D5078E" w14:paraId="3703829C" w14:textId="77777777" w:rsidTr="00D5078E">
        <w:tc>
          <w:tcPr>
            <w:tcW w:w="3828" w:type="dxa"/>
            <w:shd w:val="clear" w:color="auto" w:fill="auto"/>
          </w:tcPr>
          <w:p w14:paraId="4BE42E27"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Polity2</w:t>
            </w:r>
          </w:p>
        </w:tc>
        <w:tc>
          <w:tcPr>
            <w:tcW w:w="2410" w:type="dxa"/>
            <w:shd w:val="clear" w:color="auto" w:fill="auto"/>
            <w:vAlign w:val="bottom"/>
          </w:tcPr>
          <w:p w14:paraId="0BCB61B7" w14:textId="77777777" w:rsidR="00D5078E" w:rsidRPr="00D5078E" w:rsidRDefault="00D5078E" w:rsidP="00D5078E">
            <w:pPr>
              <w:spacing w:line="240" w:lineRule="auto"/>
              <w:jc w:val="center"/>
              <w:rPr>
                <w:sz w:val="23"/>
                <w:szCs w:val="23"/>
              </w:rPr>
            </w:pPr>
            <w:r w:rsidRPr="00D5078E">
              <w:rPr>
                <w:sz w:val="23"/>
                <w:szCs w:val="23"/>
              </w:rPr>
              <w:t>0.0187***</w:t>
            </w:r>
          </w:p>
        </w:tc>
        <w:tc>
          <w:tcPr>
            <w:tcW w:w="1417" w:type="dxa"/>
            <w:shd w:val="clear" w:color="auto" w:fill="auto"/>
            <w:vAlign w:val="bottom"/>
          </w:tcPr>
          <w:p w14:paraId="14707144" w14:textId="77777777" w:rsidR="00D5078E" w:rsidRPr="00D5078E" w:rsidRDefault="00D5078E" w:rsidP="00D5078E">
            <w:pPr>
              <w:widowControl w:val="0"/>
              <w:autoSpaceDE w:val="0"/>
              <w:autoSpaceDN w:val="0"/>
              <w:adjustRightInd w:val="0"/>
              <w:spacing w:line="240" w:lineRule="auto"/>
              <w:jc w:val="center"/>
              <w:rPr>
                <w:sz w:val="23"/>
                <w:szCs w:val="23"/>
              </w:rPr>
            </w:pPr>
          </w:p>
        </w:tc>
        <w:tc>
          <w:tcPr>
            <w:tcW w:w="1701" w:type="dxa"/>
            <w:vAlign w:val="bottom"/>
          </w:tcPr>
          <w:p w14:paraId="38B5F1A1" w14:textId="77777777" w:rsidR="00D5078E" w:rsidRPr="00D5078E" w:rsidRDefault="00D5078E" w:rsidP="00D5078E">
            <w:pPr>
              <w:widowControl w:val="0"/>
              <w:autoSpaceDE w:val="0"/>
              <w:autoSpaceDN w:val="0"/>
              <w:adjustRightInd w:val="0"/>
              <w:spacing w:line="240" w:lineRule="auto"/>
              <w:jc w:val="center"/>
              <w:rPr>
                <w:sz w:val="23"/>
                <w:szCs w:val="23"/>
              </w:rPr>
            </w:pPr>
          </w:p>
        </w:tc>
      </w:tr>
      <w:tr w:rsidR="00D5078E" w:rsidRPr="00D5078E" w14:paraId="60EF76AA" w14:textId="77777777" w:rsidTr="00D5078E">
        <w:tc>
          <w:tcPr>
            <w:tcW w:w="3828" w:type="dxa"/>
            <w:shd w:val="clear" w:color="auto" w:fill="auto"/>
          </w:tcPr>
          <w:p w14:paraId="1CB65B56"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shd w:val="clear" w:color="auto" w:fill="auto"/>
            <w:vAlign w:val="bottom"/>
          </w:tcPr>
          <w:p w14:paraId="1ADAC2B8" w14:textId="77777777" w:rsidR="00D5078E" w:rsidRPr="00D5078E" w:rsidRDefault="00D5078E" w:rsidP="00D5078E">
            <w:pPr>
              <w:spacing w:line="240" w:lineRule="auto"/>
              <w:jc w:val="center"/>
              <w:rPr>
                <w:sz w:val="23"/>
                <w:szCs w:val="23"/>
              </w:rPr>
            </w:pPr>
            <w:r w:rsidRPr="00D5078E">
              <w:rPr>
                <w:sz w:val="23"/>
                <w:szCs w:val="23"/>
              </w:rPr>
              <w:t>(0.00708)</w:t>
            </w:r>
          </w:p>
        </w:tc>
        <w:tc>
          <w:tcPr>
            <w:tcW w:w="1417" w:type="dxa"/>
            <w:shd w:val="clear" w:color="auto" w:fill="auto"/>
            <w:vAlign w:val="bottom"/>
          </w:tcPr>
          <w:p w14:paraId="556CC377" w14:textId="77777777" w:rsidR="00D5078E" w:rsidRPr="00D5078E" w:rsidRDefault="00D5078E" w:rsidP="00D5078E">
            <w:pPr>
              <w:widowControl w:val="0"/>
              <w:autoSpaceDE w:val="0"/>
              <w:autoSpaceDN w:val="0"/>
              <w:adjustRightInd w:val="0"/>
              <w:spacing w:line="240" w:lineRule="auto"/>
              <w:jc w:val="center"/>
              <w:rPr>
                <w:sz w:val="23"/>
                <w:szCs w:val="23"/>
              </w:rPr>
            </w:pPr>
          </w:p>
        </w:tc>
        <w:tc>
          <w:tcPr>
            <w:tcW w:w="1701" w:type="dxa"/>
            <w:vAlign w:val="bottom"/>
          </w:tcPr>
          <w:p w14:paraId="48939607" w14:textId="77777777" w:rsidR="00D5078E" w:rsidRPr="00D5078E" w:rsidRDefault="00D5078E" w:rsidP="00D5078E">
            <w:pPr>
              <w:widowControl w:val="0"/>
              <w:autoSpaceDE w:val="0"/>
              <w:autoSpaceDN w:val="0"/>
              <w:adjustRightInd w:val="0"/>
              <w:spacing w:line="240" w:lineRule="auto"/>
              <w:jc w:val="center"/>
              <w:rPr>
                <w:sz w:val="23"/>
                <w:szCs w:val="23"/>
              </w:rPr>
            </w:pPr>
          </w:p>
        </w:tc>
      </w:tr>
      <w:tr w:rsidR="00D5078E" w:rsidRPr="00D5078E" w14:paraId="06C7A0E8" w14:textId="77777777" w:rsidTr="00D5078E">
        <w:tc>
          <w:tcPr>
            <w:tcW w:w="3828" w:type="dxa"/>
          </w:tcPr>
          <w:p w14:paraId="5DA835B7" w14:textId="5AC9F97E"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Share of manufactur</w:t>
            </w:r>
            <w:r w:rsidR="00D14293">
              <w:rPr>
                <w:sz w:val="23"/>
                <w:szCs w:val="23"/>
              </w:rPr>
              <w:t>ing</w:t>
            </w:r>
            <w:r w:rsidRPr="00D5078E">
              <w:rPr>
                <w:sz w:val="23"/>
                <w:szCs w:val="23"/>
              </w:rPr>
              <w:t xml:space="preserve"> </w:t>
            </w:r>
            <w:r w:rsidRPr="00D5078E">
              <w:rPr>
                <w:sz w:val="23"/>
                <w:szCs w:val="23"/>
                <w:vertAlign w:val="subscript"/>
              </w:rPr>
              <w:t>t-1</w:t>
            </w:r>
          </w:p>
        </w:tc>
        <w:tc>
          <w:tcPr>
            <w:tcW w:w="2410" w:type="dxa"/>
            <w:vAlign w:val="bottom"/>
          </w:tcPr>
          <w:p w14:paraId="1921A525" w14:textId="77777777" w:rsidR="00D5078E" w:rsidRPr="00D5078E" w:rsidRDefault="00D5078E" w:rsidP="00D5078E">
            <w:pPr>
              <w:spacing w:line="240" w:lineRule="auto"/>
              <w:jc w:val="center"/>
              <w:rPr>
                <w:sz w:val="23"/>
                <w:szCs w:val="23"/>
              </w:rPr>
            </w:pPr>
            <w:r w:rsidRPr="00D5078E">
              <w:rPr>
                <w:sz w:val="23"/>
                <w:szCs w:val="23"/>
              </w:rPr>
              <w:t>0.00739</w:t>
            </w:r>
          </w:p>
        </w:tc>
        <w:tc>
          <w:tcPr>
            <w:tcW w:w="1417" w:type="dxa"/>
            <w:vAlign w:val="bottom"/>
          </w:tcPr>
          <w:p w14:paraId="3AC932FD"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0.00900</w:t>
            </w:r>
          </w:p>
        </w:tc>
        <w:tc>
          <w:tcPr>
            <w:tcW w:w="1701" w:type="dxa"/>
            <w:vAlign w:val="bottom"/>
          </w:tcPr>
          <w:p w14:paraId="53B5F6BD"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-0.00307</w:t>
            </w:r>
          </w:p>
        </w:tc>
      </w:tr>
      <w:tr w:rsidR="00D5078E" w:rsidRPr="00D5078E" w14:paraId="603D5287" w14:textId="77777777" w:rsidTr="00D5078E">
        <w:tc>
          <w:tcPr>
            <w:tcW w:w="3828" w:type="dxa"/>
          </w:tcPr>
          <w:p w14:paraId="33749B81"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1B7E78AF" w14:textId="77777777" w:rsidR="00D5078E" w:rsidRPr="00D5078E" w:rsidRDefault="00D5078E" w:rsidP="00D5078E">
            <w:pPr>
              <w:spacing w:line="240" w:lineRule="auto"/>
              <w:jc w:val="center"/>
              <w:rPr>
                <w:sz w:val="23"/>
                <w:szCs w:val="23"/>
              </w:rPr>
            </w:pPr>
            <w:r w:rsidRPr="00D5078E">
              <w:rPr>
                <w:sz w:val="23"/>
                <w:szCs w:val="23"/>
              </w:rPr>
              <w:t>(0.00887)</w:t>
            </w:r>
          </w:p>
        </w:tc>
        <w:tc>
          <w:tcPr>
            <w:tcW w:w="1417" w:type="dxa"/>
            <w:vAlign w:val="bottom"/>
          </w:tcPr>
          <w:p w14:paraId="5DE89CBA" w14:textId="77777777" w:rsidR="00D5078E" w:rsidRPr="00D5078E" w:rsidRDefault="00D5078E" w:rsidP="00D5078E">
            <w:pPr>
              <w:widowControl w:val="0"/>
              <w:autoSpaceDE w:val="0"/>
              <w:autoSpaceDN w:val="0"/>
              <w:adjustRightInd w:val="0"/>
              <w:spacing w:line="240" w:lineRule="auto"/>
              <w:jc w:val="center"/>
              <w:rPr>
                <w:sz w:val="23"/>
                <w:szCs w:val="23"/>
                <w:lang w:eastAsia="es-MX"/>
              </w:rPr>
            </w:pPr>
            <w:r w:rsidRPr="00D5078E">
              <w:rPr>
                <w:sz w:val="23"/>
                <w:szCs w:val="23"/>
              </w:rPr>
              <w:t>(0.0108)</w:t>
            </w:r>
          </w:p>
        </w:tc>
        <w:tc>
          <w:tcPr>
            <w:tcW w:w="1701" w:type="dxa"/>
            <w:vAlign w:val="bottom"/>
          </w:tcPr>
          <w:p w14:paraId="3FD16C87"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(0.0139)</w:t>
            </w:r>
          </w:p>
        </w:tc>
      </w:tr>
      <w:tr w:rsidR="00D5078E" w:rsidRPr="00D5078E" w14:paraId="11EB8E2D" w14:textId="77777777" w:rsidTr="00D5078E">
        <w:tc>
          <w:tcPr>
            <w:tcW w:w="3828" w:type="dxa"/>
          </w:tcPr>
          <w:p w14:paraId="2B93FCEE"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Population (log)</w:t>
            </w:r>
            <w:r w:rsidRPr="00D5078E">
              <w:rPr>
                <w:sz w:val="23"/>
                <w:szCs w:val="23"/>
                <w:vertAlign w:val="subscript"/>
              </w:rPr>
              <w:t xml:space="preserve"> t-1</w:t>
            </w:r>
          </w:p>
        </w:tc>
        <w:tc>
          <w:tcPr>
            <w:tcW w:w="2410" w:type="dxa"/>
            <w:vAlign w:val="bottom"/>
          </w:tcPr>
          <w:p w14:paraId="675B01E9"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-0.344</w:t>
            </w:r>
          </w:p>
        </w:tc>
        <w:tc>
          <w:tcPr>
            <w:tcW w:w="1417" w:type="dxa"/>
            <w:vAlign w:val="bottom"/>
          </w:tcPr>
          <w:p w14:paraId="2965447A"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0.381</w:t>
            </w:r>
          </w:p>
        </w:tc>
        <w:tc>
          <w:tcPr>
            <w:tcW w:w="1701" w:type="dxa"/>
            <w:vAlign w:val="bottom"/>
          </w:tcPr>
          <w:p w14:paraId="2D00C75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9.039</w:t>
            </w:r>
          </w:p>
        </w:tc>
      </w:tr>
      <w:tr w:rsidR="00D5078E" w:rsidRPr="00D5078E" w14:paraId="7C29A3AA" w14:textId="77777777" w:rsidTr="00D5078E">
        <w:tc>
          <w:tcPr>
            <w:tcW w:w="3828" w:type="dxa"/>
          </w:tcPr>
          <w:p w14:paraId="14BA11B8"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41466A41"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(0.683)</w:t>
            </w:r>
          </w:p>
        </w:tc>
        <w:tc>
          <w:tcPr>
            <w:tcW w:w="1417" w:type="dxa"/>
            <w:vAlign w:val="bottom"/>
          </w:tcPr>
          <w:p w14:paraId="4567121C"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(0.720)</w:t>
            </w:r>
          </w:p>
        </w:tc>
        <w:tc>
          <w:tcPr>
            <w:tcW w:w="1701" w:type="dxa"/>
            <w:vAlign w:val="bottom"/>
          </w:tcPr>
          <w:p w14:paraId="1E2E957D"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(9.030)</w:t>
            </w:r>
          </w:p>
        </w:tc>
      </w:tr>
      <w:tr w:rsidR="00D5078E" w:rsidRPr="00D5078E" w14:paraId="74D87DDC" w14:textId="77777777" w:rsidTr="00D5078E">
        <w:tc>
          <w:tcPr>
            <w:tcW w:w="3828" w:type="dxa"/>
          </w:tcPr>
          <w:p w14:paraId="6478A6FE"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Constant cut1</w:t>
            </w:r>
          </w:p>
        </w:tc>
        <w:tc>
          <w:tcPr>
            <w:tcW w:w="2410" w:type="dxa"/>
            <w:vAlign w:val="bottom"/>
          </w:tcPr>
          <w:p w14:paraId="03AB5065"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3.700***</w:t>
            </w:r>
          </w:p>
        </w:tc>
        <w:tc>
          <w:tcPr>
            <w:tcW w:w="1417" w:type="dxa"/>
            <w:vAlign w:val="bottom"/>
          </w:tcPr>
          <w:p w14:paraId="5E37D84E"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0.771</w:t>
            </w:r>
          </w:p>
        </w:tc>
        <w:tc>
          <w:tcPr>
            <w:tcW w:w="1701" w:type="dxa"/>
            <w:vAlign w:val="bottom"/>
          </w:tcPr>
          <w:p w14:paraId="1F720938"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6.800***</w:t>
            </w:r>
          </w:p>
        </w:tc>
      </w:tr>
      <w:tr w:rsidR="00D5078E" w:rsidRPr="00D5078E" w14:paraId="1205AD5D" w14:textId="77777777" w:rsidTr="00D5078E">
        <w:tc>
          <w:tcPr>
            <w:tcW w:w="3828" w:type="dxa"/>
          </w:tcPr>
          <w:p w14:paraId="30615CEE"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2236E19E"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(1.302)</w:t>
            </w:r>
          </w:p>
        </w:tc>
        <w:tc>
          <w:tcPr>
            <w:tcW w:w="1417" w:type="dxa"/>
            <w:vAlign w:val="bottom"/>
          </w:tcPr>
          <w:p w14:paraId="2E7A24FE"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(1.567)</w:t>
            </w:r>
          </w:p>
        </w:tc>
        <w:tc>
          <w:tcPr>
            <w:tcW w:w="1701" w:type="dxa"/>
            <w:vAlign w:val="bottom"/>
          </w:tcPr>
          <w:p w14:paraId="1EE9FFC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(1.924)</w:t>
            </w:r>
          </w:p>
        </w:tc>
      </w:tr>
      <w:tr w:rsidR="00D5078E" w:rsidRPr="00D5078E" w14:paraId="608AC041" w14:textId="77777777" w:rsidTr="00D5078E">
        <w:tc>
          <w:tcPr>
            <w:tcW w:w="3828" w:type="dxa"/>
          </w:tcPr>
          <w:p w14:paraId="7ED8943C"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Constant cut2</w:t>
            </w:r>
          </w:p>
        </w:tc>
        <w:tc>
          <w:tcPr>
            <w:tcW w:w="2410" w:type="dxa"/>
            <w:vAlign w:val="bottom"/>
          </w:tcPr>
          <w:p w14:paraId="55BBBEA0"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6.750***</w:t>
            </w:r>
          </w:p>
        </w:tc>
        <w:tc>
          <w:tcPr>
            <w:tcW w:w="1417" w:type="dxa"/>
            <w:vAlign w:val="bottom"/>
          </w:tcPr>
          <w:p w14:paraId="1E8CF1A5"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3.695**</w:t>
            </w:r>
          </w:p>
        </w:tc>
        <w:tc>
          <w:tcPr>
            <w:tcW w:w="1701" w:type="dxa"/>
            <w:vAlign w:val="bottom"/>
          </w:tcPr>
          <w:p w14:paraId="201F018A"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10.14***</w:t>
            </w:r>
          </w:p>
        </w:tc>
      </w:tr>
      <w:tr w:rsidR="00D5078E" w:rsidRPr="00D5078E" w14:paraId="049ABB5F" w14:textId="77777777" w:rsidTr="00D5078E">
        <w:tc>
          <w:tcPr>
            <w:tcW w:w="3828" w:type="dxa"/>
          </w:tcPr>
          <w:p w14:paraId="45FE7580"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4DEE7AF4"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(1.346)</w:t>
            </w:r>
          </w:p>
        </w:tc>
        <w:tc>
          <w:tcPr>
            <w:tcW w:w="1417" w:type="dxa"/>
            <w:vAlign w:val="bottom"/>
          </w:tcPr>
          <w:p w14:paraId="50EFB91B"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(1.581)</w:t>
            </w:r>
          </w:p>
        </w:tc>
        <w:tc>
          <w:tcPr>
            <w:tcW w:w="1701" w:type="dxa"/>
            <w:vAlign w:val="bottom"/>
          </w:tcPr>
          <w:p w14:paraId="179D322E"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(2.038)</w:t>
            </w:r>
          </w:p>
        </w:tc>
      </w:tr>
      <w:tr w:rsidR="00D5078E" w:rsidRPr="00D5078E" w14:paraId="378332F5" w14:textId="77777777" w:rsidTr="00D5078E">
        <w:tc>
          <w:tcPr>
            <w:tcW w:w="3828" w:type="dxa"/>
          </w:tcPr>
          <w:p w14:paraId="3F12E8E1"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Constant cut3</w:t>
            </w:r>
          </w:p>
        </w:tc>
        <w:tc>
          <w:tcPr>
            <w:tcW w:w="2410" w:type="dxa"/>
            <w:vAlign w:val="bottom"/>
          </w:tcPr>
          <w:p w14:paraId="537CD08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9.974***</w:t>
            </w:r>
          </w:p>
        </w:tc>
        <w:tc>
          <w:tcPr>
            <w:tcW w:w="1417" w:type="dxa"/>
            <w:vAlign w:val="bottom"/>
          </w:tcPr>
          <w:p w14:paraId="76580415"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6.594***</w:t>
            </w:r>
          </w:p>
        </w:tc>
        <w:tc>
          <w:tcPr>
            <w:tcW w:w="1701" w:type="dxa"/>
            <w:vAlign w:val="bottom"/>
          </w:tcPr>
          <w:p w14:paraId="29A1994F"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13.94***</w:t>
            </w:r>
          </w:p>
        </w:tc>
      </w:tr>
      <w:tr w:rsidR="00D5078E" w:rsidRPr="00D5078E" w14:paraId="53AFDCF7" w14:textId="77777777" w:rsidTr="00D5078E">
        <w:tc>
          <w:tcPr>
            <w:tcW w:w="3828" w:type="dxa"/>
          </w:tcPr>
          <w:p w14:paraId="3F46B0E1" w14:textId="77777777" w:rsidR="00D5078E" w:rsidRPr="00D5078E" w:rsidRDefault="00D5078E" w:rsidP="00D5078E">
            <w:pPr>
              <w:widowControl w:val="0"/>
              <w:autoSpaceDE w:val="0"/>
              <w:autoSpaceDN w:val="0"/>
              <w:adjustRightInd w:val="0"/>
              <w:spacing w:line="240" w:lineRule="auto"/>
              <w:rPr>
                <w:sz w:val="23"/>
                <w:szCs w:val="23"/>
              </w:rPr>
            </w:pPr>
          </w:p>
        </w:tc>
        <w:tc>
          <w:tcPr>
            <w:tcW w:w="2410" w:type="dxa"/>
            <w:vAlign w:val="bottom"/>
          </w:tcPr>
          <w:p w14:paraId="15FC7358"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(1.437)</w:t>
            </w:r>
          </w:p>
        </w:tc>
        <w:tc>
          <w:tcPr>
            <w:tcW w:w="1417" w:type="dxa"/>
            <w:vAlign w:val="bottom"/>
          </w:tcPr>
          <w:p w14:paraId="10E1B50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(1.610)</w:t>
            </w:r>
          </w:p>
        </w:tc>
        <w:tc>
          <w:tcPr>
            <w:tcW w:w="1701" w:type="dxa"/>
            <w:vAlign w:val="bottom"/>
          </w:tcPr>
          <w:p w14:paraId="3DE9F6DA"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(2.269)</w:t>
            </w:r>
          </w:p>
        </w:tc>
      </w:tr>
      <w:tr w:rsidR="00D5078E" w:rsidRPr="00D5078E" w14:paraId="32AE94EB" w14:textId="77777777" w:rsidTr="00D5078E">
        <w:tc>
          <w:tcPr>
            <w:tcW w:w="3828" w:type="dxa"/>
            <w:shd w:val="clear" w:color="auto" w:fill="F2F2F2" w:themeFill="background1" w:themeFillShade="F2"/>
          </w:tcPr>
          <w:p w14:paraId="1CBCCC6B" w14:textId="77777777" w:rsidR="00D5078E" w:rsidRPr="00D5078E" w:rsidRDefault="00D5078E" w:rsidP="00D5078E">
            <w:pPr>
              <w:widowControl w:val="0"/>
              <w:autoSpaceDE w:val="0"/>
              <w:autoSpaceDN w:val="0"/>
              <w:adjustRightInd w:val="0"/>
              <w:spacing w:line="240" w:lineRule="auto"/>
              <w:rPr>
                <w:b/>
                <w:i/>
                <w:iCs/>
                <w:sz w:val="23"/>
                <w:szCs w:val="23"/>
              </w:rPr>
            </w:pPr>
            <w:r w:rsidRPr="00D5078E">
              <w:rPr>
                <w:b/>
                <w:i/>
                <w:iCs/>
                <w:sz w:val="23"/>
                <w:szCs w:val="23"/>
              </w:rPr>
              <w:t xml:space="preserve">β </w:t>
            </w:r>
            <w:r w:rsidRPr="00D5078E">
              <w:rPr>
                <w:b/>
                <w:i/>
                <w:iCs/>
                <w:sz w:val="23"/>
                <w:szCs w:val="23"/>
                <w:vertAlign w:val="subscript"/>
              </w:rPr>
              <w:t>remit</w:t>
            </w:r>
            <w:r w:rsidRPr="00D5078E">
              <w:rPr>
                <w:b/>
                <w:i/>
                <w:iCs/>
                <w:sz w:val="23"/>
                <w:szCs w:val="23"/>
              </w:rPr>
              <w:t xml:space="preserve"> + β </w:t>
            </w:r>
            <w:r w:rsidRPr="00D5078E">
              <w:rPr>
                <w:b/>
                <w:i/>
                <w:iCs/>
                <w:sz w:val="23"/>
                <w:szCs w:val="23"/>
                <w:vertAlign w:val="subscript"/>
              </w:rPr>
              <w:t>remit x CBI</w:t>
            </w:r>
          </w:p>
        </w:tc>
        <w:tc>
          <w:tcPr>
            <w:tcW w:w="2410" w:type="dxa"/>
            <w:shd w:val="clear" w:color="auto" w:fill="F2F2F2" w:themeFill="background1" w:themeFillShade="F2"/>
          </w:tcPr>
          <w:p w14:paraId="11FAF2CD" w14:textId="77777777" w:rsidR="00D5078E" w:rsidRPr="00D5078E" w:rsidRDefault="00D5078E" w:rsidP="00D5078E">
            <w:pPr>
              <w:widowControl w:val="0"/>
              <w:autoSpaceDE w:val="0"/>
              <w:autoSpaceDN w:val="0"/>
              <w:adjustRightInd w:val="0"/>
              <w:spacing w:line="240" w:lineRule="auto"/>
              <w:jc w:val="center"/>
              <w:rPr>
                <w:b/>
                <w:sz w:val="23"/>
                <w:szCs w:val="23"/>
              </w:rPr>
            </w:pPr>
            <w:r w:rsidRPr="00D5078E">
              <w:rPr>
                <w:b/>
                <w:sz w:val="23"/>
                <w:szCs w:val="23"/>
              </w:rPr>
              <w:t>0.110*</w:t>
            </w:r>
          </w:p>
        </w:tc>
        <w:tc>
          <w:tcPr>
            <w:tcW w:w="1417" w:type="dxa"/>
            <w:shd w:val="clear" w:color="auto" w:fill="F2F2F2" w:themeFill="background1" w:themeFillShade="F2"/>
          </w:tcPr>
          <w:p w14:paraId="6341525A" w14:textId="77777777" w:rsidR="00D5078E" w:rsidRPr="00D5078E" w:rsidRDefault="00D5078E" w:rsidP="00D5078E">
            <w:pPr>
              <w:widowControl w:val="0"/>
              <w:autoSpaceDE w:val="0"/>
              <w:autoSpaceDN w:val="0"/>
              <w:adjustRightInd w:val="0"/>
              <w:spacing w:line="240" w:lineRule="auto"/>
              <w:jc w:val="center"/>
              <w:rPr>
                <w:b/>
                <w:sz w:val="23"/>
                <w:szCs w:val="23"/>
              </w:rPr>
            </w:pPr>
            <w:r w:rsidRPr="00D5078E">
              <w:rPr>
                <w:b/>
                <w:sz w:val="23"/>
                <w:szCs w:val="23"/>
              </w:rPr>
              <w:t>0.261***</w:t>
            </w:r>
          </w:p>
        </w:tc>
        <w:tc>
          <w:tcPr>
            <w:tcW w:w="1701" w:type="dxa"/>
            <w:shd w:val="clear" w:color="auto" w:fill="F2F2F2" w:themeFill="background1" w:themeFillShade="F2"/>
          </w:tcPr>
          <w:p w14:paraId="5C012328" w14:textId="77777777" w:rsidR="00D5078E" w:rsidRPr="00D5078E" w:rsidRDefault="00D5078E" w:rsidP="00D5078E">
            <w:pPr>
              <w:widowControl w:val="0"/>
              <w:autoSpaceDE w:val="0"/>
              <w:autoSpaceDN w:val="0"/>
              <w:adjustRightInd w:val="0"/>
              <w:spacing w:line="240" w:lineRule="auto"/>
              <w:jc w:val="center"/>
              <w:rPr>
                <w:b/>
                <w:sz w:val="23"/>
                <w:szCs w:val="23"/>
              </w:rPr>
            </w:pPr>
            <w:r w:rsidRPr="00D5078E">
              <w:rPr>
                <w:b/>
                <w:sz w:val="23"/>
                <w:szCs w:val="23"/>
              </w:rPr>
              <w:t>-0.025</w:t>
            </w:r>
          </w:p>
        </w:tc>
      </w:tr>
      <w:tr w:rsidR="00D5078E" w:rsidRPr="00D5078E" w14:paraId="67A834EB" w14:textId="77777777" w:rsidTr="00D5078E">
        <w:tc>
          <w:tcPr>
            <w:tcW w:w="3828" w:type="dxa"/>
            <w:tcBorders>
              <w:bottom w:val="single" w:sz="4" w:space="0" w:color="auto"/>
            </w:tcBorders>
            <w:shd w:val="clear" w:color="auto" w:fill="F2F2F2" w:themeFill="background1" w:themeFillShade="F2"/>
          </w:tcPr>
          <w:p w14:paraId="6E93B79C" w14:textId="77777777" w:rsidR="00D5078E" w:rsidRPr="00D5078E" w:rsidRDefault="00D5078E" w:rsidP="00D5078E">
            <w:pPr>
              <w:widowControl w:val="0"/>
              <w:autoSpaceDE w:val="0"/>
              <w:autoSpaceDN w:val="0"/>
              <w:adjustRightInd w:val="0"/>
              <w:spacing w:line="240" w:lineRule="auto"/>
              <w:rPr>
                <w:i/>
                <w:sz w:val="23"/>
                <w:szCs w:val="23"/>
              </w:rPr>
            </w:pPr>
          </w:p>
        </w:tc>
        <w:tc>
          <w:tcPr>
            <w:tcW w:w="2410" w:type="dxa"/>
            <w:tcBorders>
              <w:bottom w:val="single" w:sz="4" w:space="0" w:color="auto"/>
            </w:tcBorders>
            <w:shd w:val="clear" w:color="auto" w:fill="F2F2F2" w:themeFill="background1" w:themeFillShade="F2"/>
            <w:vAlign w:val="bottom"/>
          </w:tcPr>
          <w:p w14:paraId="33F7DD60"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(0.061)</w:t>
            </w:r>
          </w:p>
        </w:tc>
        <w:tc>
          <w:tcPr>
            <w:tcW w:w="1417" w:type="dxa"/>
            <w:tcBorders>
              <w:bottom w:val="single" w:sz="4" w:space="0" w:color="auto"/>
            </w:tcBorders>
            <w:shd w:val="clear" w:color="auto" w:fill="F2F2F2" w:themeFill="background1" w:themeFillShade="F2"/>
            <w:vAlign w:val="bottom"/>
          </w:tcPr>
          <w:p w14:paraId="46F46F89"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(0.077)</w:t>
            </w:r>
          </w:p>
        </w:tc>
        <w:tc>
          <w:tcPr>
            <w:tcW w:w="1701" w:type="dxa"/>
            <w:tcBorders>
              <w:bottom w:val="single" w:sz="4" w:space="0" w:color="auto"/>
            </w:tcBorders>
            <w:shd w:val="clear" w:color="auto" w:fill="F2F2F2" w:themeFill="background1" w:themeFillShade="F2"/>
            <w:vAlign w:val="bottom"/>
          </w:tcPr>
          <w:p w14:paraId="2A67B56F"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(0.083)</w:t>
            </w:r>
          </w:p>
        </w:tc>
      </w:tr>
      <w:tr w:rsidR="00D5078E" w:rsidRPr="00D5078E" w14:paraId="01A2BB92" w14:textId="77777777" w:rsidTr="00D5078E">
        <w:tc>
          <w:tcPr>
            <w:tcW w:w="3828" w:type="dxa"/>
            <w:tcBorders>
              <w:top w:val="single" w:sz="4" w:space="0" w:color="auto"/>
            </w:tcBorders>
          </w:tcPr>
          <w:p w14:paraId="3B031428"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Observations</w:t>
            </w:r>
          </w:p>
        </w:tc>
        <w:tc>
          <w:tcPr>
            <w:tcW w:w="2410" w:type="dxa"/>
            <w:tcBorders>
              <w:top w:val="single" w:sz="4" w:space="0" w:color="auto"/>
            </w:tcBorders>
            <w:vAlign w:val="bottom"/>
          </w:tcPr>
          <w:p w14:paraId="002914E2"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1,313</w:t>
            </w:r>
          </w:p>
        </w:tc>
        <w:tc>
          <w:tcPr>
            <w:tcW w:w="1417" w:type="dxa"/>
            <w:tcBorders>
              <w:top w:val="single" w:sz="4" w:space="0" w:color="auto"/>
            </w:tcBorders>
            <w:vAlign w:val="bottom"/>
          </w:tcPr>
          <w:p w14:paraId="4312C71E"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815</w:t>
            </w:r>
          </w:p>
        </w:tc>
        <w:tc>
          <w:tcPr>
            <w:tcW w:w="1701" w:type="dxa"/>
            <w:tcBorders>
              <w:top w:val="single" w:sz="4" w:space="0" w:color="auto"/>
            </w:tcBorders>
            <w:vAlign w:val="bottom"/>
          </w:tcPr>
          <w:p w14:paraId="426D9966"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498</w:t>
            </w:r>
          </w:p>
        </w:tc>
      </w:tr>
      <w:tr w:rsidR="00D5078E" w:rsidRPr="00D5078E" w14:paraId="465A77C5" w14:textId="77777777" w:rsidTr="00D5078E">
        <w:tc>
          <w:tcPr>
            <w:tcW w:w="3828" w:type="dxa"/>
          </w:tcPr>
          <w:p w14:paraId="5B027786" w14:textId="77777777" w:rsidR="00D5078E" w:rsidRPr="00D5078E" w:rsidRDefault="00D5078E" w:rsidP="00D5078E">
            <w:pPr>
              <w:widowControl w:val="0"/>
              <w:autoSpaceDE w:val="0"/>
              <w:autoSpaceDN w:val="0"/>
              <w:adjustRightInd w:val="0"/>
              <w:spacing w:line="240" w:lineRule="auto"/>
              <w:rPr>
                <w:i/>
                <w:iCs/>
                <w:sz w:val="23"/>
                <w:szCs w:val="23"/>
              </w:rPr>
            </w:pPr>
            <w:r w:rsidRPr="00D5078E">
              <w:rPr>
                <w:sz w:val="23"/>
                <w:szCs w:val="23"/>
              </w:rPr>
              <w:t>Countries</w:t>
            </w:r>
          </w:p>
        </w:tc>
        <w:tc>
          <w:tcPr>
            <w:tcW w:w="2410" w:type="dxa"/>
            <w:vAlign w:val="bottom"/>
          </w:tcPr>
          <w:p w14:paraId="08B04552"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87</w:t>
            </w:r>
          </w:p>
        </w:tc>
        <w:tc>
          <w:tcPr>
            <w:tcW w:w="1417" w:type="dxa"/>
            <w:vAlign w:val="bottom"/>
          </w:tcPr>
          <w:p w14:paraId="6D602078"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68</w:t>
            </w:r>
          </w:p>
        </w:tc>
        <w:tc>
          <w:tcPr>
            <w:tcW w:w="1701" w:type="dxa"/>
            <w:vAlign w:val="bottom"/>
          </w:tcPr>
          <w:p w14:paraId="1BCA98F4"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44</w:t>
            </w:r>
          </w:p>
        </w:tc>
      </w:tr>
      <w:tr w:rsidR="00D5078E" w:rsidRPr="00D5078E" w14:paraId="057FBC35" w14:textId="77777777" w:rsidTr="00D5078E">
        <w:tc>
          <w:tcPr>
            <w:tcW w:w="3828" w:type="dxa"/>
          </w:tcPr>
          <w:p w14:paraId="17B1A413"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Pseudo R</w:t>
            </w:r>
            <w:r w:rsidRPr="00D5078E">
              <w:rPr>
                <w:sz w:val="23"/>
                <w:szCs w:val="23"/>
                <w:vertAlign w:val="superscript"/>
              </w:rPr>
              <w:t>2</w:t>
            </w:r>
          </w:p>
        </w:tc>
        <w:tc>
          <w:tcPr>
            <w:tcW w:w="2410" w:type="dxa"/>
            <w:vAlign w:val="bottom"/>
          </w:tcPr>
          <w:p w14:paraId="14F028C6"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0.702</w:t>
            </w:r>
          </w:p>
        </w:tc>
        <w:tc>
          <w:tcPr>
            <w:tcW w:w="1417" w:type="dxa"/>
            <w:vAlign w:val="bottom"/>
          </w:tcPr>
          <w:p w14:paraId="5C58EC6D"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0.669</w:t>
            </w:r>
          </w:p>
        </w:tc>
        <w:tc>
          <w:tcPr>
            <w:tcW w:w="1701" w:type="dxa"/>
            <w:vAlign w:val="bottom"/>
          </w:tcPr>
          <w:p w14:paraId="5A72E9C9"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0.741</w:t>
            </w:r>
          </w:p>
        </w:tc>
      </w:tr>
      <w:tr w:rsidR="00D5078E" w:rsidRPr="00D5078E" w14:paraId="5DBE82C9" w14:textId="77777777" w:rsidTr="00D5078E">
        <w:tc>
          <w:tcPr>
            <w:tcW w:w="3828" w:type="dxa"/>
            <w:tcBorders>
              <w:bottom w:val="single" w:sz="4" w:space="0" w:color="auto"/>
            </w:tcBorders>
          </w:tcPr>
          <w:p w14:paraId="1063FE38" w14:textId="77777777" w:rsidR="00D5078E" w:rsidRPr="00D5078E" w:rsidRDefault="00D5078E" w:rsidP="00D5078E">
            <w:pPr>
              <w:widowControl w:val="0"/>
              <w:autoSpaceDE w:val="0"/>
              <w:autoSpaceDN w:val="0"/>
              <w:adjustRightInd w:val="0"/>
              <w:spacing w:line="240" w:lineRule="auto"/>
              <w:rPr>
                <w:sz w:val="23"/>
                <w:szCs w:val="23"/>
              </w:rPr>
            </w:pPr>
            <w:r w:rsidRPr="00D5078E">
              <w:rPr>
                <w:sz w:val="23"/>
                <w:szCs w:val="23"/>
              </w:rPr>
              <w:t>Chi2</w:t>
            </w:r>
          </w:p>
        </w:tc>
        <w:tc>
          <w:tcPr>
            <w:tcW w:w="2410" w:type="dxa"/>
            <w:tcBorders>
              <w:bottom w:val="single" w:sz="4" w:space="0" w:color="auto"/>
            </w:tcBorders>
            <w:vAlign w:val="bottom"/>
          </w:tcPr>
          <w:p w14:paraId="671C7053"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210.3</w:t>
            </w:r>
          </w:p>
        </w:tc>
        <w:tc>
          <w:tcPr>
            <w:tcW w:w="1417" w:type="dxa"/>
            <w:tcBorders>
              <w:bottom w:val="single" w:sz="4" w:space="0" w:color="auto"/>
            </w:tcBorders>
            <w:vAlign w:val="bottom"/>
          </w:tcPr>
          <w:p w14:paraId="490E1304"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154</w:t>
            </w:r>
          </w:p>
        </w:tc>
        <w:tc>
          <w:tcPr>
            <w:tcW w:w="1701" w:type="dxa"/>
            <w:tcBorders>
              <w:bottom w:val="single" w:sz="4" w:space="0" w:color="auto"/>
            </w:tcBorders>
            <w:vAlign w:val="bottom"/>
          </w:tcPr>
          <w:p w14:paraId="3BFC6BC0" w14:textId="77777777" w:rsidR="00D5078E" w:rsidRPr="00D5078E" w:rsidRDefault="00D5078E" w:rsidP="00D5078E">
            <w:pPr>
              <w:widowControl w:val="0"/>
              <w:autoSpaceDE w:val="0"/>
              <w:autoSpaceDN w:val="0"/>
              <w:adjustRightInd w:val="0"/>
              <w:spacing w:line="240" w:lineRule="auto"/>
              <w:jc w:val="center"/>
              <w:rPr>
                <w:sz w:val="23"/>
                <w:szCs w:val="23"/>
              </w:rPr>
            </w:pPr>
            <w:r w:rsidRPr="00D5078E">
              <w:rPr>
                <w:sz w:val="23"/>
                <w:szCs w:val="23"/>
              </w:rPr>
              <w:t>133.1</w:t>
            </w:r>
          </w:p>
        </w:tc>
      </w:tr>
    </w:tbl>
    <w:p w14:paraId="18EB9650" w14:textId="2FC95831" w:rsidR="00D5078E" w:rsidRPr="00D5078E" w:rsidRDefault="00D5078E" w:rsidP="00D5078E">
      <w:pPr>
        <w:widowControl w:val="0"/>
        <w:autoSpaceDE w:val="0"/>
        <w:autoSpaceDN w:val="0"/>
        <w:adjustRightInd w:val="0"/>
        <w:spacing w:line="240" w:lineRule="auto"/>
        <w:sectPr w:rsidR="00D5078E" w:rsidRPr="00D5078E" w:rsidSect="00D5078E">
          <w:pgSz w:w="11900" w:h="16840"/>
          <w:pgMar w:top="1440" w:right="1440" w:bottom="1440" w:left="1440" w:header="709" w:footer="709" w:gutter="0"/>
          <w:cols w:space="708"/>
          <w:docGrid w:linePitch="360"/>
        </w:sectPr>
      </w:pPr>
      <w:r w:rsidRPr="00CB4FCD">
        <w:t>Note: Robust standard errors clustered on country in parentheses. Statistical significance indicated as *** p&lt;0.01, ** p&lt;0.05, * p&lt;0.1</w:t>
      </w:r>
    </w:p>
    <w:p w14:paraId="20F237FB" w14:textId="77777777" w:rsidR="00D5078E" w:rsidRPr="00CB4FCD" w:rsidRDefault="00D5078E" w:rsidP="00D5078E">
      <w:pPr>
        <w:pStyle w:val="Tabletitle"/>
      </w:pPr>
      <w:r>
        <w:lastRenderedPageBreak/>
        <w:t>Table 2</w:t>
      </w:r>
      <w:r w:rsidRPr="00CB4FCD">
        <w:t>. Robustness checks. Autocracies only</w:t>
      </w:r>
    </w:p>
    <w:tbl>
      <w:tblPr>
        <w:tblW w:w="14034" w:type="dxa"/>
        <w:tblInd w:w="108" w:type="dxa"/>
        <w:tblLayout w:type="fixed"/>
        <w:tblLook w:val="04A0" w:firstRow="1" w:lastRow="0" w:firstColumn="1" w:lastColumn="0" w:noHBand="0" w:noVBand="1"/>
      </w:tblPr>
      <w:tblGrid>
        <w:gridCol w:w="3686"/>
        <w:gridCol w:w="1724"/>
        <w:gridCol w:w="1725"/>
        <w:gridCol w:w="1725"/>
        <w:gridCol w:w="1724"/>
        <w:gridCol w:w="1725"/>
        <w:gridCol w:w="1725"/>
      </w:tblGrid>
      <w:tr w:rsidR="00D5078E" w:rsidRPr="00CB4FCD" w14:paraId="5F5193BD" w14:textId="77777777" w:rsidTr="00D5078E">
        <w:trPr>
          <w:trHeight w:val="263"/>
          <w:tblHeader/>
        </w:trPr>
        <w:tc>
          <w:tcPr>
            <w:tcW w:w="3686" w:type="dxa"/>
            <w:tcBorders>
              <w:top w:val="single" w:sz="4" w:space="0" w:color="000000"/>
              <w:left w:val="nil"/>
              <w:right w:val="nil"/>
            </w:tcBorders>
            <w:shd w:val="clear" w:color="auto" w:fill="auto"/>
            <w:noWrap/>
            <w:vAlign w:val="bottom"/>
            <w:hideMark/>
          </w:tcPr>
          <w:p w14:paraId="075A6583" w14:textId="77777777" w:rsidR="00D5078E" w:rsidRPr="00CB4FCD" w:rsidRDefault="00D5078E" w:rsidP="00D5078E">
            <w:pPr>
              <w:spacing w:line="240" w:lineRule="auto"/>
              <w:jc w:val="right"/>
            </w:pPr>
            <w:r w:rsidRPr="00CB4FCD">
              <w:t>Model</w:t>
            </w:r>
          </w:p>
        </w:tc>
        <w:tc>
          <w:tcPr>
            <w:tcW w:w="1724" w:type="dxa"/>
            <w:tcBorders>
              <w:top w:val="single" w:sz="4" w:space="0" w:color="000000"/>
              <w:left w:val="nil"/>
              <w:right w:val="nil"/>
            </w:tcBorders>
            <w:shd w:val="clear" w:color="auto" w:fill="auto"/>
            <w:noWrap/>
            <w:vAlign w:val="bottom"/>
            <w:hideMark/>
          </w:tcPr>
          <w:p w14:paraId="31F51773" w14:textId="77777777" w:rsidR="00D5078E" w:rsidRPr="00CB4FCD" w:rsidRDefault="00D5078E" w:rsidP="00D5078E">
            <w:pPr>
              <w:spacing w:line="240" w:lineRule="auto"/>
              <w:jc w:val="center"/>
            </w:pPr>
            <w:r>
              <w:t>(4</w:t>
            </w:r>
            <w:r w:rsidRPr="00CB4FCD">
              <w:t>)</w:t>
            </w:r>
          </w:p>
        </w:tc>
        <w:tc>
          <w:tcPr>
            <w:tcW w:w="1725" w:type="dxa"/>
            <w:tcBorders>
              <w:top w:val="single" w:sz="4" w:space="0" w:color="000000"/>
              <w:left w:val="nil"/>
              <w:right w:val="nil"/>
            </w:tcBorders>
            <w:shd w:val="clear" w:color="auto" w:fill="auto"/>
            <w:noWrap/>
            <w:vAlign w:val="bottom"/>
            <w:hideMark/>
          </w:tcPr>
          <w:p w14:paraId="22916DD9" w14:textId="77777777" w:rsidR="00D5078E" w:rsidRPr="00CB4FCD" w:rsidRDefault="00D5078E" w:rsidP="00D5078E">
            <w:pPr>
              <w:spacing w:line="240" w:lineRule="auto"/>
              <w:jc w:val="center"/>
            </w:pPr>
            <w:r>
              <w:t>(5</w:t>
            </w:r>
            <w:r w:rsidRPr="00CB4FCD">
              <w:t>)</w:t>
            </w:r>
          </w:p>
        </w:tc>
        <w:tc>
          <w:tcPr>
            <w:tcW w:w="1725" w:type="dxa"/>
            <w:tcBorders>
              <w:top w:val="single" w:sz="4" w:space="0" w:color="000000"/>
              <w:left w:val="nil"/>
              <w:right w:val="nil"/>
            </w:tcBorders>
            <w:shd w:val="clear" w:color="auto" w:fill="auto"/>
            <w:noWrap/>
            <w:vAlign w:val="bottom"/>
            <w:hideMark/>
          </w:tcPr>
          <w:p w14:paraId="402FD3DB" w14:textId="77777777" w:rsidR="00D5078E" w:rsidRPr="00CB4FCD" w:rsidRDefault="00D5078E" w:rsidP="00D5078E">
            <w:pPr>
              <w:spacing w:line="240" w:lineRule="auto"/>
              <w:jc w:val="center"/>
            </w:pPr>
            <w:r>
              <w:t>(6</w:t>
            </w:r>
            <w:r w:rsidRPr="00CB4FCD">
              <w:t>)</w:t>
            </w:r>
          </w:p>
        </w:tc>
        <w:tc>
          <w:tcPr>
            <w:tcW w:w="1724" w:type="dxa"/>
            <w:tcBorders>
              <w:top w:val="single" w:sz="4" w:space="0" w:color="000000"/>
              <w:left w:val="nil"/>
              <w:right w:val="nil"/>
            </w:tcBorders>
            <w:shd w:val="clear" w:color="auto" w:fill="auto"/>
            <w:noWrap/>
            <w:vAlign w:val="bottom"/>
            <w:hideMark/>
          </w:tcPr>
          <w:p w14:paraId="05DF50FA" w14:textId="77777777" w:rsidR="00D5078E" w:rsidRPr="00CB4FCD" w:rsidRDefault="00D5078E" w:rsidP="00D5078E">
            <w:pPr>
              <w:spacing w:line="240" w:lineRule="auto"/>
              <w:jc w:val="center"/>
            </w:pPr>
            <w:r>
              <w:t>(7</w:t>
            </w:r>
            <w:r w:rsidRPr="00CB4FCD">
              <w:t>)</w:t>
            </w:r>
          </w:p>
        </w:tc>
        <w:tc>
          <w:tcPr>
            <w:tcW w:w="1725" w:type="dxa"/>
            <w:tcBorders>
              <w:top w:val="single" w:sz="4" w:space="0" w:color="000000"/>
              <w:left w:val="nil"/>
              <w:right w:val="nil"/>
            </w:tcBorders>
            <w:shd w:val="clear" w:color="auto" w:fill="auto"/>
            <w:noWrap/>
            <w:vAlign w:val="bottom"/>
            <w:hideMark/>
          </w:tcPr>
          <w:p w14:paraId="6332472F" w14:textId="77777777" w:rsidR="00D5078E" w:rsidRPr="00CB4FCD" w:rsidRDefault="00D5078E" w:rsidP="00D5078E">
            <w:pPr>
              <w:spacing w:line="240" w:lineRule="auto"/>
              <w:jc w:val="center"/>
            </w:pPr>
            <w:r>
              <w:t>(8</w:t>
            </w:r>
            <w:r w:rsidRPr="00CB4FCD">
              <w:t>)</w:t>
            </w:r>
          </w:p>
        </w:tc>
        <w:tc>
          <w:tcPr>
            <w:tcW w:w="1725" w:type="dxa"/>
            <w:tcBorders>
              <w:top w:val="single" w:sz="4" w:space="0" w:color="000000"/>
              <w:left w:val="nil"/>
              <w:right w:val="nil"/>
            </w:tcBorders>
            <w:vAlign w:val="bottom"/>
          </w:tcPr>
          <w:p w14:paraId="1AE1B10A" w14:textId="77777777" w:rsidR="00D5078E" w:rsidRDefault="00D5078E" w:rsidP="00D5078E">
            <w:pPr>
              <w:spacing w:line="240" w:lineRule="auto"/>
              <w:jc w:val="center"/>
            </w:pPr>
            <w:r>
              <w:t>(9</w:t>
            </w:r>
            <w:r w:rsidRPr="00CB4FCD">
              <w:t>)</w:t>
            </w:r>
          </w:p>
        </w:tc>
      </w:tr>
      <w:tr w:rsidR="00D5078E" w:rsidRPr="00CB4FCD" w14:paraId="01332512" w14:textId="77777777" w:rsidTr="00D5078E">
        <w:trPr>
          <w:trHeight w:val="263"/>
          <w:tblHeader/>
        </w:trPr>
        <w:tc>
          <w:tcPr>
            <w:tcW w:w="3686" w:type="dxa"/>
            <w:tcBorders>
              <w:top w:val="nil"/>
              <w:left w:val="nil"/>
              <w:bottom w:val="single" w:sz="4" w:space="0" w:color="auto"/>
              <w:right w:val="nil"/>
            </w:tcBorders>
            <w:shd w:val="clear" w:color="auto" w:fill="auto"/>
            <w:noWrap/>
            <w:vAlign w:val="bottom"/>
            <w:hideMark/>
          </w:tcPr>
          <w:p w14:paraId="579DA1F6" w14:textId="77777777" w:rsidR="00D5078E" w:rsidRPr="00CB4FCD" w:rsidRDefault="00D5078E" w:rsidP="00D5078E">
            <w:pPr>
              <w:spacing w:line="240" w:lineRule="auto"/>
            </w:pPr>
          </w:p>
        </w:tc>
        <w:tc>
          <w:tcPr>
            <w:tcW w:w="1724" w:type="dxa"/>
            <w:tcBorders>
              <w:top w:val="nil"/>
              <w:left w:val="nil"/>
              <w:bottom w:val="single" w:sz="4" w:space="0" w:color="auto"/>
              <w:right w:val="nil"/>
            </w:tcBorders>
            <w:shd w:val="clear" w:color="auto" w:fill="auto"/>
            <w:noWrap/>
            <w:vAlign w:val="bottom"/>
            <w:hideMark/>
          </w:tcPr>
          <w:p w14:paraId="555B2E36" w14:textId="77777777" w:rsidR="00D5078E" w:rsidRPr="00CB4FCD" w:rsidRDefault="00D5078E" w:rsidP="00D5078E">
            <w:pPr>
              <w:spacing w:line="240" w:lineRule="auto"/>
              <w:jc w:val="center"/>
            </w:pPr>
            <w:r w:rsidRPr="00CB4FCD">
              <w:t>Region FE</w:t>
            </w:r>
          </w:p>
        </w:tc>
        <w:tc>
          <w:tcPr>
            <w:tcW w:w="1725" w:type="dxa"/>
            <w:tcBorders>
              <w:top w:val="nil"/>
              <w:left w:val="nil"/>
              <w:bottom w:val="single" w:sz="4" w:space="0" w:color="auto"/>
              <w:right w:val="nil"/>
            </w:tcBorders>
            <w:shd w:val="clear" w:color="auto" w:fill="auto"/>
            <w:noWrap/>
            <w:vAlign w:val="bottom"/>
            <w:hideMark/>
          </w:tcPr>
          <w:p w14:paraId="2608B146" w14:textId="77777777" w:rsidR="00D5078E" w:rsidRPr="00CB4FCD" w:rsidRDefault="00D5078E" w:rsidP="00D5078E">
            <w:pPr>
              <w:spacing w:line="240" w:lineRule="auto"/>
              <w:jc w:val="center"/>
            </w:pPr>
            <w:proofErr w:type="spellStart"/>
            <w:r w:rsidRPr="00CB4FCD">
              <w:t>Jackknife</w:t>
            </w:r>
            <w:proofErr w:type="spellEnd"/>
          </w:p>
        </w:tc>
        <w:tc>
          <w:tcPr>
            <w:tcW w:w="1725" w:type="dxa"/>
            <w:tcBorders>
              <w:top w:val="nil"/>
              <w:left w:val="nil"/>
              <w:bottom w:val="single" w:sz="4" w:space="0" w:color="auto"/>
              <w:right w:val="nil"/>
            </w:tcBorders>
            <w:shd w:val="clear" w:color="auto" w:fill="auto"/>
            <w:noWrap/>
            <w:vAlign w:val="bottom"/>
            <w:hideMark/>
          </w:tcPr>
          <w:p w14:paraId="3685943C" w14:textId="77777777" w:rsidR="00D5078E" w:rsidRPr="00CB4FCD" w:rsidRDefault="00D5078E" w:rsidP="00D5078E">
            <w:pPr>
              <w:spacing w:line="240" w:lineRule="auto"/>
              <w:jc w:val="center"/>
            </w:pPr>
            <w:r w:rsidRPr="00CB4FCD">
              <w:t>Time</w:t>
            </w:r>
          </w:p>
        </w:tc>
        <w:tc>
          <w:tcPr>
            <w:tcW w:w="1724" w:type="dxa"/>
            <w:tcBorders>
              <w:top w:val="nil"/>
              <w:left w:val="nil"/>
              <w:bottom w:val="single" w:sz="4" w:space="0" w:color="auto"/>
              <w:right w:val="nil"/>
            </w:tcBorders>
            <w:shd w:val="clear" w:color="auto" w:fill="auto"/>
            <w:noWrap/>
            <w:vAlign w:val="bottom"/>
            <w:hideMark/>
          </w:tcPr>
          <w:p w14:paraId="3D94986A" w14:textId="7B82CEC0" w:rsidR="00D5078E" w:rsidRPr="00CB4FCD" w:rsidRDefault="00D5078E" w:rsidP="00D5078E">
            <w:pPr>
              <w:spacing w:line="240" w:lineRule="auto"/>
              <w:jc w:val="center"/>
            </w:pPr>
            <w:r w:rsidRPr="00CB4FCD">
              <w:t>5</w:t>
            </w:r>
            <w:r w:rsidR="000174FA">
              <w:t xml:space="preserve"> </w:t>
            </w:r>
            <w:proofErr w:type="spellStart"/>
            <w:r w:rsidRPr="00CB4FCD">
              <w:t>Yr</w:t>
            </w:r>
            <w:proofErr w:type="spellEnd"/>
            <w:r w:rsidRPr="00CB4FCD">
              <w:t xml:space="preserve"> Lags</w:t>
            </w:r>
          </w:p>
        </w:tc>
        <w:tc>
          <w:tcPr>
            <w:tcW w:w="1725" w:type="dxa"/>
            <w:tcBorders>
              <w:top w:val="nil"/>
              <w:left w:val="nil"/>
              <w:bottom w:val="single" w:sz="4" w:space="0" w:color="auto"/>
              <w:right w:val="nil"/>
            </w:tcBorders>
            <w:shd w:val="clear" w:color="auto" w:fill="auto"/>
            <w:noWrap/>
            <w:vAlign w:val="bottom"/>
            <w:hideMark/>
          </w:tcPr>
          <w:p w14:paraId="08A7F374" w14:textId="77777777" w:rsidR="00D5078E" w:rsidRPr="00CB4FCD" w:rsidRDefault="00D5078E" w:rsidP="00D5078E">
            <w:pPr>
              <w:spacing w:line="240" w:lineRule="auto"/>
              <w:jc w:val="center"/>
            </w:pPr>
            <w:r w:rsidRPr="00CB4FCD">
              <w:t>GMM</w:t>
            </w:r>
          </w:p>
        </w:tc>
        <w:tc>
          <w:tcPr>
            <w:tcW w:w="1725" w:type="dxa"/>
            <w:tcBorders>
              <w:top w:val="nil"/>
              <w:left w:val="nil"/>
              <w:bottom w:val="single" w:sz="4" w:space="0" w:color="auto"/>
              <w:right w:val="nil"/>
            </w:tcBorders>
            <w:vAlign w:val="bottom"/>
          </w:tcPr>
          <w:p w14:paraId="2E334D8F" w14:textId="77777777" w:rsidR="00D5078E" w:rsidRPr="00CB4FCD" w:rsidRDefault="00D5078E" w:rsidP="00D5078E">
            <w:pPr>
              <w:spacing w:line="240" w:lineRule="auto"/>
              <w:jc w:val="center"/>
            </w:pPr>
            <w:proofErr w:type="spellStart"/>
            <w:r w:rsidRPr="00CB4FCD">
              <w:t>IVProbit</w:t>
            </w:r>
            <w:proofErr w:type="spellEnd"/>
          </w:p>
        </w:tc>
      </w:tr>
      <w:tr w:rsidR="00D5078E" w:rsidRPr="00CB4FCD" w14:paraId="3C706E9F" w14:textId="77777777" w:rsidTr="00D5078E">
        <w:trPr>
          <w:trHeight w:val="263"/>
        </w:trPr>
        <w:tc>
          <w:tcPr>
            <w:tcW w:w="3686" w:type="dxa"/>
            <w:tcBorders>
              <w:top w:val="single" w:sz="4" w:space="0" w:color="auto"/>
              <w:left w:val="nil"/>
              <w:bottom w:val="nil"/>
              <w:right w:val="nil"/>
            </w:tcBorders>
            <w:shd w:val="clear" w:color="auto" w:fill="F2F2F2" w:themeFill="background1" w:themeFillShade="F2"/>
            <w:noWrap/>
            <w:vAlign w:val="bottom"/>
            <w:hideMark/>
          </w:tcPr>
          <w:p w14:paraId="2221C6E8" w14:textId="77777777" w:rsidR="00D5078E" w:rsidRPr="00CB4FCD" w:rsidRDefault="00D5078E" w:rsidP="00D5078E">
            <w:pPr>
              <w:spacing w:line="240" w:lineRule="auto"/>
            </w:pPr>
            <w:r w:rsidRPr="00CB4FCD">
              <w:t xml:space="preserve">Remittances (in US$, </w:t>
            </w:r>
            <w:proofErr w:type="gramStart"/>
            <w:r w:rsidRPr="00CB4FCD">
              <w:t>log)</w:t>
            </w:r>
            <w:r w:rsidRPr="00CB4FCD">
              <w:rPr>
                <w:vertAlign w:val="subscript"/>
              </w:rPr>
              <w:t>t</w:t>
            </w:r>
            <w:proofErr w:type="gramEnd"/>
            <w:r w:rsidRPr="00CB4FCD">
              <w:rPr>
                <w:vertAlign w:val="subscript"/>
              </w:rPr>
              <w:t>-1</w:t>
            </w:r>
          </w:p>
        </w:tc>
        <w:tc>
          <w:tcPr>
            <w:tcW w:w="1724" w:type="dxa"/>
            <w:tcBorders>
              <w:top w:val="single" w:sz="4" w:space="0" w:color="auto"/>
              <w:left w:val="nil"/>
              <w:bottom w:val="nil"/>
              <w:right w:val="nil"/>
            </w:tcBorders>
            <w:shd w:val="clear" w:color="auto" w:fill="F2F2F2" w:themeFill="background1" w:themeFillShade="F2"/>
            <w:noWrap/>
            <w:vAlign w:val="bottom"/>
            <w:hideMark/>
          </w:tcPr>
          <w:p w14:paraId="04D881EF" w14:textId="77777777" w:rsidR="00D5078E" w:rsidRPr="00CB4FCD" w:rsidRDefault="00D5078E" w:rsidP="00D5078E">
            <w:pPr>
              <w:spacing w:line="240" w:lineRule="auto"/>
              <w:jc w:val="center"/>
            </w:pPr>
            <w:r w:rsidRPr="00CB4FCD">
              <w:t>-0.133*</w:t>
            </w:r>
          </w:p>
        </w:tc>
        <w:tc>
          <w:tcPr>
            <w:tcW w:w="1725" w:type="dxa"/>
            <w:tcBorders>
              <w:top w:val="single" w:sz="4" w:space="0" w:color="auto"/>
              <w:left w:val="nil"/>
              <w:bottom w:val="nil"/>
              <w:right w:val="nil"/>
            </w:tcBorders>
            <w:shd w:val="clear" w:color="auto" w:fill="F2F2F2" w:themeFill="background1" w:themeFillShade="F2"/>
            <w:noWrap/>
            <w:vAlign w:val="bottom"/>
            <w:hideMark/>
          </w:tcPr>
          <w:p w14:paraId="00FD7007" w14:textId="77777777" w:rsidR="00D5078E" w:rsidRPr="00CB4FCD" w:rsidRDefault="00D5078E" w:rsidP="00D5078E">
            <w:pPr>
              <w:spacing w:line="240" w:lineRule="auto"/>
              <w:jc w:val="center"/>
            </w:pPr>
            <w:r w:rsidRPr="00CB4FCD">
              <w:t>-0.164*</w:t>
            </w:r>
          </w:p>
        </w:tc>
        <w:tc>
          <w:tcPr>
            <w:tcW w:w="1725" w:type="dxa"/>
            <w:tcBorders>
              <w:top w:val="single" w:sz="4" w:space="0" w:color="auto"/>
              <w:left w:val="nil"/>
              <w:bottom w:val="nil"/>
              <w:right w:val="nil"/>
            </w:tcBorders>
            <w:shd w:val="clear" w:color="auto" w:fill="F2F2F2" w:themeFill="background1" w:themeFillShade="F2"/>
            <w:noWrap/>
            <w:vAlign w:val="bottom"/>
            <w:hideMark/>
          </w:tcPr>
          <w:p w14:paraId="15BF6F3C" w14:textId="77777777" w:rsidR="00D5078E" w:rsidRPr="00CB4FCD" w:rsidRDefault="00D5078E" w:rsidP="00D5078E">
            <w:pPr>
              <w:spacing w:line="240" w:lineRule="auto"/>
              <w:jc w:val="center"/>
            </w:pPr>
            <w:r w:rsidRPr="00CB4FCD">
              <w:t>-0.0842</w:t>
            </w:r>
          </w:p>
        </w:tc>
        <w:tc>
          <w:tcPr>
            <w:tcW w:w="1724" w:type="dxa"/>
            <w:tcBorders>
              <w:top w:val="single" w:sz="4" w:space="0" w:color="auto"/>
              <w:left w:val="nil"/>
              <w:bottom w:val="nil"/>
              <w:right w:val="nil"/>
            </w:tcBorders>
            <w:shd w:val="clear" w:color="auto" w:fill="F2F2F2" w:themeFill="background1" w:themeFillShade="F2"/>
            <w:noWrap/>
            <w:vAlign w:val="bottom"/>
            <w:hideMark/>
          </w:tcPr>
          <w:p w14:paraId="6C1B12D8" w14:textId="77777777" w:rsidR="00D5078E" w:rsidRPr="00CB4FCD" w:rsidRDefault="00D5078E" w:rsidP="00D5078E">
            <w:pPr>
              <w:spacing w:line="240" w:lineRule="auto"/>
              <w:jc w:val="center"/>
            </w:pPr>
            <w:r w:rsidRPr="00CB4FCD">
              <w:t>-0.117</w:t>
            </w:r>
          </w:p>
        </w:tc>
        <w:tc>
          <w:tcPr>
            <w:tcW w:w="1725" w:type="dxa"/>
            <w:tcBorders>
              <w:top w:val="single" w:sz="4" w:space="0" w:color="auto"/>
              <w:left w:val="nil"/>
              <w:bottom w:val="nil"/>
              <w:right w:val="nil"/>
            </w:tcBorders>
            <w:shd w:val="clear" w:color="auto" w:fill="F2F2F2" w:themeFill="background1" w:themeFillShade="F2"/>
            <w:noWrap/>
            <w:vAlign w:val="bottom"/>
            <w:hideMark/>
          </w:tcPr>
          <w:p w14:paraId="65AEE572" w14:textId="77777777" w:rsidR="00D5078E" w:rsidRPr="00CB4FCD" w:rsidRDefault="00D5078E" w:rsidP="00D5078E">
            <w:pPr>
              <w:spacing w:line="240" w:lineRule="auto"/>
              <w:jc w:val="center"/>
            </w:pPr>
            <w:r w:rsidRPr="00CB4FCD">
              <w:t>-0.0695*</w:t>
            </w:r>
          </w:p>
        </w:tc>
        <w:tc>
          <w:tcPr>
            <w:tcW w:w="1725" w:type="dxa"/>
            <w:tcBorders>
              <w:top w:val="single" w:sz="4" w:space="0" w:color="auto"/>
              <w:left w:val="nil"/>
              <w:bottom w:val="nil"/>
              <w:right w:val="nil"/>
            </w:tcBorders>
            <w:shd w:val="clear" w:color="auto" w:fill="F2F2F2" w:themeFill="background1" w:themeFillShade="F2"/>
            <w:vAlign w:val="bottom"/>
          </w:tcPr>
          <w:p w14:paraId="01A545B9" w14:textId="77777777" w:rsidR="00D5078E" w:rsidRPr="00CB4FCD" w:rsidRDefault="00D5078E" w:rsidP="00D5078E">
            <w:pPr>
              <w:spacing w:line="240" w:lineRule="auto"/>
              <w:jc w:val="center"/>
            </w:pPr>
          </w:p>
        </w:tc>
      </w:tr>
      <w:tr w:rsidR="00D5078E" w:rsidRPr="00CB4FCD" w14:paraId="2C22E1C1" w14:textId="77777777" w:rsidTr="00D5078E">
        <w:trPr>
          <w:trHeight w:val="263"/>
        </w:trPr>
        <w:tc>
          <w:tcPr>
            <w:tcW w:w="3686" w:type="dxa"/>
            <w:tcBorders>
              <w:top w:val="nil"/>
              <w:left w:val="nil"/>
              <w:bottom w:val="nil"/>
              <w:right w:val="nil"/>
            </w:tcBorders>
            <w:shd w:val="clear" w:color="auto" w:fill="F2F2F2" w:themeFill="background1" w:themeFillShade="F2"/>
            <w:noWrap/>
            <w:vAlign w:val="bottom"/>
            <w:hideMark/>
          </w:tcPr>
          <w:p w14:paraId="4050AE3E"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F2F2F2" w:themeFill="background1" w:themeFillShade="F2"/>
            <w:noWrap/>
            <w:vAlign w:val="bottom"/>
            <w:hideMark/>
          </w:tcPr>
          <w:p w14:paraId="723955B7" w14:textId="77777777" w:rsidR="00D5078E" w:rsidRPr="00CB4FCD" w:rsidRDefault="00D5078E" w:rsidP="00D5078E">
            <w:pPr>
              <w:spacing w:line="240" w:lineRule="auto"/>
              <w:jc w:val="center"/>
            </w:pPr>
            <w:r w:rsidRPr="00CB4FCD">
              <w:t>(0.0751)</w:t>
            </w:r>
          </w:p>
        </w:tc>
        <w:tc>
          <w:tcPr>
            <w:tcW w:w="1725" w:type="dxa"/>
            <w:tcBorders>
              <w:top w:val="nil"/>
              <w:left w:val="nil"/>
              <w:bottom w:val="nil"/>
              <w:right w:val="nil"/>
            </w:tcBorders>
            <w:shd w:val="clear" w:color="auto" w:fill="F2F2F2" w:themeFill="background1" w:themeFillShade="F2"/>
            <w:noWrap/>
            <w:vAlign w:val="bottom"/>
            <w:hideMark/>
          </w:tcPr>
          <w:p w14:paraId="1C9A3B7A" w14:textId="77777777" w:rsidR="00D5078E" w:rsidRPr="00CB4FCD" w:rsidRDefault="00D5078E" w:rsidP="00D5078E">
            <w:pPr>
              <w:spacing w:line="240" w:lineRule="auto"/>
              <w:jc w:val="center"/>
            </w:pPr>
            <w:r w:rsidRPr="00CB4FCD">
              <w:t>(0.0904)</w:t>
            </w:r>
          </w:p>
        </w:tc>
        <w:tc>
          <w:tcPr>
            <w:tcW w:w="1725" w:type="dxa"/>
            <w:tcBorders>
              <w:top w:val="nil"/>
              <w:left w:val="nil"/>
              <w:bottom w:val="nil"/>
              <w:right w:val="nil"/>
            </w:tcBorders>
            <w:shd w:val="clear" w:color="auto" w:fill="F2F2F2" w:themeFill="background1" w:themeFillShade="F2"/>
            <w:noWrap/>
            <w:vAlign w:val="bottom"/>
            <w:hideMark/>
          </w:tcPr>
          <w:p w14:paraId="63E883AC" w14:textId="77777777" w:rsidR="00D5078E" w:rsidRPr="00CB4FCD" w:rsidRDefault="00D5078E" w:rsidP="00D5078E">
            <w:pPr>
              <w:spacing w:line="240" w:lineRule="auto"/>
              <w:jc w:val="center"/>
            </w:pPr>
            <w:r w:rsidRPr="00CB4FCD">
              <w:t>(0.122)</w:t>
            </w:r>
          </w:p>
        </w:tc>
        <w:tc>
          <w:tcPr>
            <w:tcW w:w="1724" w:type="dxa"/>
            <w:tcBorders>
              <w:top w:val="nil"/>
              <w:left w:val="nil"/>
              <w:bottom w:val="nil"/>
              <w:right w:val="nil"/>
            </w:tcBorders>
            <w:shd w:val="clear" w:color="auto" w:fill="F2F2F2" w:themeFill="background1" w:themeFillShade="F2"/>
            <w:noWrap/>
            <w:vAlign w:val="bottom"/>
            <w:hideMark/>
          </w:tcPr>
          <w:p w14:paraId="6A103AD8" w14:textId="77777777" w:rsidR="00D5078E" w:rsidRPr="00CB4FCD" w:rsidRDefault="00D5078E" w:rsidP="00D5078E">
            <w:pPr>
              <w:spacing w:line="240" w:lineRule="auto"/>
              <w:jc w:val="center"/>
            </w:pPr>
            <w:r w:rsidRPr="00CB4FCD">
              <w:t>(0.0985)</w:t>
            </w:r>
          </w:p>
        </w:tc>
        <w:tc>
          <w:tcPr>
            <w:tcW w:w="1725" w:type="dxa"/>
            <w:tcBorders>
              <w:top w:val="nil"/>
              <w:left w:val="nil"/>
              <w:bottom w:val="nil"/>
              <w:right w:val="nil"/>
            </w:tcBorders>
            <w:shd w:val="clear" w:color="auto" w:fill="F2F2F2" w:themeFill="background1" w:themeFillShade="F2"/>
            <w:noWrap/>
            <w:vAlign w:val="bottom"/>
            <w:hideMark/>
          </w:tcPr>
          <w:p w14:paraId="0BAE56C0" w14:textId="77777777" w:rsidR="00D5078E" w:rsidRPr="00CB4FCD" w:rsidRDefault="00D5078E" w:rsidP="00D5078E">
            <w:pPr>
              <w:spacing w:line="240" w:lineRule="auto"/>
              <w:jc w:val="center"/>
            </w:pPr>
            <w:r w:rsidRPr="00CB4FCD">
              <w:t>(0.0408)</w:t>
            </w:r>
          </w:p>
        </w:tc>
        <w:tc>
          <w:tcPr>
            <w:tcW w:w="1725" w:type="dxa"/>
            <w:tcBorders>
              <w:top w:val="nil"/>
              <w:left w:val="nil"/>
              <w:bottom w:val="nil"/>
              <w:right w:val="nil"/>
            </w:tcBorders>
            <w:shd w:val="clear" w:color="auto" w:fill="F2F2F2" w:themeFill="background1" w:themeFillShade="F2"/>
            <w:vAlign w:val="bottom"/>
          </w:tcPr>
          <w:p w14:paraId="3A42B4E7" w14:textId="77777777" w:rsidR="00D5078E" w:rsidRPr="00CB4FCD" w:rsidRDefault="00D5078E" w:rsidP="00D5078E">
            <w:pPr>
              <w:spacing w:line="240" w:lineRule="auto"/>
              <w:jc w:val="center"/>
            </w:pPr>
          </w:p>
        </w:tc>
      </w:tr>
      <w:tr w:rsidR="00D5078E" w:rsidRPr="00CB4FCD" w14:paraId="1ADC7943" w14:textId="77777777" w:rsidTr="00D5078E">
        <w:trPr>
          <w:trHeight w:val="263"/>
        </w:trPr>
        <w:tc>
          <w:tcPr>
            <w:tcW w:w="3686" w:type="dxa"/>
            <w:tcBorders>
              <w:top w:val="nil"/>
              <w:left w:val="nil"/>
              <w:bottom w:val="nil"/>
              <w:right w:val="nil"/>
            </w:tcBorders>
            <w:shd w:val="clear" w:color="auto" w:fill="F2F2F2" w:themeFill="background1" w:themeFillShade="F2"/>
            <w:noWrap/>
            <w:vAlign w:val="bottom"/>
            <w:hideMark/>
          </w:tcPr>
          <w:p w14:paraId="513B68CD" w14:textId="77777777" w:rsidR="00D5078E" w:rsidRPr="00CB4FCD" w:rsidRDefault="00D5078E" w:rsidP="00D5078E">
            <w:pPr>
              <w:spacing w:line="240" w:lineRule="auto"/>
            </w:pPr>
            <w:r w:rsidRPr="00CB4FCD">
              <w:t>Remittances/GDP</w:t>
            </w:r>
            <w:r w:rsidRPr="00CB4FCD">
              <w:rPr>
                <w:vertAlign w:val="subscript"/>
              </w:rPr>
              <w:t>t-1</w:t>
            </w:r>
          </w:p>
        </w:tc>
        <w:tc>
          <w:tcPr>
            <w:tcW w:w="1724" w:type="dxa"/>
            <w:tcBorders>
              <w:top w:val="nil"/>
              <w:left w:val="nil"/>
              <w:bottom w:val="nil"/>
              <w:right w:val="nil"/>
            </w:tcBorders>
            <w:shd w:val="clear" w:color="auto" w:fill="F2F2F2" w:themeFill="background1" w:themeFillShade="F2"/>
            <w:noWrap/>
            <w:vAlign w:val="bottom"/>
            <w:hideMark/>
          </w:tcPr>
          <w:p w14:paraId="6F306972" w14:textId="77777777" w:rsidR="00D5078E" w:rsidRPr="00CB4FCD" w:rsidRDefault="00D5078E" w:rsidP="00D5078E">
            <w:pPr>
              <w:spacing w:line="240" w:lineRule="auto"/>
            </w:pPr>
          </w:p>
        </w:tc>
        <w:tc>
          <w:tcPr>
            <w:tcW w:w="1725" w:type="dxa"/>
            <w:tcBorders>
              <w:top w:val="nil"/>
              <w:left w:val="nil"/>
              <w:bottom w:val="nil"/>
              <w:right w:val="nil"/>
            </w:tcBorders>
            <w:shd w:val="clear" w:color="auto" w:fill="F2F2F2" w:themeFill="background1" w:themeFillShade="F2"/>
            <w:noWrap/>
            <w:vAlign w:val="bottom"/>
            <w:hideMark/>
          </w:tcPr>
          <w:p w14:paraId="2F4A269D" w14:textId="77777777" w:rsidR="00D5078E" w:rsidRPr="00CB4FCD" w:rsidRDefault="00D5078E" w:rsidP="00D5078E">
            <w:pPr>
              <w:spacing w:line="240" w:lineRule="auto"/>
              <w:jc w:val="center"/>
            </w:pPr>
          </w:p>
        </w:tc>
        <w:tc>
          <w:tcPr>
            <w:tcW w:w="1725" w:type="dxa"/>
            <w:tcBorders>
              <w:top w:val="nil"/>
              <w:left w:val="nil"/>
              <w:bottom w:val="nil"/>
              <w:right w:val="nil"/>
            </w:tcBorders>
            <w:shd w:val="clear" w:color="auto" w:fill="F2F2F2" w:themeFill="background1" w:themeFillShade="F2"/>
            <w:noWrap/>
            <w:vAlign w:val="bottom"/>
            <w:hideMark/>
          </w:tcPr>
          <w:p w14:paraId="4AB8139A"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F2F2F2" w:themeFill="background1" w:themeFillShade="F2"/>
            <w:noWrap/>
            <w:vAlign w:val="bottom"/>
            <w:hideMark/>
          </w:tcPr>
          <w:p w14:paraId="12D4C820" w14:textId="77777777" w:rsidR="00D5078E" w:rsidRPr="00CB4FCD" w:rsidRDefault="00D5078E" w:rsidP="00D5078E">
            <w:pPr>
              <w:spacing w:line="240" w:lineRule="auto"/>
              <w:jc w:val="center"/>
            </w:pPr>
          </w:p>
        </w:tc>
        <w:tc>
          <w:tcPr>
            <w:tcW w:w="1725" w:type="dxa"/>
            <w:tcBorders>
              <w:top w:val="nil"/>
              <w:left w:val="nil"/>
              <w:bottom w:val="nil"/>
              <w:right w:val="nil"/>
            </w:tcBorders>
            <w:shd w:val="clear" w:color="auto" w:fill="F2F2F2" w:themeFill="background1" w:themeFillShade="F2"/>
            <w:noWrap/>
            <w:vAlign w:val="bottom"/>
            <w:hideMark/>
          </w:tcPr>
          <w:p w14:paraId="080E2A8D" w14:textId="77777777" w:rsidR="00D5078E" w:rsidRPr="00CB4FCD" w:rsidRDefault="00D5078E" w:rsidP="00D5078E">
            <w:pPr>
              <w:spacing w:line="240" w:lineRule="auto"/>
              <w:jc w:val="center"/>
            </w:pPr>
          </w:p>
        </w:tc>
        <w:tc>
          <w:tcPr>
            <w:tcW w:w="1725" w:type="dxa"/>
            <w:tcBorders>
              <w:top w:val="nil"/>
              <w:left w:val="nil"/>
              <w:bottom w:val="nil"/>
              <w:right w:val="nil"/>
            </w:tcBorders>
            <w:shd w:val="clear" w:color="auto" w:fill="F2F2F2" w:themeFill="background1" w:themeFillShade="F2"/>
            <w:vAlign w:val="bottom"/>
          </w:tcPr>
          <w:p w14:paraId="22831C2C" w14:textId="77777777" w:rsidR="00D5078E" w:rsidRPr="00CB4FCD" w:rsidRDefault="00D5078E" w:rsidP="00D5078E">
            <w:pPr>
              <w:spacing w:line="240" w:lineRule="auto"/>
              <w:jc w:val="center"/>
            </w:pPr>
            <w:r w:rsidRPr="00CB4FCD">
              <w:t>-0.344**</w:t>
            </w:r>
          </w:p>
        </w:tc>
      </w:tr>
      <w:tr w:rsidR="00D5078E" w:rsidRPr="00CB4FCD" w14:paraId="723900C8" w14:textId="77777777" w:rsidTr="00D5078E">
        <w:trPr>
          <w:trHeight w:val="263"/>
        </w:trPr>
        <w:tc>
          <w:tcPr>
            <w:tcW w:w="3686" w:type="dxa"/>
            <w:tcBorders>
              <w:top w:val="nil"/>
              <w:left w:val="nil"/>
              <w:bottom w:val="nil"/>
              <w:right w:val="nil"/>
            </w:tcBorders>
            <w:shd w:val="clear" w:color="auto" w:fill="F2F2F2" w:themeFill="background1" w:themeFillShade="F2"/>
            <w:noWrap/>
            <w:vAlign w:val="bottom"/>
            <w:hideMark/>
          </w:tcPr>
          <w:p w14:paraId="1724B870"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F2F2F2" w:themeFill="background1" w:themeFillShade="F2"/>
            <w:noWrap/>
            <w:vAlign w:val="bottom"/>
            <w:hideMark/>
          </w:tcPr>
          <w:p w14:paraId="76C463E5" w14:textId="77777777" w:rsidR="00D5078E" w:rsidRPr="00CB4FCD" w:rsidRDefault="00D5078E" w:rsidP="00D5078E">
            <w:pPr>
              <w:spacing w:line="240" w:lineRule="auto"/>
            </w:pPr>
          </w:p>
        </w:tc>
        <w:tc>
          <w:tcPr>
            <w:tcW w:w="1725" w:type="dxa"/>
            <w:tcBorders>
              <w:top w:val="nil"/>
              <w:left w:val="nil"/>
              <w:bottom w:val="nil"/>
              <w:right w:val="nil"/>
            </w:tcBorders>
            <w:shd w:val="clear" w:color="auto" w:fill="F2F2F2" w:themeFill="background1" w:themeFillShade="F2"/>
            <w:noWrap/>
            <w:vAlign w:val="bottom"/>
            <w:hideMark/>
          </w:tcPr>
          <w:p w14:paraId="673945C5" w14:textId="77777777" w:rsidR="00D5078E" w:rsidRPr="00CB4FCD" w:rsidRDefault="00D5078E" w:rsidP="00D5078E">
            <w:pPr>
              <w:spacing w:line="240" w:lineRule="auto"/>
              <w:jc w:val="center"/>
            </w:pPr>
          </w:p>
        </w:tc>
        <w:tc>
          <w:tcPr>
            <w:tcW w:w="1725" w:type="dxa"/>
            <w:tcBorders>
              <w:top w:val="nil"/>
              <w:left w:val="nil"/>
              <w:bottom w:val="nil"/>
              <w:right w:val="nil"/>
            </w:tcBorders>
            <w:shd w:val="clear" w:color="auto" w:fill="F2F2F2" w:themeFill="background1" w:themeFillShade="F2"/>
            <w:noWrap/>
            <w:vAlign w:val="bottom"/>
            <w:hideMark/>
          </w:tcPr>
          <w:p w14:paraId="1B3680E4"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F2F2F2" w:themeFill="background1" w:themeFillShade="F2"/>
            <w:noWrap/>
            <w:vAlign w:val="bottom"/>
            <w:hideMark/>
          </w:tcPr>
          <w:p w14:paraId="14FB7B01" w14:textId="77777777" w:rsidR="00D5078E" w:rsidRPr="00CB4FCD" w:rsidRDefault="00D5078E" w:rsidP="00D5078E">
            <w:pPr>
              <w:spacing w:line="240" w:lineRule="auto"/>
              <w:jc w:val="center"/>
            </w:pPr>
          </w:p>
        </w:tc>
        <w:tc>
          <w:tcPr>
            <w:tcW w:w="1725" w:type="dxa"/>
            <w:tcBorders>
              <w:top w:val="nil"/>
              <w:left w:val="nil"/>
              <w:bottom w:val="nil"/>
              <w:right w:val="nil"/>
            </w:tcBorders>
            <w:shd w:val="clear" w:color="auto" w:fill="F2F2F2" w:themeFill="background1" w:themeFillShade="F2"/>
            <w:noWrap/>
            <w:vAlign w:val="bottom"/>
            <w:hideMark/>
          </w:tcPr>
          <w:p w14:paraId="0EAA967B" w14:textId="77777777" w:rsidR="00D5078E" w:rsidRPr="00CB4FCD" w:rsidRDefault="00D5078E" w:rsidP="00D5078E">
            <w:pPr>
              <w:spacing w:line="240" w:lineRule="auto"/>
              <w:jc w:val="center"/>
            </w:pPr>
          </w:p>
        </w:tc>
        <w:tc>
          <w:tcPr>
            <w:tcW w:w="1725" w:type="dxa"/>
            <w:tcBorders>
              <w:top w:val="nil"/>
              <w:left w:val="nil"/>
              <w:bottom w:val="nil"/>
              <w:right w:val="nil"/>
            </w:tcBorders>
            <w:shd w:val="clear" w:color="auto" w:fill="F2F2F2" w:themeFill="background1" w:themeFillShade="F2"/>
            <w:vAlign w:val="bottom"/>
          </w:tcPr>
          <w:p w14:paraId="415B9A3E" w14:textId="77777777" w:rsidR="00D5078E" w:rsidRPr="00CB4FCD" w:rsidRDefault="00D5078E" w:rsidP="00D5078E">
            <w:pPr>
              <w:spacing w:line="240" w:lineRule="auto"/>
              <w:jc w:val="center"/>
            </w:pPr>
            <w:r w:rsidRPr="00CB4FCD">
              <w:t>(0.148)</w:t>
            </w:r>
          </w:p>
        </w:tc>
      </w:tr>
      <w:tr w:rsidR="00D5078E" w:rsidRPr="00CB4FCD" w14:paraId="05CF2752" w14:textId="77777777" w:rsidTr="00D5078E">
        <w:trPr>
          <w:trHeight w:val="263"/>
        </w:trPr>
        <w:tc>
          <w:tcPr>
            <w:tcW w:w="3686" w:type="dxa"/>
            <w:tcBorders>
              <w:top w:val="nil"/>
              <w:left w:val="nil"/>
              <w:bottom w:val="nil"/>
              <w:right w:val="nil"/>
            </w:tcBorders>
            <w:shd w:val="clear" w:color="auto" w:fill="F2F2F2" w:themeFill="background1" w:themeFillShade="F2"/>
            <w:noWrap/>
            <w:vAlign w:val="bottom"/>
            <w:hideMark/>
          </w:tcPr>
          <w:p w14:paraId="0FDFE4B5" w14:textId="77777777" w:rsidR="00D5078E" w:rsidRPr="00CB4FCD" w:rsidRDefault="00D5078E" w:rsidP="00D5078E">
            <w:pPr>
              <w:spacing w:line="240" w:lineRule="auto"/>
            </w:pPr>
            <w:r w:rsidRPr="00CB4FCD">
              <w:t>CBI</w:t>
            </w:r>
            <w:r w:rsidRPr="00CB4FCD">
              <w:rPr>
                <w:b/>
                <w:vertAlign w:val="subscript"/>
              </w:rPr>
              <w:t>t-1</w:t>
            </w:r>
          </w:p>
        </w:tc>
        <w:tc>
          <w:tcPr>
            <w:tcW w:w="1724" w:type="dxa"/>
            <w:tcBorders>
              <w:top w:val="nil"/>
              <w:left w:val="nil"/>
              <w:bottom w:val="nil"/>
              <w:right w:val="nil"/>
            </w:tcBorders>
            <w:shd w:val="clear" w:color="auto" w:fill="F2F2F2" w:themeFill="background1" w:themeFillShade="F2"/>
            <w:noWrap/>
            <w:vAlign w:val="bottom"/>
            <w:hideMark/>
          </w:tcPr>
          <w:p w14:paraId="1B55A489" w14:textId="77777777" w:rsidR="00D5078E" w:rsidRPr="00CB4FCD" w:rsidRDefault="00D5078E" w:rsidP="00D5078E">
            <w:pPr>
              <w:spacing w:line="240" w:lineRule="auto"/>
              <w:jc w:val="center"/>
            </w:pPr>
            <w:r w:rsidRPr="00CB4FCD">
              <w:t>-7.814***</w:t>
            </w:r>
          </w:p>
        </w:tc>
        <w:tc>
          <w:tcPr>
            <w:tcW w:w="1725" w:type="dxa"/>
            <w:tcBorders>
              <w:top w:val="nil"/>
              <w:left w:val="nil"/>
              <w:bottom w:val="nil"/>
              <w:right w:val="nil"/>
            </w:tcBorders>
            <w:shd w:val="clear" w:color="auto" w:fill="F2F2F2" w:themeFill="background1" w:themeFillShade="F2"/>
            <w:noWrap/>
            <w:vAlign w:val="bottom"/>
            <w:hideMark/>
          </w:tcPr>
          <w:p w14:paraId="3F95D8C3" w14:textId="77777777" w:rsidR="00D5078E" w:rsidRPr="00CB4FCD" w:rsidRDefault="00D5078E" w:rsidP="00D5078E">
            <w:pPr>
              <w:spacing w:line="240" w:lineRule="auto"/>
              <w:jc w:val="center"/>
            </w:pPr>
            <w:r w:rsidRPr="00CB4FCD">
              <w:t>-7.254***</w:t>
            </w:r>
          </w:p>
        </w:tc>
        <w:tc>
          <w:tcPr>
            <w:tcW w:w="1725" w:type="dxa"/>
            <w:tcBorders>
              <w:top w:val="nil"/>
              <w:left w:val="nil"/>
              <w:bottom w:val="nil"/>
              <w:right w:val="nil"/>
            </w:tcBorders>
            <w:shd w:val="clear" w:color="auto" w:fill="F2F2F2" w:themeFill="background1" w:themeFillShade="F2"/>
            <w:noWrap/>
            <w:vAlign w:val="bottom"/>
            <w:hideMark/>
          </w:tcPr>
          <w:p w14:paraId="72A98522" w14:textId="77777777" w:rsidR="00D5078E" w:rsidRPr="00CB4FCD" w:rsidRDefault="00D5078E" w:rsidP="00D5078E">
            <w:pPr>
              <w:spacing w:line="240" w:lineRule="auto"/>
              <w:jc w:val="center"/>
            </w:pPr>
            <w:r w:rsidRPr="00CB4FCD">
              <w:t>-8.519**</w:t>
            </w:r>
          </w:p>
        </w:tc>
        <w:tc>
          <w:tcPr>
            <w:tcW w:w="1724" w:type="dxa"/>
            <w:tcBorders>
              <w:top w:val="nil"/>
              <w:left w:val="nil"/>
              <w:bottom w:val="nil"/>
              <w:right w:val="nil"/>
            </w:tcBorders>
            <w:shd w:val="clear" w:color="auto" w:fill="F2F2F2" w:themeFill="background1" w:themeFillShade="F2"/>
            <w:noWrap/>
            <w:vAlign w:val="bottom"/>
            <w:hideMark/>
          </w:tcPr>
          <w:p w14:paraId="6C655073" w14:textId="77777777" w:rsidR="00D5078E" w:rsidRPr="00CB4FCD" w:rsidRDefault="00D5078E" w:rsidP="00D5078E">
            <w:pPr>
              <w:spacing w:line="240" w:lineRule="auto"/>
              <w:jc w:val="center"/>
            </w:pPr>
            <w:r w:rsidRPr="00CB4FCD">
              <w:t>-6.039**</w:t>
            </w:r>
          </w:p>
        </w:tc>
        <w:tc>
          <w:tcPr>
            <w:tcW w:w="1725" w:type="dxa"/>
            <w:tcBorders>
              <w:top w:val="nil"/>
              <w:left w:val="nil"/>
              <w:bottom w:val="nil"/>
              <w:right w:val="nil"/>
            </w:tcBorders>
            <w:shd w:val="clear" w:color="auto" w:fill="F2F2F2" w:themeFill="background1" w:themeFillShade="F2"/>
            <w:noWrap/>
            <w:vAlign w:val="bottom"/>
            <w:hideMark/>
          </w:tcPr>
          <w:p w14:paraId="05CC4996" w14:textId="77777777" w:rsidR="00D5078E" w:rsidRPr="00CB4FCD" w:rsidRDefault="00D5078E" w:rsidP="00D5078E">
            <w:pPr>
              <w:spacing w:line="240" w:lineRule="auto"/>
              <w:jc w:val="center"/>
            </w:pPr>
            <w:r w:rsidRPr="00CB4FCD">
              <w:t>-2.571**</w:t>
            </w:r>
          </w:p>
        </w:tc>
        <w:tc>
          <w:tcPr>
            <w:tcW w:w="1725" w:type="dxa"/>
            <w:tcBorders>
              <w:top w:val="nil"/>
              <w:left w:val="nil"/>
              <w:bottom w:val="nil"/>
              <w:right w:val="nil"/>
            </w:tcBorders>
            <w:shd w:val="clear" w:color="auto" w:fill="F2F2F2" w:themeFill="background1" w:themeFillShade="F2"/>
            <w:vAlign w:val="bottom"/>
          </w:tcPr>
          <w:p w14:paraId="092FB213" w14:textId="77777777" w:rsidR="00D5078E" w:rsidRPr="00CB4FCD" w:rsidRDefault="00D5078E" w:rsidP="00D5078E">
            <w:pPr>
              <w:spacing w:line="240" w:lineRule="auto"/>
              <w:jc w:val="center"/>
            </w:pPr>
            <w:r w:rsidRPr="00CB4FCD">
              <w:t>-2.659**</w:t>
            </w:r>
          </w:p>
        </w:tc>
      </w:tr>
      <w:tr w:rsidR="00D5078E" w:rsidRPr="00CB4FCD" w14:paraId="71066210" w14:textId="77777777" w:rsidTr="00D5078E">
        <w:trPr>
          <w:trHeight w:val="263"/>
        </w:trPr>
        <w:tc>
          <w:tcPr>
            <w:tcW w:w="3686" w:type="dxa"/>
            <w:tcBorders>
              <w:top w:val="nil"/>
              <w:left w:val="nil"/>
              <w:bottom w:val="nil"/>
              <w:right w:val="nil"/>
            </w:tcBorders>
            <w:shd w:val="clear" w:color="auto" w:fill="F2F2F2" w:themeFill="background1" w:themeFillShade="F2"/>
            <w:noWrap/>
            <w:vAlign w:val="bottom"/>
            <w:hideMark/>
          </w:tcPr>
          <w:p w14:paraId="772432E7"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F2F2F2" w:themeFill="background1" w:themeFillShade="F2"/>
            <w:noWrap/>
            <w:vAlign w:val="bottom"/>
            <w:hideMark/>
          </w:tcPr>
          <w:p w14:paraId="42C1B803" w14:textId="77777777" w:rsidR="00D5078E" w:rsidRPr="00CB4FCD" w:rsidRDefault="00D5078E" w:rsidP="00D5078E">
            <w:pPr>
              <w:spacing w:line="240" w:lineRule="auto"/>
              <w:jc w:val="center"/>
            </w:pPr>
            <w:r w:rsidRPr="00CB4FCD">
              <w:t>(2.444)</w:t>
            </w:r>
          </w:p>
        </w:tc>
        <w:tc>
          <w:tcPr>
            <w:tcW w:w="1725" w:type="dxa"/>
            <w:tcBorders>
              <w:top w:val="nil"/>
              <w:left w:val="nil"/>
              <w:bottom w:val="nil"/>
              <w:right w:val="nil"/>
            </w:tcBorders>
            <w:shd w:val="clear" w:color="auto" w:fill="F2F2F2" w:themeFill="background1" w:themeFillShade="F2"/>
            <w:noWrap/>
            <w:vAlign w:val="bottom"/>
            <w:hideMark/>
          </w:tcPr>
          <w:p w14:paraId="1CBD1ABE" w14:textId="77777777" w:rsidR="00D5078E" w:rsidRPr="00CB4FCD" w:rsidRDefault="00D5078E" w:rsidP="00D5078E">
            <w:pPr>
              <w:spacing w:line="240" w:lineRule="auto"/>
              <w:jc w:val="center"/>
            </w:pPr>
            <w:r w:rsidRPr="00CB4FCD">
              <w:t>(2.678)</w:t>
            </w:r>
          </w:p>
        </w:tc>
        <w:tc>
          <w:tcPr>
            <w:tcW w:w="1725" w:type="dxa"/>
            <w:tcBorders>
              <w:top w:val="nil"/>
              <w:left w:val="nil"/>
              <w:bottom w:val="nil"/>
              <w:right w:val="nil"/>
            </w:tcBorders>
            <w:shd w:val="clear" w:color="auto" w:fill="F2F2F2" w:themeFill="background1" w:themeFillShade="F2"/>
            <w:noWrap/>
            <w:vAlign w:val="bottom"/>
            <w:hideMark/>
          </w:tcPr>
          <w:p w14:paraId="1DB7A1B9" w14:textId="77777777" w:rsidR="00D5078E" w:rsidRPr="00CB4FCD" w:rsidRDefault="00D5078E" w:rsidP="00D5078E">
            <w:pPr>
              <w:spacing w:line="240" w:lineRule="auto"/>
              <w:jc w:val="center"/>
            </w:pPr>
            <w:r w:rsidRPr="00CB4FCD">
              <w:t>(3.682)</w:t>
            </w:r>
          </w:p>
        </w:tc>
        <w:tc>
          <w:tcPr>
            <w:tcW w:w="1724" w:type="dxa"/>
            <w:tcBorders>
              <w:top w:val="nil"/>
              <w:left w:val="nil"/>
              <w:bottom w:val="nil"/>
              <w:right w:val="nil"/>
            </w:tcBorders>
            <w:shd w:val="clear" w:color="auto" w:fill="F2F2F2" w:themeFill="background1" w:themeFillShade="F2"/>
            <w:noWrap/>
            <w:vAlign w:val="bottom"/>
            <w:hideMark/>
          </w:tcPr>
          <w:p w14:paraId="28C4009D" w14:textId="77777777" w:rsidR="00D5078E" w:rsidRPr="00CB4FCD" w:rsidRDefault="00D5078E" w:rsidP="00D5078E">
            <w:pPr>
              <w:spacing w:line="240" w:lineRule="auto"/>
              <w:jc w:val="center"/>
            </w:pPr>
            <w:r w:rsidRPr="00CB4FCD">
              <w:t>(3.024)</w:t>
            </w:r>
          </w:p>
        </w:tc>
        <w:tc>
          <w:tcPr>
            <w:tcW w:w="1725" w:type="dxa"/>
            <w:tcBorders>
              <w:top w:val="nil"/>
              <w:left w:val="nil"/>
              <w:bottom w:val="nil"/>
              <w:right w:val="nil"/>
            </w:tcBorders>
            <w:shd w:val="clear" w:color="auto" w:fill="F2F2F2" w:themeFill="background1" w:themeFillShade="F2"/>
            <w:noWrap/>
            <w:vAlign w:val="bottom"/>
            <w:hideMark/>
          </w:tcPr>
          <w:p w14:paraId="025848AD" w14:textId="77777777" w:rsidR="00D5078E" w:rsidRPr="00CB4FCD" w:rsidRDefault="00D5078E" w:rsidP="00D5078E">
            <w:pPr>
              <w:spacing w:line="240" w:lineRule="auto"/>
              <w:jc w:val="center"/>
            </w:pPr>
            <w:r w:rsidRPr="00CB4FCD">
              <w:t>(0.991)</w:t>
            </w:r>
          </w:p>
        </w:tc>
        <w:tc>
          <w:tcPr>
            <w:tcW w:w="1725" w:type="dxa"/>
            <w:tcBorders>
              <w:top w:val="nil"/>
              <w:left w:val="nil"/>
              <w:bottom w:val="nil"/>
              <w:right w:val="nil"/>
            </w:tcBorders>
            <w:shd w:val="clear" w:color="auto" w:fill="F2F2F2" w:themeFill="background1" w:themeFillShade="F2"/>
            <w:vAlign w:val="bottom"/>
          </w:tcPr>
          <w:p w14:paraId="0FE8CCD3" w14:textId="77777777" w:rsidR="00D5078E" w:rsidRPr="00CB4FCD" w:rsidRDefault="00D5078E" w:rsidP="00D5078E">
            <w:pPr>
              <w:spacing w:line="240" w:lineRule="auto"/>
              <w:jc w:val="center"/>
            </w:pPr>
            <w:r w:rsidRPr="00CB4FCD">
              <w:t>(1.079)</w:t>
            </w:r>
          </w:p>
        </w:tc>
      </w:tr>
      <w:tr w:rsidR="00D5078E" w:rsidRPr="00CB4FCD" w14:paraId="69DAB91E" w14:textId="77777777" w:rsidTr="00D5078E">
        <w:trPr>
          <w:trHeight w:val="263"/>
        </w:trPr>
        <w:tc>
          <w:tcPr>
            <w:tcW w:w="3686" w:type="dxa"/>
            <w:tcBorders>
              <w:top w:val="nil"/>
              <w:left w:val="nil"/>
              <w:bottom w:val="nil"/>
              <w:right w:val="nil"/>
            </w:tcBorders>
            <w:shd w:val="clear" w:color="auto" w:fill="F2F2F2" w:themeFill="background1" w:themeFillShade="F2"/>
            <w:noWrap/>
            <w:vAlign w:val="bottom"/>
            <w:hideMark/>
          </w:tcPr>
          <w:p w14:paraId="1CED057D" w14:textId="77777777" w:rsidR="00D5078E" w:rsidRPr="00CB4FCD" w:rsidRDefault="00D5078E" w:rsidP="00D5078E">
            <w:pPr>
              <w:spacing w:line="240" w:lineRule="auto"/>
            </w:pPr>
            <w:r w:rsidRPr="00CB4FCD">
              <w:t>Remittances</w:t>
            </w:r>
            <w:r w:rsidRPr="00CB4FCD">
              <w:rPr>
                <w:vertAlign w:val="subscript"/>
              </w:rPr>
              <w:t>t-1</w:t>
            </w:r>
            <w:r w:rsidRPr="00CB4FCD">
              <w:t xml:space="preserve"> *CBI</w:t>
            </w:r>
            <w:r w:rsidRPr="00CB4FCD">
              <w:rPr>
                <w:vertAlign w:val="subscript"/>
              </w:rPr>
              <w:t>t-1</w:t>
            </w:r>
          </w:p>
        </w:tc>
        <w:tc>
          <w:tcPr>
            <w:tcW w:w="1724" w:type="dxa"/>
            <w:tcBorders>
              <w:top w:val="nil"/>
              <w:left w:val="nil"/>
              <w:bottom w:val="nil"/>
              <w:right w:val="nil"/>
            </w:tcBorders>
            <w:shd w:val="clear" w:color="auto" w:fill="F2F2F2" w:themeFill="background1" w:themeFillShade="F2"/>
            <w:noWrap/>
            <w:vAlign w:val="bottom"/>
            <w:hideMark/>
          </w:tcPr>
          <w:p w14:paraId="4BF841AF" w14:textId="77777777" w:rsidR="00D5078E" w:rsidRPr="00CB4FCD" w:rsidRDefault="00D5078E" w:rsidP="00D5078E">
            <w:pPr>
              <w:spacing w:line="240" w:lineRule="auto"/>
              <w:jc w:val="center"/>
              <w:rPr>
                <w:b/>
              </w:rPr>
            </w:pPr>
            <w:r w:rsidRPr="00CB4FCD">
              <w:t>0.465***</w:t>
            </w:r>
          </w:p>
        </w:tc>
        <w:tc>
          <w:tcPr>
            <w:tcW w:w="1725" w:type="dxa"/>
            <w:tcBorders>
              <w:top w:val="nil"/>
              <w:left w:val="nil"/>
              <w:bottom w:val="nil"/>
              <w:right w:val="nil"/>
            </w:tcBorders>
            <w:shd w:val="clear" w:color="auto" w:fill="F2F2F2" w:themeFill="background1" w:themeFillShade="F2"/>
            <w:noWrap/>
            <w:vAlign w:val="bottom"/>
            <w:hideMark/>
          </w:tcPr>
          <w:p w14:paraId="0DFCB609" w14:textId="77777777" w:rsidR="00D5078E" w:rsidRPr="00CB4FCD" w:rsidRDefault="00D5078E" w:rsidP="00D5078E">
            <w:pPr>
              <w:spacing w:line="240" w:lineRule="auto"/>
              <w:jc w:val="center"/>
              <w:rPr>
                <w:b/>
              </w:rPr>
            </w:pPr>
            <w:r w:rsidRPr="00CB4FCD">
              <w:t>0.425**</w:t>
            </w:r>
          </w:p>
        </w:tc>
        <w:tc>
          <w:tcPr>
            <w:tcW w:w="1725" w:type="dxa"/>
            <w:tcBorders>
              <w:top w:val="nil"/>
              <w:left w:val="nil"/>
              <w:bottom w:val="nil"/>
              <w:right w:val="nil"/>
            </w:tcBorders>
            <w:shd w:val="clear" w:color="auto" w:fill="F2F2F2" w:themeFill="background1" w:themeFillShade="F2"/>
            <w:noWrap/>
            <w:vAlign w:val="bottom"/>
            <w:hideMark/>
          </w:tcPr>
          <w:p w14:paraId="32E03A7B" w14:textId="77777777" w:rsidR="00D5078E" w:rsidRPr="00CB4FCD" w:rsidRDefault="00D5078E" w:rsidP="00D5078E">
            <w:pPr>
              <w:spacing w:line="240" w:lineRule="auto"/>
              <w:jc w:val="center"/>
              <w:rPr>
                <w:b/>
              </w:rPr>
            </w:pPr>
            <w:r w:rsidRPr="00CB4FCD">
              <w:t>0.446*</w:t>
            </w:r>
          </w:p>
        </w:tc>
        <w:tc>
          <w:tcPr>
            <w:tcW w:w="1724" w:type="dxa"/>
            <w:tcBorders>
              <w:top w:val="nil"/>
              <w:left w:val="nil"/>
              <w:bottom w:val="nil"/>
              <w:right w:val="nil"/>
            </w:tcBorders>
            <w:shd w:val="clear" w:color="auto" w:fill="F2F2F2" w:themeFill="background1" w:themeFillShade="F2"/>
            <w:noWrap/>
            <w:vAlign w:val="bottom"/>
            <w:hideMark/>
          </w:tcPr>
          <w:p w14:paraId="5F3057E6" w14:textId="77777777" w:rsidR="00D5078E" w:rsidRPr="00CB4FCD" w:rsidRDefault="00D5078E" w:rsidP="00D5078E">
            <w:pPr>
              <w:spacing w:line="240" w:lineRule="auto"/>
              <w:jc w:val="center"/>
              <w:rPr>
                <w:b/>
              </w:rPr>
            </w:pPr>
            <w:r w:rsidRPr="00CB4FCD">
              <w:t>0.344*</w:t>
            </w:r>
          </w:p>
        </w:tc>
        <w:tc>
          <w:tcPr>
            <w:tcW w:w="1725" w:type="dxa"/>
            <w:tcBorders>
              <w:top w:val="nil"/>
              <w:left w:val="nil"/>
              <w:bottom w:val="nil"/>
              <w:right w:val="nil"/>
            </w:tcBorders>
            <w:shd w:val="clear" w:color="auto" w:fill="F2F2F2" w:themeFill="background1" w:themeFillShade="F2"/>
            <w:noWrap/>
            <w:vAlign w:val="bottom"/>
            <w:hideMark/>
          </w:tcPr>
          <w:p w14:paraId="5CA8FCE0" w14:textId="77777777" w:rsidR="00D5078E" w:rsidRPr="00CB4FCD" w:rsidRDefault="00D5078E" w:rsidP="00D5078E">
            <w:pPr>
              <w:spacing w:line="240" w:lineRule="auto"/>
              <w:jc w:val="center"/>
              <w:rPr>
                <w:b/>
              </w:rPr>
            </w:pPr>
            <w:r w:rsidRPr="00CB4FCD">
              <w:t>0.179**</w:t>
            </w:r>
          </w:p>
        </w:tc>
        <w:tc>
          <w:tcPr>
            <w:tcW w:w="1725" w:type="dxa"/>
            <w:tcBorders>
              <w:top w:val="nil"/>
              <w:left w:val="nil"/>
              <w:bottom w:val="nil"/>
              <w:right w:val="nil"/>
            </w:tcBorders>
            <w:shd w:val="clear" w:color="auto" w:fill="F2F2F2" w:themeFill="background1" w:themeFillShade="F2"/>
            <w:vAlign w:val="bottom"/>
          </w:tcPr>
          <w:p w14:paraId="59FA13E9" w14:textId="77777777" w:rsidR="00D5078E" w:rsidRPr="00CB4FCD" w:rsidRDefault="00D5078E" w:rsidP="00D5078E">
            <w:pPr>
              <w:spacing w:line="240" w:lineRule="auto"/>
              <w:jc w:val="center"/>
            </w:pPr>
            <w:r w:rsidRPr="00CB4FCD">
              <w:t>0.647***</w:t>
            </w:r>
          </w:p>
        </w:tc>
      </w:tr>
      <w:tr w:rsidR="00D5078E" w:rsidRPr="00CB4FCD" w14:paraId="756B7C7B" w14:textId="77777777" w:rsidTr="00D5078E">
        <w:trPr>
          <w:trHeight w:val="263"/>
        </w:trPr>
        <w:tc>
          <w:tcPr>
            <w:tcW w:w="3686" w:type="dxa"/>
            <w:tcBorders>
              <w:top w:val="nil"/>
              <w:left w:val="nil"/>
              <w:bottom w:val="nil"/>
              <w:right w:val="nil"/>
            </w:tcBorders>
            <w:shd w:val="clear" w:color="auto" w:fill="F2F2F2" w:themeFill="background1" w:themeFillShade="F2"/>
            <w:noWrap/>
            <w:vAlign w:val="bottom"/>
            <w:hideMark/>
          </w:tcPr>
          <w:p w14:paraId="06FCAE2F" w14:textId="77777777" w:rsidR="00D5078E" w:rsidRPr="00CB4FCD" w:rsidRDefault="00D5078E" w:rsidP="00D5078E">
            <w:pPr>
              <w:spacing w:line="240" w:lineRule="auto"/>
              <w:jc w:val="center"/>
              <w:rPr>
                <w:b/>
              </w:rPr>
            </w:pPr>
          </w:p>
        </w:tc>
        <w:tc>
          <w:tcPr>
            <w:tcW w:w="1724" w:type="dxa"/>
            <w:tcBorders>
              <w:top w:val="nil"/>
              <w:left w:val="nil"/>
              <w:bottom w:val="nil"/>
              <w:right w:val="nil"/>
            </w:tcBorders>
            <w:shd w:val="clear" w:color="auto" w:fill="F2F2F2" w:themeFill="background1" w:themeFillShade="F2"/>
            <w:noWrap/>
            <w:vAlign w:val="bottom"/>
            <w:hideMark/>
          </w:tcPr>
          <w:p w14:paraId="26B30556" w14:textId="77777777" w:rsidR="00D5078E" w:rsidRPr="00CB4FCD" w:rsidRDefault="00D5078E" w:rsidP="00D5078E">
            <w:pPr>
              <w:spacing w:line="240" w:lineRule="auto"/>
              <w:jc w:val="center"/>
              <w:rPr>
                <w:b/>
              </w:rPr>
            </w:pPr>
            <w:r w:rsidRPr="00CB4FCD">
              <w:t>(0.146)</w:t>
            </w:r>
          </w:p>
        </w:tc>
        <w:tc>
          <w:tcPr>
            <w:tcW w:w="1725" w:type="dxa"/>
            <w:tcBorders>
              <w:top w:val="nil"/>
              <w:left w:val="nil"/>
              <w:bottom w:val="nil"/>
              <w:right w:val="nil"/>
            </w:tcBorders>
            <w:shd w:val="clear" w:color="auto" w:fill="F2F2F2" w:themeFill="background1" w:themeFillShade="F2"/>
            <w:noWrap/>
            <w:vAlign w:val="bottom"/>
            <w:hideMark/>
          </w:tcPr>
          <w:p w14:paraId="3CE079ED" w14:textId="77777777" w:rsidR="00D5078E" w:rsidRPr="00CB4FCD" w:rsidRDefault="00D5078E" w:rsidP="00D5078E">
            <w:pPr>
              <w:spacing w:line="240" w:lineRule="auto"/>
              <w:jc w:val="center"/>
              <w:rPr>
                <w:b/>
              </w:rPr>
            </w:pPr>
            <w:r w:rsidRPr="00CB4FCD">
              <w:t>(0.167)</w:t>
            </w:r>
          </w:p>
        </w:tc>
        <w:tc>
          <w:tcPr>
            <w:tcW w:w="1725" w:type="dxa"/>
            <w:tcBorders>
              <w:top w:val="nil"/>
              <w:left w:val="nil"/>
              <w:bottom w:val="nil"/>
              <w:right w:val="nil"/>
            </w:tcBorders>
            <w:shd w:val="clear" w:color="auto" w:fill="F2F2F2" w:themeFill="background1" w:themeFillShade="F2"/>
            <w:noWrap/>
            <w:vAlign w:val="bottom"/>
            <w:hideMark/>
          </w:tcPr>
          <w:p w14:paraId="0AB25018" w14:textId="77777777" w:rsidR="00D5078E" w:rsidRPr="00CB4FCD" w:rsidRDefault="00D5078E" w:rsidP="00D5078E">
            <w:pPr>
              <w:spacing w:line="240" w:lineRule="auto"/>
              <w:jc w:val="center"/>
              <w:rPr>
                <w:b/>
              </w:rPr>
            </w:pPr>
            <w:r w:rsidRPr="00CB4FCD">
              <w:t>(0.229)</w:t>
            </w:r>
          </w:p>
        </w:tc>
        <w:tc>
          <w:tcPr>
            <w:tcW w:w="1724" w:type="dxa"/>
            <w:tcBorders>
              <w:top w:val="nil"/>
              <w:left w:val="nil"/>
              <w:bottom w:val="nil"/>
              <w:right w:val="nil"/>
            </w:tcBorders>
            <w:shd w:val="clear" w:color="auto" w:fill="F2F2F2" w:themeFill="background1" w:themeFillShade="F2"/>
            <w:noWrap/>
            <w:vAlign w:val="bottom"/>
            <w:hideMark/>
          </w:tcPr>
          <w:p w14:paraId="75B757C5" w14:textId="77777777" w:rsidR="00D5078E" w:rsidRPr="00CB4FCD" w:rsidRDefault="00D5078E" w:rsidP="00D5078E">
            <w:pPr>
              <w:spacing w:line="240" w:lineRule="auto"/>
              <w:jc w:val="center"/>
              <w:rPr>
                <w:b/>
              </w:rPr>
            </w:pPr>
            <w:r w:rsidRPr="00CB4FCD">
              <w:t>(0.192)</w:t>
            </w:r>
          </w:p>
        </w:tc>
        <w:tc>
          <w:tcPr>
            <w:tcW w:w="1725" w:type="dxa"/>
            <w:tcBorders>
              <w:top w:val="nil"/>
              <w:left w:val="nil"/>
              <w:bottom w:val="nil"/>
              <w:right w:val="nil"/>
            </w:tcBorders>
            <w:shd w:val="clear" w:color="auto" w:fill="F2F2F2" w:themeFill="background1" w:themeFillShade="F2"/>
            <w:noWrap/>
            <w:vAlign w:val="bottom"/>
            <w:hideMark/>
          </w:tcPr>
          <w:p w14:paraId="15AF2378" w14:textId="77777777" w:rsidR="00D5078E" w:rsidRPr="00CB4FCD" w:rsidRDefault="00D5078E" w:rsidP="00D5078E">
            <w:pPr>
              <w:spacing w:line="240" w:lineRule="auto"/>
              <w:jc w:val="center"/>
              <w:rPr>
                <w:b/>
              </w:rPr>
            </w:pPr>
            <w:r w:rsidRPr="00CB4FCD">
              <w:t>(0.0707)</w:t>
            </w:r>
          </w:p>
        </w:tc>
        <w:tc>
          <w:tcPr>
            <w:tcW w:w="1725" w:type="dxa"/>
            <w:tcBorders>
              <w:top w:val="nil"/>
              <w:left w:val="nil"/>
              <w:bottom w:val="nil"/>
              <w:right w:val="nil"/>
            </w:tcBorders>
            <w:shd w:val="clear" w:color="auto" w:fill="F2F2F2" w:themeFill="background1" w:themeFillShade="F2"/>
            <w:vAlign w:val="bottom"/>
          </w:tcPr>
          <w:p w14:paraId="7AF072A7" w14:textId="77777777" w:rsidR="00D5078E" w:rsidRPr="00CB4FCD" w:rsidRDefault="00D5078E" w:rsidP="00D5078E">
            <w:pPr>
              <w:spacing w:line="240" w:lineRule="auto"/>
              <w:jc w:val="center"/>
            </w:pPr>
            <w:r w:rsidRPr="00CB4FCD">
              <w:t>(0.241)</w:t>
            </w:r>
          </w:p>
        </w:tc>
      </w:tr>
      <w:tr w:rsidR="00D5078E" w:rsidRPr="00CB4FCD" w14:paraId="7DD32555" w14:textId="77777777" w:rsidTr="00D5078E">
        <w:trPr>
          <w:trHeight w:val="263"/>
        </w:trPr>
        <w:tc>
          <w:tcPr>
            <w:tcW w:w="3686" w:type="dxa"/>
            <w:tcBorders>
              <w:top w:val="nil"/>
              <w:left w:val="nil"/>
              <w:bottom w:val="nil"/>
              <w:right w:val="nil"/>
            </w:tcBorders>
            <w:shd w:val="clear" w:color="auto" w:fill="auto"/>
            <w:noWrap/>
            <w:hideMark/>
          </w:tcPr>
          <w:p w14:paraId="379378CA" w14:textId="77777777" w:rsidR="00D5078E" w:rsidRPr="00CB4FCD" w:rsidRDefault="00D5078E" w:rsidP="00D5078E">
            <w:pPr>
              <w:spacing w:line="240" w:lineRule="auto"/>
              <w:ind w:right="317"/>
            </w:pPr>
            <w:r w:rsidRPr="00CB4FCD">
              <w:t>Dependent variable</w:t>
            </w:r>
            <w:r w:rsidRPr="00CB4FCD">
              <w:rPr>
                <w:vertAlign w:val="subscript"/>
              </w:rPr>
              <w:t>t-1</w:t>
            </w:r>
          </w:p>
        </w:tc>
        <w:tc>
          <w:tcPr>
            <w:tcW w:w="1724" w:type="dxa"/>
            <w:tcBorders>
              <w:top w:val="nil"/>
              <w:left w:val="nil"/>
              <w:bottom w:val="nil"/>
              <w:right w:val="nil"/>
            </w:tcBorders>
            <w:shd w:val="clear" w:color="auto" w:fill="auto"/>
            <w:noWrap/>
            <w:vAlign w:val="bottom"/>
            <w:hideMark/>
          </w:tcPr>
          <w:p w14:paraId="2F8DABD6" w14:textId="77777777" w:rsidR="00D5078E" w:rsidRPr="00CB4FCD" w:rsidRDefault="00D5078E" w:rsidP="00D5078E">
            <w:pPr>
              <w:spacing w:line="240" w:lineRule="auto"/>
              <w:jc w:val="center"/>
            </w:pPr>
            <w:r w:rsidRPr="00CB4FCD">
              <w:t>2.498***</w:t>
            </w:r>
          </w:p>
        </w:tc>
        <w:tc>
          <w:tcPr>
            <w:tcW w:w="1725" w:type="dxa"/>
            <w:tcBorders>
              <w:top w:val="nil"/>
              <w:left w:val="nil"/>
              <w:bottom w:val="nil"/>
              <w:right w:val="nil"/>
            </w:tcBorders>
            <w:shd w:val="clear" w:color="auto" w:fill="auto"/>
            <w:noWrap/>
            <w:vAlign w:val="bottom"/>
            <w:hideMark/>
          </w:tcPr>
          <w:p w14:paraId="6905EB09" w14:textId="77777777" w:rsidR="00D5078E" w:rsidRPr="00CB4FCD" w:rsidRDefault="00D5078E" w:rsidP="00D5078E">
            <w:pPr>
              <w:spacing w:line="240" w:lineRule="auto"/>
              <w:jc w:val="center"/>
            </w:pPr>
            <w:r w:rsidRPr="00CB4FCD">
              <w:t>2.630***</w:t>
            </w:r>
          </w:p>
        </w:tc>
        <w:tc>
          <w:tcPr>
            <w:tcW w:w="1725" w:type="dxa"/>
            <w:tcBorders>
              <w:top w:val="nil"/>
              <w:left w:val="nil"/>
              <w:bottom w:val="nil"/>
              <w:right w:val="nil"/>
            </w:tcBorders>
            <w:shd w:val="clear" w:color="auto" w:fill="auto"/>
            <w:noWrap/>
            <w:vAlign w:val="bottom"/>
            <w:hideMark/>
          </w:tcPr>
          <w:p w14:paraId="23169E40"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35C1B8E5" w14:textId="77777777" w:rsidR="00D5078E" w:rsidRPr="00CB4FCD" w:rsidRDefault="00D5078E" w:rsidP="00D5078E">
            <w:pPr>
              <w:spacing w:line="240" w:lineRule="auto"/>
              <w:jc w:val="center"/>
            </w:pPr>
            <w:r w:rsidRPr="00CB4FCD">
              <w:t>2.512***</w:t>
            </w:r>
          </w:p>
        </w:tc>
        <w:tc>
          <w:tcPr>
            <w:tcW w:w="1725" w:type="dxa"/>
            <w:tcBorders>
              <w:top w:val="nil"/>
              <w:left w:val="nil"/>
              <w:bottom w:val="nil"/>
              <w:right w:val="nil"/>
            </w:tcBorders>
            <w:shd w:val="clear" w:color="auto" w:fill="auto"/>
            <w:noWrap/>
            <w:vAlign w:val="bottom"/>
            <w:hideMark/>
          </w:tcPr>
          <w:p w14:paraId="63DEF325" w14:textId="77777777" w:rsidR="00D5078E" w:rsidRPr="00CB4FCD" w:rsidRDefault="00D5078E" w:rsidP="00D5078E">
            <w:pPr>
              <w:spacing w:line="240" w:lineRule="auto"/>
              <w:jc w:val="center"/>
            </w:pPr>
            <w:r w:rsidRPr="00CB4FCD">
              <w:t>0.788***</w:t>
            </w:r>
          </w:p>
        </w:tc>
        <w:tc>
          <w:tcPr>
            <w:tcW w:w="1725" w:type="dxa"/>
            <w:tcBorders>
              <w:top w:val="nil"/>
              <w:left w:val="nil"/>
              <w:bottom w:val="nil"/>
              <w:right w:val="nil"/>
            </w:tcBorders>
            <w:vAlign w:val="bottom"/>
          </w:tcPr>
          <w:p w14:paraId="7B22B6FE" w14:textId="77777777" w:rsidR="00D5078E" w:rsidRPr="00CB4FCD" w:rsidRDefault="00D5078E" w:rsidP="00D5078E">
            <w:pPr>
              <w:spacing w:line="240" w:lineRule="auto"/>
              <w:jc w:val="center"/>
            </w:pPr>
            <w:r w:rsidRPr="00CB4FCD">
              <w:t>3.371***</w:t>
            </w:r>
          </w:p>
        </w:tc>
      </w:tr>
      <w:tr w:rsidR="00D5078E" w:rsidRPr="00CB4FCD" w14:paraId="575AD8E4" w14:textId="77777777" w:rsidTr="00D5078E">
        <w:trPr>
          <w:trHeight w:val="263"/>
        </w:trPr>
        <w:tc>
          <w:tcPr>
            <w:tcW w:w="3686" w:type="dxa"/>
            <w:tcBorders>
              <w:top w:val="nil"/>
              <w:left w:val="nil"/>
              <w:bottom w:val="nil"/>
              <w:right w:val="nil"/>
            </w:tcBorders>
            <w:shd w:val="clear" w:color="auto" w:fill="auto"/>
            <w:noWrap/>
            <w:vAlign w:val="bottom"/>
            <w:hideMark/>
          </w:tcPr>
          <w:p w14:paraId="284C1FD9"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0B6E85F3" w14:textId="77777777" w:rsidR="00D5078E" w:rsidRPr="00CB4FCD" w:rsidRDefault="00D5078E" w:rsidP="00D5078E">
            <w:pPr>
              <w:spacing w:line="240" w:lineRule="auto"/>
              <w:jc w:val="center"/>
            </w:pPr>
            <w:r w:rsidRPr="00CB4FCD">
              <w:t>(0.347)</w:t>
            </w:r>
          </w:p>
        </w:tc>
        <w:tc>
          <w:tcPr>
            <w:tcW w:w="1725" w:type="dxa"/>
            <w:tcBorders>
              <w:top w:val="nil"/>
              <w:left w:val="nil"/>
              <w:bottom w:val="nil"/>
              <w:right w:val="nil"/>
            </w:tcBorders>
            <w:shd w:val="clear" w:color="auto" w:fill="auto"/>
            <w:noWrap/>
            <w:vAlign w:val="bottom"/>
            <w:hideMark/>
          </w:tcPr>
          <w:p w14:paraId="2A158502" w14:textId="77777777" w:rsidR="00D5078E" w:rsidRPr="00CB4FCD" w:rsidRDefault="00D5078E" w:rsidP="00D5078E">
            <w:pPr>
              <w:spacing w:line="240" w:lineRule="auto"/>
              <w:jc w:val="center"/>
            </w:pPr>
            <w:r w:rsidRPr="00CB4FCD">
              <w:t>(0.347)</w:t>
            </w:r>
          </w:p>
        </w:tc>
        <w:tc>
          <w:tcPr>
            <w:tcW w:w="1725" w:type="dxa"/>
            <w:tcBorders>
              <w:top w:val="nil"/>
              <w:left w:val="nil"/>
              <w:bottom w:val="nil"/>
              <w:right w:val="nil"/>
            </w:tcBorders>
            <w:shd w:val="clear" w:color="auto" w:fill="auto"/>
            <w:noWrap/>
            <w:vAlign w:val="bottom"/>
            <w:hideMark/>
          </w:tcPr>
          <w:p w14:paraId="169C6D61"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0A1CD8F1" w14:textId="77777777" w:rsidR="00D5078E" w:rsidRPr="00CB4FCD" w:rsidRDefault="00D5078E" w:rsidP="00D5078E">
            <w:pPr>
              <w:spacing w:line="240" w:lineRule="auto"/>
              <w:jc w:val="center"/>
            </w:pPr>
            <w:r w:rsidRPr="00CB4FCD">
              <w:t>(0.330)</w:t>
            </w:r>
          </w:p>
        </w:tc>
        <w:tc>
          <w:tcPr>
            <w:tcW w:w="1725" w:type="dxa"/>
            <w:tcBorders>
              <w:top w:val="nil"/>
              <w:left w:val="nil"/>
              <w:bottom w:val="nil"/>
              <w:right w:val="nil"/>
            </w:tcBorders>
            <w:shd w:val="clear" w:color="auto" w:fill="auto"/>
            <w:noWrap/>
            <w:vAlign w:val="bottom"/>
            <w:hideMark/>
          </w:tcPr>
          <w:p w14:paraId="0FBB3998" w14:textId="77777777" w:rsidR="00D5078E" w:rsidRPr="00CB4FCD" w:rsidRDefault="00D5078E" w:rsidP="00D5078E">
            <w:pPr>
              <w:spacing w:line="240" w:lineRule="auto"/>
              <w:jc w:val="center"/>
            </w:pPr>
            <w:r w:rsidRPr="00CB4FCD">
              <w:t>(0.0541)</w:t>
            </w:r>
          </w:p>
        </w:tc>
        <w:tc>
          <w:tcPr>
            <w:tcW w:w="1725" w:type="dxa"/>
            <w:tcBorders>
              <w:top w:val="nil"/>
              <w:left w:val="nil"/>
              <w:bottom w:val="nil"/>
              <w:right w:val="nil"/>
            </w:tcBorders>
            <w:vAlign w:val="bottom"/>
          </w:tcPr>
          <w:p w14:paraId="1C9D3DDC" w14:textId="77777777" w:rsidR="00D5078E" w:rsidRPr="00CB4FCD" w:rsidRDefault="00D5078E" w:rsidP="00D5078E">
            <w:pPr>
              <w:spacing w:line="240" w:lineRule="auto"/>
              <w:jc w:val="center"/>
            </w:pPr>
            <w:r w:rsidRPr="00CB4FCD">
              <w:t>(0.353)</w:t>
            </w:r>
          </w:p>
        </w:tc>
      </w:tr>
      <w:tr w:rsidR="00D5078E" w:rsidRPr="00CB4FCD" w14:paraId="689C4471" w14:textId="77777777" w:rsidTr="00D5078E">
        <w:trPr>
          <w:trHeight w:val="263"/>
        </w:trPr>
        <w:tc>
          <w:tcPr>
            <w:tcW w:w="3686" w:type="dxa"/>
            <w:tcBorders>
              <w:top w:val="nil"/>
              <w:left w:val="nil"/>
              <w:bottom w:val="nil"/>
              <w:right w:val="nil"/>
            </w:tcBorders>
            <w:shd w:val="clear" w:color="auto" w:fill="auto"/>
            <w:noWrap/>
            <w:vAlign w:val="bottom"/>
            <w:hideMark/>
          </w:tcPr>
          <w:p w14:paraId="533F96F7" w14:textId="77777777" w:rsidR="00D5078E" w:rsidRPr="00CB4FCD" w:rsidRDefault="00D5078E" w:rsidP="00D5078E">
            <w:pPr>
              <w:spacing w:line="240" w:lineRule="auto"/>
            </w:pPr>
            <w:proofErr w:type="gramStart"/>
            <w:r w:rsidRPr="00CB4FCD">
              <w:t>GDP(</w:t>
            </w:r>
            <w:proofErr w:type="gramEnd"/>
            <w:r w:rsidRPr="00CB4FCD">
              <w:t>log)</w:t>
            </w:r>
          </w:p>
        </w:tc>
        <w:tc>
          <w:tcPr>
            <w:tcW w:w="1724" w:type="dxa"/>
            <w:tcBorders>
              <w:top w:val="nil"/>
              <w:left w:val="nil"/>
              <w:bottom w:val="nil"/>
              <w:right w:val="nil"/>
            </w:tcBorders>
            <w:shd w:val="clear" w:color="auto" w:fill="auto"/>
            <w:noWrap/>
            <w:vAlign w:val="bottom"/>
            <w:hideMark/>
          </w:tcPr>
          <w:p w14:paraId="498F7066" w14:textId="77777777" w:rsidR="00D5078E" w:rsidRPr="00CB4FCD" w:rsidRDefault="00D5078E" w:rsidP="00D5078E">
            <w:pPr>
              <w:spacing w:line="240" w:lineRule="auto"/>
              <w:jc w:val="center"/>
            </w:pPr>
            <w:r w:rsidRPr="00CB4FCD">
              <w:t>-1.235</w:t>
            </w:r>
          </w:p>
        </w:tc>
        <w:tc>
          <w:tcPr>
            <w:tcW w:w="1725" w:type="dxa"/>
            <w:tcBorders>
              <w:top w:val="nil"/>
              <w:left w:val="nil"/>
              <w:bottom w:val="nil"/>
              <w:right w:val="nil"/>
            </w:tcBorders>
            <w:shd w:val="clear" w:color="auto" w:fill="auto"/>
            <w:noWrap/>
            <w:vAlign w:val="bottom"/>
            <w:hideMark/>
          </w:tcPr>
          <w:p w14:paraId="1ED7DDC3" w14:textId="77777777" w:rsidR="00D5078E" w:rsidRPr="00CB4FCD" w:rsidRDefault="00D5078E" w:rsidP="00D5078E">
            <w:pPr>
              <w:spacing w:line="240" w:lineRule="auto"/>
              <w:jc w:val="center"/>
            </w:pPr>
            <w:r w:rsidRPr="00CB4FCD">
              <w:t>-0.376</w:t>
            </w:r>
          </w:p>
        </w:tc>
        <w:tc>
          <w:tcPr>
            <w:tcW w:w="1725" w:type="dxa"/>
            <w:tcBorders>
              <w:top w:val="nil"/>
              <w:left w:val="nil"/>
              <w:bottom w:val="nil"/>
              <w:right w:val="nil"/>
            </w:tcBorders>
            <w:shd w:val="clear" w:color="auto" w:fill="auto"/>
            <w:noWrap/>
            <w:vAlign w:val="bottom"/>
            <w:hideMark/>
          </w:tcPr>
          <w:p w14:paraId="5A633A1C" w14:textId="77777777" w:rsidR="00D5078E" w:rsidRPr="00CB4FCD" w:rsidRDefault="00D5078E" w:rsidP="00D5078E">
            <w:pPr>
              <w:spacing w:line="240" w:lineRule="auto"/>
              <w:jc w:val="center"/>
            </w:pPr>
            <w:r w:rsidRPr="00CB4FCD">
              <w:t>-4.085**</w:t>
            </w:r>
          </w:p>
        </w:tc>
        <w:tc>
          <w:tcPr>
            <w:tcW w:w="1724" w:type="dxa"/>
            <w:tcBorders>
              <w:top w:val="nil"/>
              <w:left w:val="nil"/>
              <w:bottom w:val="nil"/>
              <w:right w:val="nil"/>
            </w:tcBorders>
            <w:shd w:val="clear" w:color="auto" w:fill="auto"/>
            <w:noWrap/>
            <w:vAlign w:val="bottom"/>
            <w:hideMark/>
          </w:tcPr>
          <w:p w14:paraId="2BB92DD3" w14:textId="77777777" w:rsidR="00D5078E" w:rsidRPr="00CB4FCD" w:rsidRDefault="00D5078E" w:rsidP="00D5078E">
            <w:pPr>
              <w:spacing w:line="240" w:lineRule="auto"/>
              <w:jc w:val="center"/>
            </w:pPr>
            <w:r w:rsidRPr="00CB4FCD">
              <w:t>-1.074</w:t>
            </w:r>
          </w:p>
        </w:tc>
        <w:tc>
          <w:tcPr>
            <w:tcW w:w="1725" w:type="dxa"/>
            <w:tcBorders>
              <w:top w:val="nil"/>
              <w:left w:val="nil"/>
              <w:bottom w:val="nil"/>
              <w:right w:val="nil"/>
            </w:tcBorders>
            <w:shd w:val="clear" w:color="auto" w:fill="auto"/>
            <w:noWrap/>
            <w:vAlign w:val="bottom"/>
            <w:hideMark/>
          </w:tcPr>
          <w:p w14:paraId="7A1FAF79" w14:textId="77777777" w:rsidR="00D5078E" w:rsidRPr="00CB4FCD" w:rsidRDefault="00D5078E" w:rsidP="00D5078E">
            <w:pPr>
              <w:spacing w:line="240" w:lineRule="auto"/>
              <w:jc w:val="center"/>
            </w:pPr>
            <w:r w:rsidRPr="00CB4FCD">
              <w:t>0.591</w:t>
            </w:r>
          </w:p>
        </w:tc>
        <w:tc>
          <w:tcPr>
            <w:tcW w:w="1725" w:type="dxa"/>
            <w:tcBorders>
              <w:top w:val="nil"/>
              <w:left w:val="nil"/>
              <w:bottom w:val="nil"/>
              <w:right w:val="nil"/>
            </w:tcBorders>
            <w:vAlign w:val="bottom"/>
          </w:tcPr>
          <w:p w14:paraId="2C9B9B29" w14:textId="77777777" w:rsidR="00D5078E" w:rsidRPr="00CB4FCD" w:rsidRDefault="00D5078E" w:rsidP="00D5078E">
            <w:pPr>
              <w:spacing w:line="240" w:lineRule="auto"/>
              <w:jc w:val="center"/>
            </w:pPr>
            <w:r w:rsidRPr="00CB4FCD">
              <w:t>0.439</w:t>
            </w:r>
          </w:p>
        </w:tc>
      </w:tr>
      <w:tr w:rsidR="00D5078E" w:rsidRPr="00CB4FCD" w14:paraId="73DAAC74" w14:textId="77777777" w:rsidTr="00D5078E">
        <w:trPr>
          <w:trHeight w:val="263"/>
        </w:trPr>
        <w:tc>
          <w:tcPr>
            <w:tcW w:w="3686" w:type="dxa"/>
            <w:tcBorders>
              <w:top w:val="nil"/>
              <w:left w:val="nil"/>
              <w:bottom w:val="nil"/>
              <w:right w:val="nil"/>
            </w:tcBorders>
            <w:shd w:val="clear" w:color="auto" w:fill="auto"/>
            <w:noWrap/>
            <w:vAlign w:val="bottom"/>
            <w:hideMark/>
          </w:tcPr>
          <w:p w14:paraId="4DFA8701"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1F1A170B" w14:textId="77777777" w:rsidR="00D5078E" w:rsidRPr="00CB4FCD" w:rsidRDefault="00D5078E" w:rsidP="00D5078E">
            <w:pPr>
              <w:spacing w:line="240" w:lineRule="auto"/>
              <w:jc w:val="center"/>
            </w:pPr>
            <w:r w:rsidRPr="00CB4FCD">
              <w:t>(0.901)</w:t>
            </w:r>
          </w:p>
        </w:tc>
        <w:tc>
          <w:tcPr>
            <w:tcW w:w="1725" w:type="dxa"/>
            <w:tcBorders>
              <w:top w:val="nil"/>
              <w:left w:val="nil"/>
              <w:bottom w:val="nil"/>
              <w:right w:val="nil"/>
            </w:tcBorders>
            <w:shd w:val="clear" w:color="auto" w:fill="auto"/>
            <w:noWrap/>
            <w:vAlign w:val="bottom"/>
            <w:hideMark/>
          </w:tcPr>
          <w:p w14:paraId="46F2C721" w14:textId="77777777" w:rsidR="00D5078E" w:rsidRPr="00CB4FCD" w:rsidRDefault="00D5078E" w:rsidP="00D5078E">
            <w:pPr>
              <w:spacing w:line="240" w:lineRule="auto"/>
              <w:jc w:val="center"/>
            </w:pPr>
            <w:r w:rsidRPr="00CB4FCD">
              <w:t>(0.945)</w:t>
            </w:r>
          </w:p>
        </w:tc>
        <w:tc>
          <w:tcPr>
            <w:tcW w:w="1725" w:type="dxa"/>
            <w:tcBorders>
              <w:top w:val="nil"/>
              <w:left w:val="nil"/>
              <w:bottom w:val="nil"/>
              <w:right w:val="nil"/>
            </w:tcBorders>
            <w:shd w:val="clear" w:color="auto" w:fill="auto"/>
            <w:noWrap/>
            <w:vAlign w:val="bottom"/>
            <w:hideMark/>
          </w:tcPr>
          <w:p w14:paraId="6ACE176D" w14:textId="77777777" w:rsidR="00D5078E" w:rsidRPr="00CB4FCD" w:rsidRDefault="00D5078E" w:rsidP="00D5078E">
            <w:pPr>
              <w:spacing w:line="240" w:lineRule="auto"/>
              <w:jc w:val="center"/>
            </w:pPr>
            <w:r w:rsidRPr="00CB4FCD">
              <w:t>(1.798)</w:t>
            </w:r>
          </w:p>
        </w:tc>
        <w:tc>
          <w:tcPr>
            <w:tcW w:w="1724" w:type="dxa"/>
            <w:tcBorders>
              <w:top w:val="nil"/>
              <w:left w:val="nil"/>
              <w:bottom w:val="nil"/>
              <w:right w:val="nil"/>
            </w:tcBorders>
            <w:shd w:val="clear" w:color="auto" w:fill="auto"/>
            <w:noWrap/>
            <w:vAlign w:val="bottom"/>
            <w:hideMark/>
          </w:tcPr>
          <w:p w14:paraId="7F6593A6" w14:textId="77777777" w:rsidR="00D5078E" w:rsidRPr="00CB4FCD" w:rsidRDefault="00D5078E" w:rsidP="00D5078E">
            <w:pPr>
              <w:spacing w:line="240" w:lineRule="auto"/>
              <w:jc w:val="center"/>
            </w:pPr>
            <w:r w:rsidRPr="00CB4FCD">
              <w:t>(0.995)</w:t>
            </w:r>
          </w:p>
        </w:tc>
        <w:tc>
          <w:tcPr>
            <w:tcW w:w="1725" w:type="dxa"/>
            <w:tcBorders>
              <w:top w:val="nil"/>
              <w:left w:val="nil"/>
              <w:bottom w:val="nil"/>
              <w:right w:val="nil"/>
            </w:tcBorders>
            <w:shd w:val="clear" w:color="auto" w:fill="auto"/>
            <w:noWrap/>
            <w:vAlign w:val="bottom"/>
            <w:hideMark/>
          </w:tcPr>
          <w:p w14:paraId="76DE4C99" w14:textId="77777777" w:rsidR="00D5078E" w:rsidRPr="00CB4FCD" w:rsidRDefault="00D5078E" w:rsidP="00D5078E">
            <w:pPr>
              <w:spacing w:line="240" w:lineRule="auto"/>
              <w:jc w:val="center"/>
            </w:pPr>
            <w:r w:rsidRPr="00CB4FCD">
              <w:t>(0.991)</w:t>
            </w:r>
          </w:p>
        </w:tc>
        <w:tc>
          <w:tcPr>
            <w:tcW w:w="1725" w:type="dxa"/>
            <w:tcBorders>
              <w:top w:val="nil"/>
              <w:left w:val="nil"/>
              <w:bottom w:val="nil"/>
              <w:right w:val="nil"/>
            </w:tcBorders>
            <w:vAlign w:val="bottom"/>
          </w:tcPr>
          <w:p w14:paraId="492D8F2E" w14:textId="77777777" w:rsidR="00D5078E" w:rsidRPr="00CB4FCD" w:rsidRDefault="00D5078E" w:rsidP="00D5078E">
            <w:pPr>
              <w:spacing w:line="240" w:lineRule="auto"/>
              <w:jc w:val="center"/>
            </w:pPr>
            <w:r w:rsidRPr="00CB4FCD">
              <w:t>(2.395)</w:t>
            </w:r>
          </w:p>
        </w:tc>
      </w:tr>
      <w:tr w:rsidR="00D5078E" w:rsidRPr="00CB4FCD" w14:paraId="1AE7BC08" w14:textId="77777777" w:rsidTr="00D5078E">
        <w:trPr>
          <w:trHeight w:val="263"/>
        </w:trPr>
        <w:tc>
          <w:tcPr>
            <w:tcW w:w="3686" w:type="dxa"/>
            <w:tcBorders>
              <w:top w:val="nil"/>
              <w:left w:val="nil"/>
              <w:bottom w:val="nil"/>
              <w:right w:val="nil"/>
            </w:tcBorders>
            <w:shd w:val="clear" w:color="auto" w:fill="auto"/>
            <w:noWrap/>
            <w:vAlign w:val="bottom"/>
            <w:hideMark/>
          </w:tcPr>
          <w:p w14:paraId="2716C8B1" w14:textId="77777777" w:rsidR="00D5078E" w:rsidRPr="00CB4FCD" w:rsidRDefault="00D5078E" w:rsidP="00D5078E">
            <w:pPr>
              <w:spacing w:line="240" w:lineRule="auto"/>
            </w:pPr>
            <w:r w:rsidRPr="00CB4FCD">
              <w:t>GDP per capita (log)</w:t>
            </w:r>
          </w:p>
        </w:tc>
        <w:tc>
          <w:tcPr>
            <w:tcW w:w="1724" w:type="dxa"/>
            <w:tcBorders>
              <w:top w:val="nil"/>
              <w:left w:val="nil"/>
              <w:bottom w:val="nil"/>
              <w:right w:val="nil"/>
            </w:tcBorders>
            <w:shd w:val="clear" w:color="auto" w:fill="auto"/>
            <w:noWrap/>
            <w:vAlign w:val="bottom"/>
            <w:hideMark/>
          </w:tcPr>
          <w:p w14:paraId="301DED2B" w14:textId="77777777" w:rsidR="00D5078E" w:rsidRPr="00CB4FCD" w:rsidRDefault="00D5078E" w:rsidP="00D5078E">
            <w:pPr>
              <w:spacing w:line="240" w:lineRule="auto"/>
              <w:jc w:val="center"/>
            </w:pPr>
            <w:r w:rsidRPr="00CB4FCD">
              <w:t>1.331</w:t>
            </w:r>
          </w:p>
        </w:tc>
        <w:tc>
          <w:tcPr>
            <w:tcW w:w="1725" w:type="dxa"/>
            <w:tcBorders>
              <w:top w:val="nil"/>
              <w:left w:val="nil"/>
              <w:bottom w:val="nil"/>
              <w:right w:val="nil"/>
            </w:tcBorders>
            <w:shd w:val="clear" w:color="auto" w:fill="auto"/>
            <w:noWrap/>
            <w:vAlign w:val="bottom"/>
            <w:hideMark/>
          </w:tcPr>
          <w:p w14:paraId="07204D50" w14:textId="77777777" w:rsidR="00D5078E" w:rsidRPr="00CB4FCD" w:rsidRDefault="00D5078E" w:rsidP="00D5078E">
            <w:pPr>
              <w:spacing w:line="240" w:lineRule="auto"/>
              <w:jc w:val="center"/>
            </w:pPr>
            <w:r w:rsidRPr="00CB4FCD">
              <w:t>0.320</w:t>
            </w:r>
          </w:p>
        </w:tc>
        <w:tc>
          <w:tcPr>
            <w:tcW w:w="1725" w:type="dxa"/>
            <w:tcBorders>
              <w:top w:val="nil"/>
              <w:left w:val="nil"/>
              <w:bottom w:val="nil"/>
              <w:right w:val="nil"/>
            </w:tcBorders>
            <w:shd w:val="clear" w:color="auto" w:fill="auto"/>
            <w:noWrap/>
            <w:vAlign w:val="bottom"/>
            <w:hideMark/>
          </w:tcPr>
          <w:p w14:paraId="7D429C7F" w14:textId="77777777" w:rsidR="00D5078E" w:rsidRPr="00CB4FCD" w:rsidRDefault="00D5078E" w:rsidP="00D5078E">
            <w:pPr>
              <w:spacing w:line="240" w:lineRule="auto"/>
              <w:jc w:val="center"/>
            </w:pPr>
            <w:r w:rsidRPr="00CB4FCD">
              <w:t>3.941**</w:t>
            </w:r>
          </w:p>
        </w:tc>
        <w:tc>
          <w:tcPr>
            <w:tcW w:w="1724" w:type="dxa"/>
            <w:tcBorders>
              <w:top w:val="nil"/>
              <w:left w:val="nil"/>
              <w:bottom w:val="nil"/>
              <w:right w:val="nil"/>
            </w:tcBorders>
            <w:shd w:val="clear" w:color="auto" w:fill="auto"/>
            <w:noWrap/>
            <w:vAlign w:val="bottom"/>
            <w:hideMark/>
          </w:tcPr>
          <w:p w14:paraId="7F7ABB4E" w14:textId="77777777" w:rsidR="00D5078E" w:rsidRPr="00CB4FCD" w:rsidRDefault="00D5078E" w:rsidP="00D5078E">
            <w:pPr>
              <w:spacing w:line="240" w:lineRule="auto"/>
              <w:jc w:val="center"/>
            </w:pPr>
            <w:r w:rsidRPr="00CB4FCD">
              <w:t>1.078</w:t>
            </w:r>
          </w:p>
        </w:tc>
        <w:tc>
          <w:tcPr>
            <w:tcW w:w="1725" w:type="dxa"/>
            <w:tcBorders>
              <w:top w:val="nil"/>
              <w:left w:val="nil"/>
              <w:bottom w:val="nil"/>
              <w:right w:val="nil"/>
            </w:tcBorders>
            <w:shd w:val="clear" w:color="auto" w:fill="auto"/>
            <w:noWrap/>
            <w:vAlign w:val="bottom"/>
            <w:hideMark/>
          </w:tcPr>
          <w:p w14:paraId="22709341" w14:textId="77777777" w:rsidR="00D5078E" w:rsidRPr="00CB4FCD" w:rsidRDefault="00D5078E" w:rsidP="00D5078E">
            <w:pPr>
              <w:spacing w:line="240" w:lineRule="auto"/>
              <w:jc w:val="center"/>
            </w:pPr>
            <w:r w:rsidRPr="00CB4FCD">
              <w:t>-0.615</w:t>
            </w:r>
          </w:p>
        </w:tc>
        <w:tc>
          <w:tcPr>
            <w:tcW w:w="1725" w:type="dxa"/>
            <w:tcBorders>
              <w:top w:val="nil"/>
              <w:left w:val="nil"/>
              <w:bottom w:val="nil"/>
              <w:right w:val="nil"/>
            </w:tcBorders>
            <w:vAlign w:val="bottom"/>
          </w:tcPr>
          <w:p w14:paraId="53CDD817" w14:textId="77777777" w:rsidR="00D5078E" w:rsidRPr="00CB4FCD" w:rsidRDefault="00D5078E" w:rsidP="00D5078E">
            <w:pPr>
              <w:spacing w:line="240" w:lineRule="auto"/>
              <w:jc w:val="center"/>
            </w:pPr>
            <w:r w:rsidRPr="00CB4FCD">
              <w:t>-0.304</w:t>
            </w:r>
          </w:p>
        </w:tc>
      </w:tr>
      <w:tr w:rsidR="00D5078E" w:rsidRPr="00CB4FCD" w14:paraId="51CC5746" w14:textId="77777777" w:rsidTr="00D5078E">
        <w:trPr>
          <w:trHeight w:val="263"/>
        </w:trPr>
        <w:tc>
          <w:tcPr>
            <w:tcW w:w="3686" w:type="dxa"/>
            <w:tcBorders>
              <w:top w:val="nil"/>
              <w:left w:val="nil"/>
              <w:bottom w:val="nil"/>
              <w:right w:val="nil"/>
            </w:tcBorders>
            <w:shd w:val="clear" w:color="auto" w:fill="auto"/>
            <w:noWrap/>
            <w:vAlign w:val="bottom"/>
            <w:hideMark/>
          </w:tcPr>
          <w:p w14:paraId="472531EF"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78F96C0C" w14:textId="77777777" w:rsidR="00D5078E" w:rsidRPr="00CB4FCD" w:rsidRDefault="00D5078E" w:rsidP="00D5078E">
            <w:pPr>
              <w:spacing w:line="240" w:lineRule="auto"/>
              <w:jc w:val="center"/>
            </w:pPr>
            <w:r w:rsidRPr="00CB4FCD">
              <w:t>(0.937)</w:t>
            </w:r>
          </w:p>
        </w:tc>
        <w:tc>
          <w:tcPr>
            <w:tcW w:w="1725" w:type="dxa"/>
            <w:tcBorders>
              <w:top w:val="nil"/>
              <w:left w:val="nil"/>
              <w:bottom w:val="nil"/>
              <w:right w:val="nil"/>
            </w:tcBorders>
            <w:shd w:val="clear" w:color="auto" w:fill="auto"/>
            <w:noWrap/>
            <w:vAlign w:val="bottom"/>
            <w:hideMark/>
          </w:tcPr>
          <w:p w14:paraId="13B2FA7A" w14:textId="77777777" w:rsidR="00D5078E" w:rsidRPr="00CB4FCD" w:rsidRDefault="00D5078E" w:rsidP="00D5078E">
            <w:pPr>
              <w:spacing w:line="240" w:lineRule="auto"/>
              <w:jc w:val="center"/>
            </w:pPr>
            <w:r w:rsidRPr="00CB4FCD">
              <w:t>(0.964)</w:t>
            </w:r>
          </w:p>
        </w:tc>
        <w:tc>
          <w:tcPr>
            <w:tcW w:w="1725" w:type="dxa"/>
            <w:tcBorders>
              <w:top w:val="nil"/>
              <w:left w:val="nil"/>
              <w:bottom w:val="nil"/>
              <w:right w:val="nil"/>
            </w:tcBorders>
            <w:shd w:val="clear" w:color="auto" w:fill="auto"/>
            <w:noWrap/>
            <w:vAlign w:val="bottom"/>
            <w:hideMark/>
          </w:tcPr>
          <w:p w14:paraId="543FE65F" w14:textId="77777777" w:rsidR="00D5078E" w:rsidRPr="00CB4FCD" w:rsidRDefault="00D5078E" w:rsidP="00D5078E">
            <w:pPr>
              <w:spacing w:line="240" w:lineRule="auto"/>
              <w:jc w:val="center"/>
            </w:pPr>
            <w:r w:rsidRPr="00CB4FCD">
              <w:t>(1.828)</w:t>
            </w:r>
          </w:p>
        </w:tc>
        <w:tc>
          <w:tcPr>
            <w:tcW w:w="1724" w:type="dxa"/>
            <w:tcBorders>
              <w:top w:val="nil"/>
              <w:left w:val="nil"/>
              <w:bottom w:val="nil"/>
              <w:right w:val="nil"/>
            </w:tcBorders>
            <w:shd w:val="clear" w:color="auto" w:fill="auto"/>
            <w:noWrap/>
            <w:vAlign w:val="bottom"/>
            <w:hideMark/>
          </w:tcPr>
          <w:p w14:paraId="3275B25D" w14:textId="77777777" w:rsidR="00D5078E" w:rsidRPr="00CB4FCD" w:rsidRDefault="00D5078E" w:rsidP="00D5078E">
            <w:pPr>
              <w:spacing w:line="240" w:lineRule="auto"/>
              <w:jc w:val="center"/>
            </w:pPr>
            <w:r w:rsidRPr="00CB4FCD">
              <w:t>(1.018)</w:t>
            </w:r>
          </w:p>
        </w:tc>
        <w:tc>
          <w:tcPr>
            <w:tcW w:w="1725" w:type="dxa"/>
            <w:tcBorders>
              <w:top w:val="nil"/>
              <w:left w:val="nil"/>
              <w:bottom w:val="nil"/>
              <w:right w:val="nil"/>
            </w:tcBorders>
            <w:shd w:val="clear" w:color="auto" w:fill="auto"/>
            <w:noWrap/>
            <w:vAlign w:val="bottom"/>
            <w:hideMark/>
          </w:tcPr>
          <w:p w14:paraId="68486A2E" w14:textId="77777777" w:rsidR="00D5078E" w:rsidRPr="00CB4FCD" w:rsidRDefault="00D5078E" w:rsidP="00D5078E">
            <w:pPr>
              <w:spacing w:line="240" w:lineRule="auto"/>
              <w:jc w:val="center"/>
            </w:pPr>
            <w:r w:rsidRPr="00CB4FCD">
              <w:t>(0.996)</w:t>
            </w:r>
          </w:p>
        </w:tc>
        <w:tc>
          <w:tcPr>
            <w:tcW w:w="1725" w:type="dxa"/>
            <w:tcBorders>
              <w:top w:val="nil"/>
              <w:left w:val="nil"/>
              <w:bottom w:val="nil"/>
              <w:right w:val="nil"/>
            </w:tcBorders>
            <w:vAlign w:val="bottom"/>
          </w:tcPr>
          <w:p w14:paraId="3D1E6318" w14:textId="77777777" w:rsidR="00D5078E" w:rsidRPr="00CB4FCD" w:rsidRDefault="00D5078E" w:rsidP="00D5078E">
            <w:pPr>
              <w:spacing w:line="240" w:lineRule="auto"/>
              <w:jc w:val="center"/>
            </w:pPr>
            <w:r w:rsidRPr="00CB4FCD">
              <w:t>(2.384)</w:t>
            </w:r>
          </w:p>
        </w:tc>
      </w:tr>
      <w:tr w:rsidR="00D5078E" w:rsidRPr="00CB4FCD" w14:paraId="23D5C8B1" w14:textId="77777777" w:rsidTr="00D5078E">
        <w:trPr>
          <w:trHeight w:val="263"/>
        </w:trPr>
        <w:tc>
          <w:tcPr>
            <w:tcW w:w="3686" w:type="dxa"/>
            <w:tcBorders>
              <w:top w:val="nil"/>
              <w:left w:val="nil"/>
              <w:bottom w:val="nil"/>
              <w:right w:val="nil"/>
            </w:tcBorders>
            <w:shd w:val="clear" w:color="auto" w:fill="auto"/>
            <w:noWrap/>
            <w:vAlign w:val="bottom"/>
            <w:hideMark/>
          </w:tcPr>
          <w:p w14:paraId="273D042E" w14:textId="77777777" w:rsidR="00D5078E" w:rsidRPr="00CB4FCD" w:rsidRDefault="00D5078E" w:rsidP="00D5078E">
            <w:pPr>
              <w:spacing w:line="240" w:lineRule="auto"/>
            </w:pPr>
            <w:r w:rsidRPr="00CB4FCD">
              <w:t>Exports</w:t>
            </w:r>
            <w:r w:rsidRPr="00CB4FCD">
              <w:rPr>
                <w:b/>
                <w:vertAlign w:val="subscript"/>
              </w:rPr>
              <w:t>t-1</w:t>
            </w:r>
          </w:p>
        </w:tc>
        <w:tc>
          <w:tcPr>
            <w:tcW w:w="1724" w:type="dxa"/>
            <w:tcBorders>
              <w:top w:val="nil"/>
              <w:left w:val="nil"/>
              <w:bottom w:val="nil"/>
              <w:right w:val="nil"/>
            </w:tcBorders>
            <w:shd w:val="clear" w:color="auto" w:fill="auto"/>
            <w:noWrap/>
            <w:vAlign w:val="bottom"/>
            <w:hideMark/>
          </w:tcPr>
          <w:p w14:paraId="6AD613D4" w14:textId="77777777" w:rsidR="00D5078E" w:rsidRPr="00CB4FCD" w:rsidRDefault="00D5078E" w:rsidP="00D5078E">
            <w:pPr>
              <w:spacing w:line="240" w:lineRule="auto"/>
              <w:jc w:val="center"/>
            </w:pPr>
            <w:r w:rsidRPr="00CB4FCD">
              <w:t>-0.00724*</w:t>
            </w:r>
          </w:p>
        </w:tc>
        <w:tc>
          <w:tcPr>
            <w:tcW w:w="1725" w:type="dxa"/>
            <w:tcBorders>
              <w:top w:val="nil"/>
              <w:left w:val="nil"/>
              <w:bottom w:val="nil"/>
              <w:right w:val="nil"/>
            </w:tcBorders>
            <w:shd w:val="clear" w:color="auto" w:fill="auto"/>
            <w:noWrap/>
            <w:vAlign w:val="bottom"/>
            <w:hideMark/>
          </w:tcPr>
          <w:p w14:paraId="31C391EB" w14:textId="77777777" w:rsidR="00D5078E" w:rsidRPr="00CB4FCD" w:rsidRDefault="00D5078E" w:rsidP="00D5078E">
            <w:pPr>
              <w:spacing w:line="240" w:lineRule="auto"/>
              <w:jc w:val="center"/>
            </w:pPr>
            <w:r w:rsidRPr="00CB4FCD">
              <w:t>-0.00241</w:t>
            </w:r>
          </w:p>
        </w:tc>
        <w:tc>
          <w:tcPr>
            <w:tcW w:w="1725" w:type="dxa"/>
            <w:tcBorders>
              <w:top w:val="nil"/>
              <w:left w:val="nil"/>
              <w:bottom w:val="nil"/>
              <w:right w:val="nil"/>
            </w:tcBorders>
            <w:shd w:val="clear" w:color="auto" w:fill="auto"/>
            <w:noWrap/>
            <w:vAlign w:val="bottom"/>
            <w:hideMark/>
          </w:tcPr>
          <w:p w14:paraId="36C1BF69" w14:textId="77777777" w:rsidR="00D5078E" w:rsidRPr="00CB4FCD" w:rsidRDefault="00D5078E" w:rsidP="00D5078E">
            <w:pPr>
              <w:spacing w:line="240" w:lineRule="auto"/>
              <w:jc w:val="center"/>
            </w:pPr>
            <w:r w:rsidRPr="00CB4FCD">
              <w:t>0.00209</w:t>
            </w:r>
          </w:p>
        </w:tc>
        <w:tc>
          <w:tcPr>
            <w:tcW w:w="1724" w:type="dxa"/>
            <w:tcBorders>
              <w:top w:val="nil"/>
              <w:left w:val="nil"/>
              <w:bottom w:val="nil"/>
              <w:right w:val="nil"/>
            </w:tcBorders>
            <w:shd w:val="clear" w:color="auto" w:fill="auto"/>
            <w:noWrap/>
            <w:vAlign w:val="bottom"/>
            <w:hideMark/>
          </w:tcPr>
          <w:p w14:paraId="41D8ED38" w14:textId="77777777" w:rsidR="00D5078E" w:rsidRPr="00CB4FCD" w:rsidRDefault="00D5078E" w:rsidP="00D5078E">
            <w:pPr>
              <w:spacing w:line="240" w:lineRule="auto"/>
              <w:jc w:val="center"/>
            </w:pPr>
            <w:r w:rsidRPr="00CB4FCD">
              <w:t>-0.00274</w:t>
            </w:r>
          </w:p>
        </w:tc>
        <w:tc>
          <w:tcPr>
            <w:tcW w:w="1725" w:type="dxa"/>
            <w:tcBorders>
              <w:top w:val="nil"/>
              <w:left w:val="nil"/>
              <w:bottom w:val="nil"/>
              <w:right w:val="nil"/>
            </w:tcBorders>
            <w:shd w:val="clear" w:color="auto" w:fill="auto"/>
            <w:noWrap/>
            <w:vAlign w:val="bottom"/>
            <w:hideMark/>
          </w:tcPr>
          <w:p w14:paraId="3A116186" w14:textId="77777777" w:rsidR="00D5078E" w:rsidRPr="00CB4FCD" w:rsidRDefault="00D5078E" w:rsidP="00D5078E">
            <w:pPr>
              <w:spacing w:line="240" w:lineRule="auto"/>
              <w:jc w:val="center"/>
            </w:pPr>
            <w:r w:rsidRPr="00CB4FCD">
              <w:t>0.000608</w:t>
            </w:r>
          </w:p>
        </w:tc>
        <w:tc>
          <w:tcPr>
            <w:tcW w:w="1725" w:type="dxa"/>
            <w:tcBorders>
              <w:top w:val="nil"/>
              <w:left w:val="nil"/>
              <w:bottom w:val="nil"/>
              <w:right w:val="nil"/>
            </w:tcBorders>
            <w:vAlign w:val="bottom"/>
          </w:tcPr>
          <w:p w14:paraId="47D725E6" w14:textId="77777777" w:rsidR="00D5078E" w:rsidRPr="00CB4FCD" w:rsidRDefault="00D5078E" w:rsidP="00D5078E">
            <w:pPr>
              <w:spacing w:line="240" w:lineRule="auto"/>
              <w:jc w:val="center"/>
            </w:pPr>
            <w:r w:rsidRPr="00CB4FCD">
              <w:t>0.00285</w:t>
            </w:r>
          </w:p>
        </w:tc>
      </w:tr>
      <w:tr w:rsidR="00D5078E" w:rsidRPr="00CB4FCD" w14:paraId="2217A4F7" w14:textId="77777777" w:rsidTr="00D5078E">
        <w:trPr>
          <w:trHeight w:val="263"/>
        </w:trPr>
        <w:tc>
          <w:tcPr>
            <w:tcW w:w="3686" w:type="dxa"/>
            <w:tcBorders>
              <w:top w:val="nil"/>
              <w:left w:val="nil"/>
              <w:bottom w:val="nil"/>
              <w:right w:val="nil"/>
            </w:tcBorders>
            <w:shd w:val="clear" w:color="auto" w:fill="auto"/>
            <w:noWrap/>
            <w:vAlign w:val="bottom"/>
            <w:hideMark/>
          </w:tcPr>
          <w:p w14:paraId="5B80E380"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7AA47DFD" w14:textId="77777777" w:rsidR="00D5078E" w:rsidRPr="00CB4FCD" w:rsidRDefault="00D5078E" w:rsidP="00D5078E">
            <w:pPr>
              <w:spacing w:line="240" w:lineRule="auto"/>
              <w:jc w:val="center"/>
            </w:pPr>
            <w:r w:rsidRPr="00CB4FCD">
              <w:t>(0.00426)</w:t>
            </w:r>
          </w:p>
        </w:tc>
        <w:tc>
          <w:tcPr>
            <w:tcW w:w="1725" w:type="dxa"/>
            <w:tcBorders>
              <w:top w:val="nil"/>
              <w:left w:val="nil"/>
              <w:bottom w:val="nil"/>
              <w:right w:val="nil"/>
            </w:tcBorders>
            <w:shd w:val="clear" w:color="auto" w:fill="auto"/>
            <w:noWrap/>
            <w:vAlign w:val="bottom"/>
            <w:hideMark/>
          </w:tcPr>
          <w:p w14:paraId="1382409C" w14:textId="77777777" w:rsidR="00D5078E" w:rsidRPr="00CB4FCD" w:rsidRDefault="00D5078E" w:rsidP="00D5078E">
            <w:pPr>
              <w:spacing w:line="240" w:lineRule="auto"/>
              <w:jc w:val="center"/>
            </w:pPr>
            <w:r w:rsidRPr="00CB4FCD">
              <w:t>(0.00363)</w:t>
            </w:r>
          </w:p>
        </w:tc>
        <w:tc>
          <w:tcPr>
            <w:tcW w:w="1725" w:type="dxa"/>
            <w:tcBorders>
              <w:top w:val="nil"/>
              <w:left w:val="nil"/>
              <w:bottom w:val="nil"/>
              <w:right w:val="nil"/>
            </w:tcBorders>
            <w:shd w:val="clear" w:color="auto" w:fill="auto"/>
            <w:noWrap/>
            <w:vAlign w:val="bottom"/>
            <w:hideMark/>
          </w:tcPr>
          <w:p w14:paraId="06F55127" w14:textId="77777777" w:rsidR="00D5078E" w:rsidRPr="00CB4FCD" w:rsidRDefault="00D5078E" w:rsidP="00D5078E">
            <w:pPr>
              <w:spacing w:line="240" w:lineRule="auto"/>
              <w:jc w:val="center"/>
            </w:pPr>
            <w:r w:rsidRPr="00CB4FCD">
              <w:t>(0.00595)</w:t>
            </w:r>
          </w:p>
        </w:tc>
        <w:tc>
          <w:tcPr>
            <w:tcW w:w="1724" w:type="dxa"/>
            <w:tcBorders>
              <w:top w:val="nil"/>
              <w:left w:val="nil"/>
              <w:bottom w:val="nil"/>
              <w:right w:val="nil"/>
            </w:tcBorders>
            <w:shd w:val="clear" w:color="auto" w:fill="auto"/>
            <w:noWrap/>
            <w:vAlign w:val="bottom"/>
            <w:hideMark/>
          </w:tcPr>
          <w:p w14:paraId="0C370CA7" w14:textId="77777777" w:rsidR="00D5078E" w:rsidRPr="00CB4FCD" w:rsidRDefault="00D5078E" w:rsidP="00D5078E">
            <w:pPr>
              <w:spacing w:line="240" w:lineRule="auto"/>
              <w:jc w:val="center"/>
            </w:pPr>
            <w:r w:rsidRPr="00CB4FCD">
              <w:t>(0.00344)</w:t>
            </w:r>
          </w:p>
        </w:tc>
        <w:tc>
          <w:tcPr>
            <w:tcW w:w="1725" w:type="dxa"/>
            <w:tcBorders>
              <w:top w:val="nil"/>
              <w:left w:val="nil"/>
              <w:bottom w:val="nil"/>
              <w:right w:val="nil"/>
            </w:tcBorders>
            <w:shd w:val="clear" w:color="auto" w:fill="auto"/>
            <w:noWrap/>
            <w:vAlign w:val="bottom"/>
            <w:hideMark/>
          </w:tcPr>
          <w:p w14:paraId="36ED2116" w14:textId="77777777" w:rsidR="00D5078E" w:rsidRPr="00CB4FCD" w:rsidRDefault="00D5078E" w:rsidP="00D5078E">
            <w:pPr>
              <w:spacing w:line="240" w:lineRule="auto"/>
              <w:jc w:val="center"/>
            </w:pPr>
            <w:r w:rsidRPr="00CB4FCD">
              <w:t>(0.00198)</w:t>
            </w:r>
          </w:p>
        </w:tc>
        <w:tc>
          <w:tcPr>
            <w:tcW w:w="1725" w:type="dxa"/>
            <w:tcBorders>
              <w:top w:val="nil"/>
              <w:left w:val="nil"/>
              <w:bottom w:val="nil"/>
              <w:right w:val="nil"/>
            </w:tcBorders>
            <w:vAlign w:val="bottom"/>
          </w:tcPr>
          <w:p w14:paraId="421B083B" w14:textId="77777777" w:rsidR="00D5078E" w:rsidRPr="00CB4FCD" w:rsidRDefault="00D5078E" w:rsidP="00D5078E">
            <w:pPr>
              <w:spacing w:line="240" w:lineRule="auto"/>
              <w:jc w:val="center"/>
            </w:pPr>
            <w:r w:rsidRPr="00CB4FCD">
              <w:t>(0.00452)</w:t>
            </w:r>
          </w:p>
        </w:tc>
      </w:tr>
      <w:tr w:rsidR="00D5078E" w:rsidRPr="00CB4FCD" w14:paraId="5CC8C8C1" w14:textId="77777777" w:rsidTr="00D5078E">
        <w:trPr>
          <w:trHeight w:val="263"/>
        </w:trPr>
        <w:tc>
          <w:tcPr>
            <w:tcW w:w="3686" w:type="dxa"/>
            <w:tcBorders>
              <w:top w:val="nil"/>
              <w:left w:val="nil"/>
              <w:bottom w:val="nil"/>
              <w:right w:val="nil"/>
            </w:tcBorders>
            <w:shd w:val="clear" w:color="auto" w:fill="auto"/>
            <w:noWrap/>
            <w:vAlign w:val="bottom"/>
            <w:hideMark/>
          </w:tcPr>
          <w:p w14:paraId="00204FEE" w14:textId="77777777" w:rsidR="00D5078E" w:rsidRPr="00CB4FCD" w:rsidRDefault="00D5078E" w:rsidP="00D5078E">
            <w:pPr>
              <w:spacing w:line="240" w:lineRule="auto"/>
            </w:pPr>
            <w:r w:rsidRPr="00CB4FCD">
              <w:t>Reserves mo. of imports</w:t>
            </w:r>
          </w:p>
        </w:tc>
        <w:tc>
          <w:tcPr>
            <w:tcW w:w="1724" w:type="dxa"/>
            <w:tcBorders>
              <w:top w:val="nil"/>
              <w:left w:val="nil"/>
              <w:bottom w:val="nil"/>
              <w:right w:val="nil"/>
            </w:tcBorders>
            <w:shd w:val="clear" w:color="auto" w:fill="auto"/>
            <w:noWrap/>
            <w:vAlign w:val="bottom"/>
            <w:hideMark/>
          </w:tcPr>
          <w:p w14:paraId="72A719C7" w14:textId="77777777" w:rsidR="00D5078E" w:rsidRPr="00CB4FCD" w:rsidRDefault="00D5078E" w:rsidP="00D5078E">
            <w:pPr>
              <w:spacing w:line="240" w:lineRule="auto"/>
              <w:jc w:val="center"/>
            </w:pPr>
            <w:r w:rsidRPr="00CB4FCD">
              <w:t>-0.00333</w:t>
            </w:r>
          </w:p>
        </w:tc>
        <w:tc>
          <w:tcPr>
            <w:tcW w:w="1725" w:type="dxa"/>
            <w:tcBorders>
              <w:top w:val="nil"/>
              <w:left w:val="nil"/>
              <w:bottom w:val="nil"/>
              <w:right w:val="nil"/>
            </w:tcBorders>
            <w:shd w:val="clear" w:color="auto" w:fill="auto"/>
            <w:noWrap/>
            <w:vAlign w:val="bottom"/>
            <w:hideMark/>
          </w:tcPr>
          <w:p w14:paraId="0F94C99B" w14:textId="77777777" w:rsidR="00D5078E" w:rsidRPr="00CB4FCD" w:rsidRDefault="00D5078E" w:rsidP="00D5078E">
            <w:pPr>
              <w:spacing w:line="240" w:lineRule="auto"/>
              <w:jc w:val="center"/>
            </w:pPr>
            <w:r w:rsidRPr="00CB4FCD">
              <w:t>-0.0111</w:t>
            </w:r>
          </w:p>
        </w:tc>
        <w:tc>
          <w:tcPr>
            <w:tcW w:w="1725" w:type="dxa"/>
            <w:tcBorders>
              <w:top w:val="nil"/>
              <w:left w:val="nil"/>
              <w:bottom w:val="nil"/>
              <w:right w:val="nil"/>
            </w:tcBorders>
            <w:shd w:val="clear" w:color="auto" w:fill="auto"/>
            <w:noWrap/>
            <w:vAlign w:val="bottom"/>
            <w:hideMark/>
          </w:tcPr>
          <w:p w14:paraId="5A06E6CB" w14:textId="77777777" w:rsidR="00D5078E" w:rsidRPr="00CB4FCD" w:rsidRDefault="00D5078E" w:rsidP="00D5078E">
            <w:pPr>
              <w:spacing w:line="240" w:lineRule="auto"/>
              <w:jc w:val="center"/>
            </w:pPr>
            <w:r w:rsidRPr="00CB4FCD">
              <w:t>-0.00980</w:t>
            </w:r>
          </w:p>
        </w:tc>
        <w:tc>
          <w:tcPr>
            <w:tcW w:w="1724" w:type="dxa"/>
            <w:tcBorders>
              <w:top w:val="nil"/>
              <w:left w:val="nil"/>
              <w:bottom w:val="nil"/>
              <w:right w:val="nil"/>
            </w:tcBorders>
            <w:shd w:val="clear" w:color="auto" w:fill="auto"/>
            <w:noWrap/>
            <w:vAlign w:val="bottom"/>
            <w:hideMark/>
          </w:tcPr>
          <w:p w14:paraId="55D0EF62" w14:textId="77777777" w:rsidR="00D5078E" w:rsidRPr="00CB4FCD" w:rsidRDefault="00D5078E" w:rsidP="00D5078E">
            <w:pPr>
              <w:spacing w:line="240" w:lineRule="auto"/>
              <w:jc w:val="center"/>
            </w:pPr>
            <w:r w:rsidRPr="00CB4FCD">
              <w:t>-0.0181</w:t>
            </w:r>
          </w:p>
        </w:tc>
        <w:tc>
          <w:tcPr>
            <w:tcW w:w="1725" w:type="dxa"/>
            <w:tcBorders>
              <w:top w:val="nil"/>
              <w:left w:val="nil"/>
              <w:bottom w:val="nil"/>
              <w:right w:val="nil"/>
            </w:tcBorders>
            <w:shd w:val="clear" w:color="auto" w:fill="auto"/>
            <w:noWrap/>
            <w:vAlign w:val="bottom"/>
            <w:hideMark/>
          </w:tcPr>
          <w:p w14:paraId="4B7C632F" w14:textId="77777777" w:rsidR="00D5078E" w:rsidRPr="00CB4FCD" w:rsidRDefault="00D5078E" w:rsidP="00D5078E">
            <w:pPr>
              <w:spacing w:line="240" w:lineRule="auto"/>
              <w:jc w:val="center"/>
            </w:pPr>
            <w:r w:rsidRPr="00CB4FCD">
              <w:t>-0.00138</w:t>
            </w:r>
          </w:p>
        </w:tc>
        <w:tc>
          <w:tcPr>
            <w:tcW w:w="1725" w:type="dxa"/>
            <w:tcBorders>
              <w:top w:val="nil"/>
              <w:left w:val="nil"/>
              <w:bottom w:val="nil"/>
              <w:right w:val="nil"/>
            </w:tcBorders>
            <w:vAlign w:val="bottom"/>
          </w:tcPr>
          <w:p w14:paraId="7DF5E114" w14:textId="77777777" w:rsidR="00D5078E" w:rsidRPr="00CB4FCD" w:rsidRDefault="00D5078E" w:rsidP="00D5078E">
            <w:pPr>
              <w:spacing w:line="240" w:lineRule="auto"/>
              <w:jc w:val="center"/>
            </w:pPr>
            <w:r w:rsidRPr="00CB4FCD">
              <w:t>-0.0224</w:t>
            </w:r>
          </w:p>
        </w:tc>
      </w:tr>
      <w:tr w:rsidR="00D5078E" w:rsidRPr="00CB4FCD" w14:paraId="13CD0120" w14:textId="77777777" w:rsidTr="00D5078E">
        <w:trPr>
          <w:trHeight w:val="263"/>
        </w:trPr>
        <w:tc>
          <w:tcPr>
            <w:tcW w:w="3686" w:type="dxa"/>
            <w:tcBorders>
              <w:top w:val="nil"/>
              <w:left w:val="nil"/>
              <w:bottom w:val="nil"/>
              <w:right w:val="nil"/>
            </w:tcBorders>
            <w:shd w:val="clear" w:color="auto" w:fill="auto"/>
            <w:noWrap/>
            <w:vAlign w:val="bottom"/>
            <w:hideMark/>
          </w:tcPr>
          <w:p w14:paraId="1DCA8422"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7D3BD507" w14:textId="77777777" w:rsidR="00D5078E" w:rsidRPr="00CB4FCD" w:rsidRDefault="00D5078E" w:rsidP="00D5078E">
            <w:pPr>
              <w:spacing w:line="240" w:lineRule="auto"/>
              <w:jc w:val="center"/>
            </w:pPr>
            <w:r w:rsidRPr="00CB4FCD">
              <w:t>(0.0290)</w:t>
            </w:r>
          </w:p>
        </w:tc>
        <w:tc>
          <w:tcPr>
            <w:tcW w:w="1725" w:type="dxa"/>
            <w:tcBorders>
              <w:top w:val="nil"/>
              <w:left w:val="nil"/>
              <w:bottom w:val="nil"/>
              <w:right w:val="nil"/>
            </w:tcBorders>
            <w:shd w:val="clear" w:color="auto" w:fill="auto"/>
            <w:noWrap/>
            <w:vAlign w:val="bottom"/>
            <w:hideMark/>
          </w:tcPr>
          <w:p w14:paraId="7B687516" w14:textId="77777777" w:rsidR="00D5078E" w:rsidRPr="00CB4FCD" w:rsidRDefault="00D5078E" w:rsidP="00D5078E">
            <w:pPr>
              <w:spacing w:line="240" w:lineRule="auto"/>
              <w:jc w:val="center"/>
            </w:pPr>
            <w:r w:rsidRPr="00CB4FCD">
              <w:t>(0.0286)</w:t>
            </w:r>
          </w:p>
        </w:tc>
        <w:tc>
          <w:tcPr>
            <w:tcW w:w="1725" w:type="dxa"/>
            <w:tcBorders>
              <w:top w:val="nil"/>
              <w:left w:val="nil"/>
              <w:bottom w:val="nil"/>
              <w:right w:val="nil"/>
            </w:tcBorders>
            <w:shd w:val="clear" w:color="auto" w:fill="auto"/>
            <w:noWrap/>
            <w:vAlign w:val="bottom"/>
            <w:hideMark/>
          </w:tcPr>
          <w:p w14:paraId="7160BD75" w14:textId="77777777" w:rsidR="00D5078E" w:rsidRPr="00CB4FCD" w:rsidRDefault="00D5078E" w:rsidP="00D5078E">
            <w:pPr>
              <w:spacing w:line="240" w:lineRule="auto"/>
              <w:jc w:val="center"/>
            </w:pPr>
            <w:r w:rsidRPr="00CB4FCD">
              <w:t>(0.0310)</w:t>
            </w:r>
          </w:p>
        </w:tc>
        <w:tc>
          <w:tcPr>
            <w:tcW w:w="1724" w:type="dxa"/>
            <w:tcBorders>
              <w:top w:val="nil"/>
              <w:left w:val="nil"/>
              <w:bottom w:val="nil"/>
              <w:right w:val="nil"/>
            </w:tcBorders>
            <w:shd w:val="clear" w:color="auto" w:fill="auto"/>
            <w:noWrap/>
            <w:vAlign w:val="bottom"/>
            <w:hideMark/>
          </w:tcPr>
          <w:p w14:paraId="27512412" w14:textId="77777777" w:rsidR="00D5078E" w:rsidRPr="00CB4FCD" w:rsidRDefault="00D5078E" w:rsidP="00D5078E">
            <w:pPr>
              <w:spacing w:line="240" w:lineRule="auto"/>
              <w:jc w:val="center"/>
            </w:pPr>
            <w:r w:rsidRPr="00CB4FCD">
              <w:t>(0.0253)</w:t>
            </w:r>
          </w:p>
        </w:tc>
        <w:tc>
          <w:tcPr>
            <w:tcW w:w="1725" w:type="dxa"/>
            <w:tcBorders>
              <w:top w:val="nil"/>
              <w:left w:val="nil"/>
              <w:bottom w:val="nil"/>
              <w:right w:val="nil"/>
            </w:tcBorders>
            <w:shd w:val="clear" w:color="auto" w:fill="auto"/>
            <w:noWrap/>
            <w:vAlign w:val="bottom"/>
            <w:hideMark/>
          </w:tcPr>
          <w:p w14:paraId="6EE19609" w14:textId="77777777" w:rsidR="00D5078E" w:rsidRPr="00CB4FCD" w:rsidRDefault="00D5078E" w:rsidP="00D5078E">
            <w:pPr>
              <w:spacing w:line="240" w:lineRule="auto"/>
              <w:jc w:val="center"/>
            </w:pPr>
            <w:r w:rsidRPr="00CB4FCD">
              <w:t>(0.0138)</w:t>
            </w:r>
          </w:p>
        </w:tc>
        <w:tc>
          <w:tcPr>
            <w:tcW w:w="1725" w:type="dxa"/>
            <w:tcBorders>
              <w:top w:val="nil"/>
              <w:left w:val="nil"/>
              <w:bottom w:val="nil"/>
              <w:right w:val="nil"/>
            </w:tcBorders>
            <w:vAlign w:val="bottom"/>
          </w:tcPr>
          <w:p w14:paraId="5F45CCC1" w14:textId="77777777" w:rsidR="00D5078E" w:rsidRPr="00CB4FCD" w:rsidRDefault="00D5078E" w:rsidP="00D5078E">
            <w:pPr>
              <w:spacing w:line="240" w:lineRule="auto"/>
              <w:jc w:val="center"/>
            </w:pPr>
            <w:r w:rsidRPr="00CB4FCD">
              <w:t>(0.0450)</w:t>
            </w:r>
          </w:p>
        </w:tc>
      </w:tr>
      <w:tr w:rsidR="00D5078E" w:rsidRPr="00CB4FCD" w14:paraId="71542AC5" w14:textId="77777777" w:rsidTr="00D5078E">
        <w:trPr>
          <w:trHeight w:val="263"/>
        </w:trPr>
        <w:tc>
          <w:tcPr>
            <w:tcW w:w="3686" w:type="dxa"/>
            <w:tcBorders>
              <w:top w:val="nil"/>
              <w:left w:val="nil"/>
              <w:bottom w:val="nil"/>
              <w:right w:val="nil"/>
            </w:tcBorders>
            <w:shd w:val="clear" w:color="auto" w:fill="auto"/>
            <w:noWrap/>
            <w:vAlign w:val="bottom"/>
            <w:hideMark/>
          </w:tcPr>
          <w:p w14:paraId="3AB0E983" w14:textId="77777777" w:rsidR="00D5078E" w:rsidRPr="00CB4FCD" w:rsidRDefault="00D5078E" w:rsidP="00D5078E">
            <w:pPr>
              <w:spacing w:line="240" w:lineRule="auto"/>
            </w:pPr>
            <w:r w:rsidRPr="00CB4FCD">
              <w:t>Trade volatility</w:t>
            </w:r>
          </w:p>
        </w:tc>
        <w:tc>
          <w:tcPr>
            <w:tcW w:w="1724" w:type="dxa"/>
            <w:tcBorders>
              <w:top w:val="nil"/>
              <w:left w:val="nil"/>
              <w:bottom w:val="nil"/>
              <w:right w:val="nil"/>
            </w:tcBorders>
            <w:shd w:val="clear" w:color="auto" w:fill="auto"/>
            <w:noWrap/>
            <w:vAlign w:val="bottom"/>
            <w:hideMark/>
          </w:tcPr>
          <w:p w14:paraId="2FFB2BF8" w14:textId="77777777" w:rsidR="00D5078E" w:rsidRPr="00CB4FCD" w:rsidRDefault="00D5078E" w:rsidP="00D5078E">
            <w:pPr>
              <w:spacing w:line="240" w:lineRule="auto"/>
              <w:jc w:val="center"/>
            </w:pPr>
            <w:r w:rsidRPr="00CB4FCD">
              <w:t>-0.00290</w:t>
            </w:r>
          </w:p>
        </w:tc>
        <w:tc>
          <w:tcPr>
            <w:tcW w:w="1725" w:type="dxa"/>
            <w:tcBorders>
              <w:top w:val="nil"/>
              <w:left w:val="nil"/>
              <w:bottom w:val="nil"/>
              <w:right w:val="nil"/>
            </w:tcBorders>
            <w:shd w:val="clear" w:color="auto" w:fill="auto"/>
            <w:noWrap/>
            <w:vAlign w:val="bottom"/>
            <w:hideMark/>
          </w:tcPr>
          <w:p w14:paraId="51D299B7" w14:textId="77777777" w:rsidR="00D5078E" w:rsidRPr="00CB4FCD" w:rsidRDefault="00D5078E" w:rsidP="00D5078E">
            <w:pPr>
              <w:spacing w:line="240" w:lineRule="auto"/>
              <w:jc w:val="center"/>
            </w:pPr>
            <w:r w:rsidRPr="00CB4FCD">
              <w:t>0.00199</w:t>
            </w:r>
          </w:p>
        </w:tc>
        <w:tc>
          <w:tcPr>
            <w:tcW w:w="1725" w:type="dxa"/>
            <w:tcBorders>
              <w:top w:val="nil"/>
              <w:left w:val="nil"/>
              <w:bottom w:val="nil"/>
              <w:right w:val="nil"/>
            </w:tcBorders>
            <w:shd w:val="clear" w:color="auto" w:fill="auto"/>
            <w:noWrap/>
            <w:vAlign w:val="bottom"/>
            <w:hideMark/>
          </w:tcPr>
          <w:p w14:paraId="175FEC68" w14:textId="77777777" w:rsidR="00D5078E" w:rsidRPr="00CB4FCD" w:rsidRDefault="00D5078E" w:rsidP="00D5078E">
            <w:pPr>
              <w:spacing w:line="240" w:lineRule="auto"/>
              <w:jc w:val="center"/>
            </w:pPr>
            <w:r w:rsidRPr="00CB4FCD">
              <w:t>0.00109</w:t>
            </w:r>
          </w:p>
        </w:tc>
        <w:tc>
          <w:tcPr>
            <w:tcW w:w="1724" w:type="dxa"/>
            <w:tcBorders>
              <w:top w:val="nil"/>
              <w:left w:val="nil"/>
              <w:bottom w:val="nil"/>
              <w:right w:val="nil"/>
            </w:tcBorders>
            <w:shd w:val="clear" w:color="auto" w:fill="auto"/>
            <w:noWrap/>
            <w:vAlign w:val="bottom"/>
            <w:hideMark/>
          </w:tcPr>
          <w:p w14:paraId="55FD0CF9" w14:textId="77777777" w:rsidR="00D5078E" w:rsidRPr="00CB4FCD" w:rsidRDefault="00D5078E" w:rsidP="00D5078E">
            <w:pPr>
              <w:spacing w:line="240" w:lineRule="auto"/>
              <w:jc w:val="center"/>
            </w:pPr>
            <w:r w:rsidRPr="00CB4FCD">
              <w:t>0.00362</w:t>
            </w:r>
          </w:p>
        </w:tc>
        <w:tc>
          <w:tcPr>
            <w:tcW w:w="1725" w:type="dxa"/>
            <w:tcBorders>
              <w:top w:val="nil"/>
              <w:left w:val="nil"/>
              <w:bottom w:val="nil"/>
              <w:right w:val="nil"/>
            </w:tcBorders>
            <w:shd w:val="clear" w:color="auto" w:fill="auto"/>
            <w:noWrap/>
            <w:vAlign w:val="bottom"/>
            <w:hideMark/>
          </w:tcPr>
          <w:p w14:paraId="67E79953" w14:textId="77777777" w:rsidR="00D5078E" w:rsidRPr="00CB4FCD" w:rsidRDefault="00D5078E" w:rsidP="00D5078E">
            <w:pPr>
              <w:spacing w:line="240" w:lineRule="auto"/>
              <w:jc w:val="center"/>
            </w:pPr>
            <w:r w:rsidRPr="00CB4FCD">
              <w:t>-0.00304</w:t>
            </w:r>
          </w:p>
        </w:tc>
        <w:tc>
          <w:tcPr>
            <w:tcW w:w="1725" w:type="dxa"/>
            <w:tcBorders>
              <w:top w:val="nil"/>
              <w:left w:val="nil"/>
              <w:bottom w:val="nil"/>
              <w:right w:val="nil"/>
            </w:tcBorders>
            <w:vAlign w:val="bottom"/>
          </w:tcPr>
          <w:p w14:paraId="3AF2026F" w14:textId="77777777" w:rsidR="00D5078E" w:rsidRPr="00CB4FCD" w:rsidRDefault="00D5078E" w:rsidP="00D5078E">
            <w:pPr>
              <w:spacing w:line="240" w:lineRule="auto"/>
              <w:jc w:val="center"/>
            </w:pPr>
            <w:r w:rsidRPr="00CB4FCD">
              <w:t>0.0113</w:t>
            </w:r>
          </w:p>
        </w:tc>
      </w:tr>
      <w:tr w:rsidR="00D5078E" w:rsidRPr="00CB4FCD" w14:paraId="2E9BA415" w14:textId="77777777" w:rsidTr="00D5078E">
        <w:trPr>
          <w:trHeight w:val="263"/>
        </w:trPr>
        <w:tc>
          <w:tcPr>
            <w:tcW w:w="3686" w:type="dxa"/>
            <w:tcBorders>
              <w:top w:val="nil"/>
              <w:left w:val="nil"/>
              <w:bottom w:val="nil"/>
              <w:right w:val="nil"/>
            </w:tcBorders>
            <w:shd w:val="clear" w:color="auto" w:fill="auto"/>
            <w:noWrap/>
            <w:vAlign w:val="bottom"/>
            <w:hideMark/>
          </w:tcPr>
          <w:p w14:paraId="44F9CE96"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3E77369F" w14:textId="77777777" w:rsidR="00D5078E" w:rsidRPr="00CB4FCD" w:rsidRDefault="00D5078E" w:rsidP="00D5078E">
            <w:pPr>
              <w:spacing w:line="240" w:lineRule="auto"/>
              <w:jc w:val="center"/>
            </w:pPr>
            <w:r w:rsidRPr="00CB4FCD">
              <w:t>(0.00721)</w:t>
            </w:r>
          </w:p>
        </w:tc>
        <w:tc>
          <w:tcPr>
            <w:tcW w:w="1725" w:type="dxa"/>
            <w:tcBorders>
              <w:top w:val="nil"/>
              <w:left w:val="nil"/>
              <w:bottom w:val="nil"/>
              <w:right w:val="nil"/>
            </w:tcBorders>
            <w:shd w:val="clear" w:color="auto" w:fill="auto"/>
            <w:noWrap/>
            <w:vAlign w:val="bottom"/>
            <w:hideMark/>
          </w:tcPr>
          <w:p w14:paraId="7E773B56" w14:textId="77777777" w:rsidR="00D5078E" w:rsidRPr="00CB4FCD" w:rsidRDefault="00D5078E" w:rsidP="00D5078E">
            <w:pPr>
              <w:spacing w:line="240" w:lineRule="auto"/>
              <w:jc w:val="center"/>
            </w:pPr>
            <w:r w:rsidRPr="00CB4FCD">
              <w:t>(0.00838)</w:t>
            </w:r>
          </w:p>
        </w:tc>
        <w:tc>
          <w:tcPr>
            <w:tcW w:w="1725" w:type="dxa"/>
            <w:tcBorders>
              <w:top w:val="nil"/>
              <w:left w:val="nil"/>
              <w:bottom w:val="nil"/>
              <w:right w:val="nil"/>
            </w:tcBorders>
            <w:shd w:val="clear" w:color="auto" w:fill="auto"/>
            <w:noWrap/>
            <w:vAlign w:val="bottom"/>
            <w:hideMark/>
          </w:tcPr>
          <w:p w14:paraId="3F2C60AE" w14:textId="77777777" w:rsidR="00D5078E" w:rsidRPr="00CB4FCD" w:rsidRDefault="00D5078E" w:rsidP="00D5078E">
            <w:pPr>
              <w:spacing w:line="240" w:lineRule="auto"/>
              <w:jc w:val="center"/>
            </w:pPr>
            <w:r w:rsidRPr="00CB4FCD">
              <w:t>(0.00966)</w:t>
            </w:r>
          </w:p>
        </w:tc>
        <w:tc>
          <w:tcPr>
            <w:tcW w:w="1724" w:type="dxa"/>
            <w:tcBorders>
              <w:top w:val="nil"/>
              <w:left w:val="nil"/>
              <w:bottom w:val="nil"/>
              <w:right w:val="nil"/>
            </w:tcBorders>
            <w:shd w:val="clear" w:color="auto" w:fill="auto"/>
            <w:noWrap/>
            <w:vAlign w:val="bottom"/>
            <w:hideMark/>
          </w:tcPr>
          <w:p w14:paraId="2485D897" w14:textId="77777777" w:rsidR="00D5078E" w:rsidRPr="00CB4FCD" w:rsidRDefault="00D5078E" w:rsidP="00D5078E">
            <w:pPr>
              <w:spacing w:line="240" w:lineRule="auto"/>
              <w:jc w:val="center"/>
            </w:pPr>
            <w:r w:rsidRPr="00CB4FCD">
              <w:t>(0.00879)</w:t>
            </w:r>
          </w:p>
        </w:tc>
        <w:tc>
          <w:tcPr>
            <w:tcW w:w="1725" w:type="dxa"/>
            <w:tcBorders>
              <w:top w:val="nil"/>
              <w:left w:val="nil"/>
              <w:bottom w:val="nil"/>
              <w:right w:val="nil"/>
            </w:tcBorders>
            <w:shd w:val="clear" w:color="auto" w:fill="auto"/>
            <w:noWrap/>
            <w:vAlign w:val="bottom"/>
            <w:hideMark/>
          </w:tcPr>
          <w:p w14:paraId="3DD2E97B" w14:textId="77777777" w:rsidR="00D5078E" w:rsidRPr="00CB4FCD" w:rsidRDefault="00D5078E" w:rsidP="00D5078E">
            <w:pPr>
              <w:spacing w:line="240" w:lineRule="auto"/>
              <w:jc w:val="center"/>
            </w:pPr>
            <w:r w:rsidRPr="00CB4FCD">
              <w:t>(0.00379)</w:t>
            </w:r>
          </w:p>
        </w:tc>
        <w:tc>
          <w:tcPr>
            <w:tcW w:w="1725" w:type="dxa"/>
            <w:tcBorders>
              <w:top w:val="nil"/>
              <w:left w:val="nil"/>
              <w:bottom w:val="nil"/>
              <w:right w:val="nil"/>
            </w:tcBorders>
            <w:vAlign w:val="bottom"/>
          </w:tcPr>
          <w:p w14:paraId="5F53D83E" w14:textId="77777777" w:rsidR="00D5078E" w:rsidRPr="00CB4FCD" w:rsidRDefault="00D5078E" w:rsidP="00D5078E">
            <w:pPr>
              <w:spacing w:line="240" w:lineRule="auto"/>
              <w:jc w:val="center"/>
            </w:pPr>
            <w:r w:rsidRPr="00CB4FCD">
              <w:t>(0.00867)</w:t>
            </w:r>
          </w:p>
        </w:tc>
      </w:tr>
      <w:tr w:rsidR="00D5078E" w:rsidRPr="00CB4FCD" w14:paraId="768C0816" w14:textId="77777777" w:rsidTr="00D5078E">
        <w:trPr>
          <w:trHeight w:val="263"/>
        </w:trPr>
        <w:tc>
          <w:tcPr>
            <w:tcW w:w="3686" w:type="dxa"/>
            <w:tcBorders>
              <w:top w:val="nil"/>
              <w:left w:val="nil"/>
              <w:bottom w:val="nil"/>
              <w:right w:val="nil"/>
            </w:tcBorders>
            <w:shd w:val="clear" w:color="auto" w:fill="auto"/>
            <w:noWrap/>
            <w:vAlign w:val="bottom"/>
            <w:hideMark/>
          </w:tcPr>
          <w:p w14:paraId="23F28023" w14:textId="77777777" w:rsidR="00D5078E" w:rsidRPr="00CB4FCD" w:rsidRDefault="00D5078E" w:rsidP="00D5078E">
            <w:pPr>
              <w:spacing w:line="240" w:lineRule="auto"/>
            </w:pPr>
            <w:r w:rsidRPr="00CB4FCD">
              <w:t>Inflation (log)</w:t>
            </w:r>
            <w:r w:rsidRPr="00CB4FCD">
              <w:rPr>
                <w:b/>
                <w:vertAlign w:val="subscript"/>
              </w:rPr>
              <w:t xml:space="preserve"> t-1</w:t>
            </w:r>
          </w:p>
        </w:tc>
        <w:tc>
          <w:tcPr>
            <w:tcW w:w="1724" w:type="dxa"/>
            <w:tcBorders>
              <w:top w:val="nil"/>
              <w:left w:val="nil"/>
              <w:bottom w:val="nil"/>
              <w:right w:val="nil"/>
            </w:tcBorders>
            <w:shd w:val="clear" w:color="auto" w:fill="auto"/>
            <w:noWrap/>
            <w:vAlign w:val="bottom"/>
            <w:hideMark/>
          </w:tcPr>
          <w:p w14:paraId="292A95A2" w14:textId="77777777" w:rsidR="00D5078E" w:rsidRPr="00CB4FCD" w:rsidRDefault="00D5078E" w:rsidP="00D5078E">
            <w:pPr>
              <w:spacing w:line="240" w:lineRule="auto"/>
              <w:jc w:val="center"/>
            </w:pPr>
            <w:r w:rsidRPr="00CB4FCD">
              <w:t>0.122</w:t>
            </w:r>
          </w:p>
        </w:tc>
        <w:tc>
          <w:tcPr>
            <w:tcW w:w="1725" w:type="dxa"/>
            <w:tcBorders>
              <w:top w:val="nil"/>
              <w:left w:val="nil"/>
              <w:bottom w:val="nil"/>
              <w:right w:val="nil"/>
            </w:tcBorders>
            <w:shd w:val="clear" w:color="auto" w:fill="auto"/>
            <w:noWrap/>
            <w:vAlign w:val="bottom"/>
            <w:hideMark/>
          </w:tcPr>
          <w:p w14:paraId="61BB364D" w14:textId="77777777" w:rsidR="00D5078E" w:rsidRPr="00CB4FCD" w:rsidRDefault="00D5078E" w:rsidP="00D5078E">
            <w:pPr>
              <w:spacing w:line="240" w:lineRule="auto"/>
              <w:jc w:val="center"/>
            </w:pPr>
            <w:r w:rsidRPr="00CB4FCD">
              <w:t>-0.00153</w:t>
            </w:r>
          </w:p>
        </w:tc>
        <w:tc>
          <w:tcPr>
            <w:tcW w:w="1725" w:type="dxa"/>
            <w:tcBorders>
              <w:top w:val="nil"/>
              <w:left w:val="nil"/>
              <w:bottom w:val="nil"/>
              <w:right w:val="nil"/>
            </w:tcBorders>
            <w:shd w:val="clear" w:color="auto" w:fill="auto"/>
            <w:noWrap/>
            <w:vAlign w:val="bottom"/>
            <w:hideMark/>
          </w:tcPr>
          <w:p w14:paraId="661F08A1" w14:textId="77777777" w:rsidR="00D5078E" w:rsidRPr="00CB4FCD" w:rsidRDefault="00D5078E" w:rsidP="00D5078E">
            <w:pPr>
              <w:spacing w:line="240" w:lineRule="auto"/>
              <w:jc w:val="center"/>
            </w:pPr>
            <w:r w:rsidRPr="00CB4FCD">
              <w:t>0.835***</w:t>
            </w:r>
          </w:p>
        </w:tc>
        <w:tc>
          <w:tcPr>
            <w:tcW w:w="1724" w:type="dxa"/>
            <w:tcBorders>
              <w:top w:val="nil"/>
              <w:left w:val="nil"/>
              <w:bottom w:val="nil"/>
              <w:right w:val="nil"/>
            </w:tcBorders>
            <w:shd w:val="clear" w:color="auto" w:fill="auto"/>
            <w:noWrap/>
            <w:vAlign w:val="bottom"/>
            <w:hideMark/>
          </w:tcPr>
          <w:p w14:paraId="4F9AEE77" w14:textId="77777777" w:rsidR="00D5078E" w:rsidRPr="00CB4FCD" w:rsidRDefault="00D5078E" w:rsidP="00D5078E">
            <w:pPr>
              <w:spacing w:line="240" w:lineRule="auto"/>
              <w:jc w:val="center"/>
            </w:pPr>
            <w:r w:rsidRPr="00CB4FCD">
              <w:t>0.124</w:t>
            </w:r>
          </w:p>
        </w:tc>
        <w:tc>
          <w:tcPr>
            <w:tcW w:w="1725" w:type="dxa"/>
            <w:tcBorders>
              <w:top w:val="nil"/>
              <w:left w:val="nil"/>
              <w:bottom w:val="nil"/>
              <w:right w:val="nil"/>
            </w:tcBorders>
            <w:shd w:val="clear" w:color="auto" w:fill="auto"/>
            <w:noWrap/>
            <w:vAlign w:val="bottom"/>
            <w:hideMark/>
          </w:tcPr>
          <w:p w14:paraId="05BB2D3E" w14:textId="77777777" w:rsidR="00D5078E" w:rsidRPr="00CB4FCD" w:rsidRDefault="00D5078E" w:rsidP="00D5078E">
            <w:pPr>
              <w:spacing w:line="240" w:lineRule="auto"/>
              <w:jc w:val="center"/>
            </w:pPr>
            <w:r w:rsidRPr="00CB4FCD">
              <w:t>-0.0697</w:t>
            </w:r>
          </w:p>
        </w:tc>
        <w:tc>
          <w:tcPr>
            <w:tcW w:w="1725" w:type="dxa"/>
            <w:tcBorders>
              <w:top w:val="nil"/>
              <w:left w:val="nil"/>
              <w:bottom w:val="nil"/>
              <w:right w:val="nil"/>
            </w:tcBorders>
            <w:vAlign w:val="bottom"/>
          </w:tcPr>
          <w:p w14:paraId="78C3471C" w14:textId="77777777" w:rsidR="00D5078E" w:rsidRPr="00CB4FCD" w:rsidRDefault="00D5078E" w:rsidP="00D5078E">
            <w:pPr>
              <w:spacing w:line="240" w:lineRule="auto"/>
              <w:jc w:val="center"/>
            </w:pPr>
            <w:r w:rsidRPr="00CB4FCD">
              <w:t>0.0235</w:t>
            </w:r>
          </w:p>
        </w:tc>
      </w:tr>
      <w:tr w:rsidR="00D5078E" w:rsidRPr="00CB4FCD" w14:paraId="45BCD7DF" w14:textId="77777777" w:rsidTr="00D5078E">
        <w:trPr>
          <w:trHeight w:val="263"/>
        </w:trPr>
        <w:tc>
          <w:tcPr>
            <w:tcW w:w="3686" w:type="dxa"/>
            <w:tcBorders>
              <w:top w:val="nil"/>
              <w:left w:val="nil"/>
              <w:bottom w:val="nil"/>
              <w:right w:val="nil"/>
            </w:tcBorders>
            <w:shd w:val="clear" w:color="auto" w:fill="auto"/>
            <w:noWrap/>
            <w:vAlign w:val="bottom"/>
            <w:hideMark/>
          </w:tcPr>
          <w:p w14:paraId="751F2B33"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47C9436E" w14:textId="77777777" w:rsidR="00D5078E" w:rsidRPr="00CB4FCD" w:rsidRDefault="00D5078E" w:rsidP="00D5078E">
            <w:pPr>
              <w:spacing w:line="240" w:lineRule="auto"/>
              <w:jc w:val="center"/>
            </w:pPr>
            <w:r w:rsidRPr="00CB4FCD">
              <w:t>(0.190)</w:t>
            </w:r>
          </w:p>
        </w:tc>
        <w:tc>
          <w:tcPr>
            <w:tcW w:w="1725" w:type="dxa"/>
            <w:tcBorders>
              <w:top w:val="nil"/>
              <w:left w:val="nil"/>
              <w:bottom w:val="nil"/>
              <w:right w:val="nil"/>
            </w:tcBorders>
            <w:shd w:val="clear" w:color="auto" w:fill="auto"/>
            <w:noWrap/>
            <w:vAlign w:val="bottom"/>
            <w:hideMark/>
          </w:tcPr>
          <w:p w14:paraId="0F2CAF33" w14:textId="77777777" w:rsidR="00D5078E" w:rsidRPr="00CB4FCD" w:rsidRDefault="00D5078E" w:rsidP="00D5078E">
            <w:pPr>
              <w:spacing w:line="240" w:lineRule="auto"/>
              <w:jc w:val="center"/>
            </w:pPr>
            <w:r w:rsidRPr="00CB4FCD">
              <w:t>(0.173)</w:t>
            </w:r>
          </w:p>
        </w:tc>
        <w:tc>
          <w:tcPr>
            <w:tcW w:w="1725" w:type="dxa"/>
            <w:tcBorders>
              <w:top w:val="nil"/>
              <w:left w:val="nil"/>
              <w:bottom w:val="nil"/>
              <w:right w:val="nil"/>
            </w:tcBorders>
            <w:shd w:val="clear" w:color="auto" w:fill="auto"/>
            <w:noWrap/>
            <w:vAlign w:val="bottom"/>
            <w:hideMark/>
          </w:tcPr>
          <w:p w14:paraId="404A0202" w14:textId="77777777" w:rsidR="00D5078E" w:rsidRPr="00CB4FCD" w:rsidRDefault="00D5078E" w:rsidP="00D5078E">
            <w:pPr>
              <w:spacing w:line="240" w:lineRule="auto"/>
              <w:jc w:val="center"/>
            </w:pPr>
            <w:r w:rsidRPr="00CB4FCD">
              <w:t>(0.250)</w:t>
            </w:r>
          </w:p>
        </w:tc>
        <w:tc>
          <w:tcPr>
            <w:tcW w:w="1724" w:type="dxa"/>
            <w:tcBorders>
              <w:top w:val="nil"/>
              <w:left w:val="nil"/>
              <w:bottom w:val="nil"/>
              <w:right w:val="nil"/>
            </w:tcBorders>
            <w:shd w:val="clear" w:color="auto" w:fill="auto"/>
            <w:noWrap/>
            <w:vAlign w:val="bottom"/>
            <w:hideMark/>
          </w:tcPr>
          <w:p w14:paraId="723BCF54" w14:textId="77777777" w:rsidR="00D5078E" w:rsidRPr="00CB4FCD" w:rsidRDefault="00D5078E" w:rsidP="00D5078E">
            <w:pPr>
              <w:spacing w:line="240" w:lineRule="auto"/>
              <w:jc w:val="center"/>
            </w:pPr>
            <w:r w:rsidRPr="00CB4FCD">
              <w:t>(0.179)</w:t>
            </w:r>
          </w:p>
        </w:tc>
        <w:tc>
          <w:tcPr>
            <w:tcW w:w="1725" w:type="dxa"/>
            <w:tcBorders>
              <w:top w:val="nil"/>
              <w:left w:val="nil"/>
              <w:bottom w:val="nil"/>
              <w:right w:val="nil"/>
            </w:tcBorders>
            <w:shd w:val="clear" w:color="auto" w:fill="auto"/>
            <w:noWrap/>
            <w:vAlign w:val="bottom"/>
            <w:hideMark/>
          </w:tcPr>
          <w:p w14:paraId="7B8DCA17" w14:textId="77777777" w:rsidR="00D5078E" w:rsidRPr="00CB4FCD" w:rsidRDefault="00D5078E" w:rsidP="00D5078E">
            <w:pPr>
              <w:spacing w:line="240" w:lineRule="auto"/>
              <w:jc w:val="center"/>
            </w:pPr>
            <w:r w:rsidRPr="00CB4FCD">
              <w:t>(0.0978)</w:t>
            </w:r>
          </w:p>
        </w:tc>
        <w:tc>
          <w:tcPr>
            <w:tcW w:w="1725" w:type="dxa"/>
            <w:tcBorders>
              <w:top w:val="nil"/>
              <w:left w:val="nil"/>
              <w:bottom w:val="nil"/>
              <w:right w:val="nil"/>
            </w:tcBorders>
            <w:vAlign w:val="bottom"/>
          </w:tcPr>
          <w:p w14:paraId="098EC8DF" w14:textId="77777777" w:rsidR="00D5078E" w:rsidRPr="00CB4FCD" w:rsidRDefault="00D5078E" w:rsidP="00D5078E">
            <w:pPr>
              <w:spacing w:line="240" w:lineRule="auto"/>
              <w:jc w:val="center"/>
            </w:pPr>
            <w:r w:rsidRPr="00CB4FCD">
              <w:t>(0.211)</w:t>
            </w:r>
          </w:p>
        </w:tc>
      </w:tr>
      <w:tr w:rsidR="00D5078E" w:rsidRPr="00CB4FCD" w14:paraId="18E96C69" w14:textId="77777777" w:rsidTr="00D5078E">
        <w:trPr>
          <w:trHeight w:val="263"/>
        </w:trPr>
        <w:tc>
          <w:tcPr>
            <w:tcW w:w="3686" w:type="dxa"/>
            <w:tcBorders>
              <w:top w:val="nil"/>
              <w:left w:val="nil"/>
              <w:bottom w:val="nil"/>
              <w:right w:val="nil"/>
            </w:tcBorders>
            <w:shd w:val="clear" w:color="auto" w:fill="auto"/>
            <w:noWrap/>
            <w:vAlign w:val="bottom"/>
            <w:hideMark/>
          </w:tcPr>
          <w:p w14:paraId="78B25D13" w14:textId="77777777" w:rsidR="00D5078E" w:rsidRPr="00CB4FCD" w:rsidRDefault="00D5078E" w:rsidP="00D5078E">
            <w:pPr>
              <w:spacing w:line="240" w:lineRule="auto"/>
            </w:pPr>
            <w:r w:rsidRPr="00CB4FCD">
              <w:t>Current account balance</w:t>
            </w:r>
          </w:p>
        </w:tc>
        <w:tc>
          <w:tcPr>
            <w:tcW w:w="1724" w:type="dxa"/>
            <w:tcBorders>
              <w:top w:val="nil"/>
              <w:left w:val="nil"/>
              <w:bottom w:val="nil"/>
              <w:right w:val="nil"/>
            </w:tcBorders>
            <w:shd w:val="clear" w:color="auto" w:fill="auto"/>
            <w:noWrap/>
            <w:vAlign w:val="bottom"/>
            <w:hideMark/>
          </w:tcPr>
          <w:p w14:paraId="6DA9A4A6" w14:textId="77777777" w:rsidR="00D5078E" w:rsidRPr="00CB4FCD" w:rsidRDefault="00D5078E" w:rsidP="00D5078E">
            <w:pPr>
              <w:spacing w:line="240" w:lineRule="auto"/>
              <w:jc w:val="center"/>
            </w:pPr>
            <w:r w:rsidRPr="00CB4FCD">
              <w:t>-0.00312</w:t>
            </w:r>
          </w:p>
        </w:tc>
        <w:tc>
          <w:tcPr>
            <w:tcW w:w="1725" w:type="dxa"/>
            <w:tcBorders>
              <w:top w:val="nil"/>
              <w:left w:val="nil"/>
              <w:bottom w:val="nil"/>
              <w:right w:val="nil"/>
            </w:tcBorders>
            <w:shd w:val="clear" w:color="auto" w:fill="auto"/>
            <w:noWrap/>
            <w:vAlign w:val="bottom"/>
            <w:hideMark/>
          </w:tcPr>
          <w:p w14:paraId="201E7329" w14:textId="77777777" w:rsidR="00D5078E" w:rsidRPr="00CB4FCD" w:rsidRDefault="00D5078E" w:rsidP="00D5078E">
            <w:pPr>
              <w:spacing w:line="240" w:lineRule="auto"/>
              <w:jc w:val="center"/>
            </w:pPr>
            <w:r w:rsidRPr="00CB4FCD">
              <w:t>-0.00554</w:t>
            </w:r>
          </w:p>
        </w:tc>
        <w:tc>
          <w:tcPr>
            <w:tcW w:w="1725" w:type="dxa"/>
            <w:tcBorders>
              <w:top w:val="nil"/>
              <w:left w:val="nil"/>
              <w:bottom w:val="nil"/>
              <w:right w:val="nil"/>
            </w:tcBorders>
            <w:shd w:val="clear" w:color="auto" w:fill="auto"/>
            <w:noWrap/>
            <w:vAlign w:val="bottom"/>
            <w:hideMark/>
          </w:tcPr>
          <w:p w14:paraId="4B34B34D" w14:textId="77777777" w:rsidR="00D5078E" w:rsidRPr="00CB4FCD" w:rsidRDefault="00D5078E" w:rsidP="00D5078E">
            <w:pPr>
              <w:spacing w:line="240" w:lineRule="auto"/>
              <w:jc w:val="center"/>
            </w:pPr>
            <w:r w:rsidRPr="00CB4FCD">
              <w:t>-0.00669</w:t>
            </w:r>
          </w:p>
        </w:tc>
        <w:tc>
          <w:tcPr>
            <w:tcW w:w="1724" w:type="dxa"/>
            <w:tcBorders>
              <w:top w:val="nil"/>
              <w:left w:val="nil"/>
              <w:bottom w:val="nil"/>
              <w:right w:val="nil"/>
            </w:tcBorders>
            <w:shd w:val="clear" w:color="auto" w:fill="auto"/>
            <w:noWrap/>
            <w:vAlign w:val="bottom"/>
            <w:hideMark/>
          </w:tcPr>
          <w:p w14:paraId="3FCF6EC9" w14:textId="77777777" w:rsidR="00D5078E" w:rsidRPr="00CB4FCD" w:rsidRDefault="00D5078E" w:rsidP="00D5078E">
            <w:pPr>
              <w:spacing w:line="240" w:lineRule="auto"/>
              <w:jc w:val="center"/>
            </w:pPr>
            <w:r w:rsidRPr="00CB4FCD">
              <w:t>-0.00959</w:t>
            </w:r>
          </w:p>
        </w:tc>
        <w:tc>
          <w:tcPr>
            <w:tcW w:w="1725" w:type="dxa"/>
            <w:tcBorders>
              <w:top w:val="nil"/>
              <w:left w:val="nil"/>
              <w:bottom w:val="nil"/>
              <w:right w:val="nil"/>
            </w:tcBorders>
            <w:shd w:val="clear" w:color="auto" w:fill="auto"/>
            <w:noWrap/>
            <w:vAlign w:val="bottom"/>
            <w:hideMark/>
          </w:tcPr>
          <w:p w14:paraId="13D9D862" w14:textId="77777777" w:rsidR="00D5078E" w:rsidRPr="00CB4FCD" w:rsidRDefault="00D5078E" w:rsidP="00D5078E">
            <w:pPr>
              <w:spacing w:line="240" w:lineRule="auto"/>
              <w:jc w:val="center"/>
            </w:pPr>
            <w:r w:rsidRPr="00CB4FCD">
              <w:t>0.000296</w:t>
            </w:r>
          </w:p>
        </w:tc>
        <w:tc>
          <w:tcPr>
            <w:tcW w:w="1725" w:type="dxa"/>
            <w:tcBorders>
              <w:top w:val="nil"/>
              <w:left w:val="nil"/>
              <w:bottom w:val="nil"/>
              <w:right w:val="nil"/>
            </w:tcBorders>
            <w:vAlign w:val="bottom"/>
          </w:tcPr>
          <w:p w14:paraId="274EE665" w14:textId="77777777" w:rsidR="00D5078E" w:rsidRPr="00CB4FCD" w:rsidRDefault="00D5078E" w:rsidP="00D5078E">
            <w:pPr>
              <w:spacing w:line="240" w:lineRule="auto"/>
              <w:jc w:val="center"/>
            </w:pPr>
            <w:r w:rsidRPr="00CB4FCD">
              <w:t>0.00373</w:t>
            </w:r>
          </w:p>
        </w:tc>
      </w:tr>
      <w:tr w:rsidR="00D5078E" w:rsidRPr="00CB4FCD" w14:paraId="0537A92E" w14:textId="77777777" w:rsidTr="00D5078E">
        <w:trPr>
          <w:trHeight w:val="263"/>
        </w:trPr>
        <w:tc>
          <w:tcPr>
            <w:tcW w:w="3686" w:type="dxa"/>
            <w:tcBorders>
              <w:top w:val="nil"/>
              <w:left w:val="nil"/>
              <w:bottom w:val="nil"/>
              <w:right w:val="nil"/>
            </w:tcBorders>
            <w:shd w:val="clear" w:color="auto" w:fill="auto"/>
            <w:noWrap/>
            <w:vAlign w:val="bottom"/>
            <w:hideMark/>
          </w:tcPr>
          <w:p w14:paraId="4DF0C911"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295E719C" w14:textId="77777777" w:rsidR="00D5078E" w:rsidRPr="00CB4FCD" w:rsidRDefault="00D5078E" w:rsidP="00D5078E">
            <w:pPr>
              <w:spacing w:line="240" w:lineRule="auto"/>
              <w:jc w:val="center"/>
            </w:pPr>
            <w:r w:rsidRPr="00CB4FCD">
              <w:t>(0.00750)</w:t>
            </w:r>
          </w:p>
        </w:tc>
        <w:tc>
          <w:tcPr>
            <w:tcW w:w="1725" w:type="dxa"/>
            <w:tcBorders>
              <w:top w:val="nil"/>
              <w:left w:val="nil"/>
              <w:bottom w:val="nil"/>
              <w:right w:val="nil"/>
            </w:tcBorders>
            <w:shd w:val="clear" w:color="auto" w:fill="auto"/>
            <w:noWrap/>
            <w:vAlign w:val="bottom"/>
            <w:hideMark/>
          </w:tcPr>
          <w:p w14:paraId="27393EBF" w14:textId="77777777" w:rsidR="00D5078E" w:rsidRPr="00CB4FCD" w:rsidRDefault="00D5078E" w:rsidP="00D5078E">
            <w:pPr>
              <w:spacing w:line="240" w:lineRule="auto"/>
              <w:jc w:val="center"/>
            </w:pPr>
            <w:r w:rsidRPr="00CB4FCD">
              <w:t>(0.00909)</w:t>
            </w:r>
          </w:p>
        </w:tc>
        <w:tc>
          <w:tcPr>
            <w:tcW w:w="1725" w:type="dxa"/>
            <w:tcBorders>
              <w:top w:val="nil"/>
              <w:left w:val="nil"/>
              <w:bottom w:val="nil"/>
              <w:right w:val="nil"/>
            </w:tcBorders>
            <w:shd w:val="clear" w:color="auto" w:fill="auto"/>
            <w:noWrap/>
            <w:vAlign w:val="bottom"/>
            <w:hideMark/>
          </w:tcPr>
          <w:p w14:paraId="5A28ED64" w14:textId="77777777" w:rsidR="00D5078E" w:rsidRPr="00CB4FCD" w:rsidRDefault="00D5078E" w:rsidP="00D5078E">
            <w:pPr>
              <w:spacing w:line="240" w:lineRule="auto"/>
              <w:jc w:val="center"/>
            </w:pPr>
            <w:r w:rsidRPr="00CB4FCD">
              <w:t>(0.00929)</w:t>
            </w:r>
          </w:p>
        </w:tc>
        <w:tc>
          <w:tcPr>
            <w:tcW w:w="1724" w:type="dxa"/>
            <w:tcBorders>
              <w:top w:val="nil"/>
              <w:left w:val="nil"/>
              <w:bottom w:val="nil"/>
              <w:right w:val="nil"/>
            </w:tcBorders>
            <w:shd w:val="clear" w:color="auto" w:fill="auto"/>
            <w:noWrap/>
            <w:vAlign w:val="bottom"/>
            <w:hideMark/>
          </w:tcPr>
          <w:p w14:paraId="6F280485" w14:textId="77777777" w:rsidR="00D5078E" w:rsidRPr="00CB4FCD" w:rsidRDefault="00D5078E" w:rsidP="00D5078E">
            <w:pPr>
              <w:spacing w:line="240" w:lineRule="auto"/>
              <w:jc w:val="center"/>
            </w:pPr>
            <w:r w:rsidRPr="00CB4FCD">
              <w:t>(0.00884)</w:t>
            </w:r>
          </w:p>
        </w:tc>
        <w:tc>
          <w:tcPr>
            <w:tcW w:w="1725" w:type="dxa"/>
            <w:tcBorders>
              <w:top w:val="nil"/>
              <w:left w:val="nil"/>
              <w:bottom w:val="nil"/>
              <w:right w:val="nil"/>
            </w:tcBorders>
            <w:shd w:val="clear" w:color="auto" w:fill="auto"/>
            <w:noWrap/>
            <w:vAlign w:val="bottom"/>
            <w:hideMark/>
          </w:tcPr>
          <w:p w14:paraId="6D42516F" w14:textId="77777777" w:rsidR="00D5078E" w:rsidRPr="00CB4FCD" w:rsidRDefault="00D5078E" w:rsidP="00D5078E">
            <w:pPr>
              <w:spacing w:line="240" w:lineRule="auto"/>
              <w:jc w:val="center"/>
            </w:pPr>
            <w:r w:rsidRPr="00CB4FCD">
              <w:t>(0.00219)</w:t>
            </w:r>
          </w:p>
        </w:tc>
        <w:tc>
          <w:tcPr>
            <w:tcW w:w="1725" w:type="dxa"/>
            <w:tcBorders>
              <w:top w:val="nil"/>
              <w:left w:val="nil"/>
              <w:bottom w:val="nil"/>
              <w:right w:val="nil"/>
            </w:tcBorders>
            <w:vAlign w:val="bottom"/>
          </w:tcPr>
          <w:p w14:paraId="243AF78D" w14:textId="77777777" w:rsidR="00D5078E" w:rsidRPr="00CB4FCD" w:rsidRDefault="00D5078E" w:rsidP="00D5078E">
            <w:pPr>
              <w:spacing w:line="240" w:lineRule="auto"/>
              <w:jc w:val="center"/>
            </w:pPr>
            <w:r w:rsidRPr="00CB4FCD">
              <w:t>(0.0172)</w:t>
            </w:r>
          </w:p>
        </w:tc>
      </w:tr>
      <w:tr w:rsidR="00D5078E" w:rsidRPr="00CB4FCD" w14:paraId="14D75F43" w14:textId="77777777" w:rsidTr="00D5078E">
        <w:trPr>
          <w:trHeight w:val="263"/>
        </w:trPr>
        <w:tc>
          <w:tcPr>
            <w:tcW w:w="3686" w:type="dxa"/>
            <w:tcBorders>
              <w:top w:val="nil"/>
              <w:left w:val="nil"/>
              <w:bottom w:val="nil"/>
              <w:right w:val="nil"/>
            </w:tcBorders>
            <w:shd w:val="clear" w:color="auto" w:fill="auto"/>
            <w:noWrap/>
            <w:vAlign w:val="bottom"/>
            <w:hideMark/>
          </w:tcPr>
          <w:p w14:paraId="4361EBBA" w14:textId="77777777" w:rsidR="00D5078E" w:rsidRPr="00CB4FCD" w:rsidRDefault="00D5078E" w:rsidP="00D5078E">
            <w:pPr>
              <w:spacing w:line="240" w:lineRule="auto"/>
            </w:pPr>
            <w:r w:rsidRPr="00CB4FCD">
              <w:t>Capital account openness</w:t>
            </w:r>
          </w:p>
        </w:tc>
        <w:tc>
          <w:tcPr>
            <w:tcW w:w="1724" w:type="dxa"/>
            <w:tcBorders>
              <w:top w:val="nil"/>
              <w:left w:val="nil"/>
              <w:bottom w:val="nil"/>
              <w:right w:val="nil"/>
            </w:tcBorders>
            <w:shd w:val="clear" w:color="auto" w:fill="auto"/>
            <w:noWrap/>
            <w:vAlign w:val="bottom"/>
            <w:hideMark/>
          </w:tcPr>
          <w:p w14:paraId="1E9D2A3F" w14:textId="77777777" w:rsidR="00D5078E" w:rsidRPr="00CB4FCD" w:rsidRDefault="00D5078E" w:rsidP="00D5078E">
            <w:pPr>
              <w:spacing w:line="240" w:lineRule="auto"/>
              <w:jc w:val="center"/>
            </w:pPr>
            <w:r w:rsidRPr="00CB4FCD">
              <w:t>0.0517</w:t>
            </w:r>
          </w:p>
        </w:tc>
        <w:tc>
          <w:tcPr>
            <w:tcW w:w="1725" w:type="dxa"/>
            <w:tcBorders>
              <w:top w:val="nil"/>
              <w:left w:val="nil"/>
              <w:bottom w:val="nil"/>
              <w:right w:val="nil"/>
            </w:tcBorders>
            <w:shd w:val="clear" w:color="auto" w:fill="auto"/>
            <w:noWrap/>
            <w:vAlign w:val="bottom"/>
            <w:hideMark/>
          </w:tcPr>
          <w:p w14:paraId="0E6A670A" w14:textId="77777777" w:rsidR="00D5078E" w:rsidRPr="00CB4FCD" w:rsidRDefault="00D5078E" w:rsidP="00D5078E">
            <w:pPr>
              <w:spacing w:line="240" w:lineRule="auto"/>
              <w:jc w:val="center"/>
            </w:pPr>
            <w:r w:rsidRPr="00CB4FCD">
              <w:t>0.0637</w:t>
            </w:r>
          </w:p>
        </w:tc>
        <w:tc>
          <w:tcPr>
            <w:tcW w:w="1725" w:type="dxa"/>
            <w:tcBorders>
              <w:top w:val="nil"/>
              <w:left w:val="nil"/>
              <w:bottom w:val="nil"/>
              <w:right w:val="nil"/>
            </w:tcBorders>
            <w:shd w:val="clear" w:color="auto" w:fill="auto"/>
            <w:noWrap/>
            <w:vAlign w:val="bottom"/>
            <w:hideMark/>
          </w:tcPr>
          <w:p w14:paraId="22FFAE4C" w14:textId="77777777" w:rsidR="00D5078E" w:rsidRPr="00CB4FCD" w:rsidRDefault="00D5078E" w:rsidP="00D5078E">
            <w:pPr>
              <w:spacing w:line="240" w:lineRule="auto"/>
              <w:jc w:val="center"/>
            </w:pPr>
            <w:r w:rsidRPr="00CB4FCD">
              <w:t>0.0321</w:t>
            </w:r>
          </w:p>
        </w:tc>
        <w:tc>
          <w:tcPr>
            <w:tcW w:w="1724" w:type="dxa"/>
            <w:tcBorders>
              <w:top w:val="nil"/>
              <w:left w:val="nil"/>
              <w:bottom w:val="nil"/>
              <w:right w:val="nil"/>
            </w:tcBorders>
            <w:shd w:val="clear" w:color="auto" w:fill="auto"/>
            <w:noWrap/>
            <w:vAlign w:val="bottom"/>
            <w:hideMark/>
          </w:tcPr>
          <w:p w14:paraId="45CE4DE9" w14:textId="77777777" w:rsidR="00D5078E" w:rsidRPr="00CB4FCD" w:rsidRDefault="00D5078E" w:rsidP="00D5078E">
            <w:pPr>
              <w:spacing w:line="240" w:lineRule="auto"/>
              <w:jc w:val="center"/>
            </w:pPr>
            <w:r w:rsidRPr="00CB4FCD">
              <w:t>0.0768</w:t>
            </w:r>
          </w:p>
        </w:tc>
        <w:tc>
          <w:tcPr>
            <w:tcW w:w="1725" w:type="dxa"/>
            <w:tcBorders>
              <w:top w:val="nil"/>
              <w:left w:val="nil"/>
              <w:bottom w:val="nil"/>
              <w:right w:val="nil"/>
            </w:tcBorders>
            <w:shd w:val="clear" w:color="auto" w:fill="auto"/>
            <w:noWrap/>
            <w:vAlign w:val="bottom"/>
            <w:hideMark/>
          </w:tcPr>
          <w:p w14:paraId="168FB53F" w14:textId="77777777" w:rsidR="00D5078E" w:rsidRPr="00CB4FCD" w:rsidRDefault="00D5078E" w:rsidP="00D5078E">
            <w:pPr>
              <w:spacing w:line="240" w:lineRule="auto"/>
              <w:jc w:val="center"/>
            </w:pPr>
            <w:r w:rsidRPr="00CB4FCD">
              <w:t>0.0324</w:t>
            </w:r>
          </w:p>
        </w:tc>
        <w:tc>
          <w:tcPr>
            <w:tcW w:w="1725" w:type="dxa"/>
            <w:tcBorders>
              <w:top w:val="nil"/>
              <w:left w:val="nil"/>
              <w:bottom w:val="nil"/>
              <w:right w:val="nil"/>
            </w:tcBorders>
            <w:vAlign w:val="bottom"/>
          </w:tcPr>
          <w:p w14:paraId="2228DDF2" w14:textId="77777777" w:rsidR="00D5078E" w:rsidRPr="00CB4FCD" w:rsidRDefault="00D5078E" w:rsidP="00D5078E">
            <w:pPr>
              <w:spacing w:line="240" w:lineRule="auto"/>
              <w:jc w:val="center"/>
            </w:pPr>
            <w:r w:rsidRPr="00CB4FCD">
              <w:t>-0.205**</w:t>
            </w:r>
          </w:p>
        </w:tc>
      </w:tr>
      <w:tr w:rsidR="00D5078E" w:rsidRPr="00CB4FCD" w14:paraId="5F50C839" w14:textId="77777777" w:rsidTr="00D5078E">
        <w:trPr>
          <w:trHeight w:val="263"/>
        </w:trPr>
        <w:tc>
          <w:tcPr>
            <w:tcW w:w="3686" w:type="dxa"/>
            <w:tcBorders>
              <w:top w:val="nil"/>
              <w:left w:val="nil"/>
              <w:bottom w:val="nil"/>
              <w:right w:val="nil"/>
            </w:tcBorders>
            <w:shd w:val="clear" w:color="auto" w:fill="auto"/>
            <w:noWrap/>
            <w:vAlign w:val="bottom"/>
            <w:hideMark/>
          </w:tcPr>
          <w:p w14:paraId="256E58B8"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154E5A58" w14:textId="77777777" w:rsidR="00D5078E" w:rsidRPr="00CB4FCD" w:rsidRDefault="00D5078E" w:rsidP="00D5078E">
            <w:pPr>
              <w:spacing w:line="240" w:lineRule="auto"/>
              <w:jc w:val="center"/>
            </w:pPr>
            <w:r w:rsidRPr="00CB4FCD">
              <w:t>(0.0522)</w:t>
            </w:r>
          </w:p>
        </w:tc>
        <w:tc>
          <w:tcPr>
            <w:tcW w:w="1725" w:type="dxa"/>
            <w:tcBorders>
              <w:top w:val="nil"/>
              <w:left w:val="nil"/>
              <w:bottom w:val="nil"/>
              <w:right w:val="nil"/>
            </w:tcBorders>
            <w:shd w:val="clear" w:color="auto" w:fill="auto"/>
            <w:noWrap/>
            <w:vAlign w:val="bottom"/>
            <w:hideMark/>
          </w:tcPr>
          <w:p w14:paraId="79ECB117" w14:textId="77777777" w:rsidR="00D5078E" w:rsidRPr="00CB4FCD" w:rsidRDefault="00D5078E" w:rsidP="00D5078E">
            <w:pPr>
              <w:spacing w:line="240" w:lineRule="auto"/>
              <w:jc w:val="center"/>
            </w:pPr>
            <w:r w:rsidRPr="00CB4FCD">
              <w:t>(0.0503)</w:t>
            </w:r>
          </w:p>
        </w:tc>
        <w:tc>
          <w:tcPr>
            <w:tcW w:w="1725" w:type="dxa"/>
            <w:tcBorders>
              <w:top w:val="nil"/>
              <w:left w:val="nil"/>
              <w:bottom w:val="nil"/>
              <w:right w:val="nil"/>
            </w:tcBorders>
            <w:shd w:val="clear" w:color="auto" w:fill="auto"/>
            <w:noWrap/>
            <w:vAlign w:val="bottom"/>
            <w:hideMark/>
          </w:tcPr>
          <w:p w14:paraId="0852B85E" w14:textId="77777777" w:rsidR="00D5078E" w:rsidRPr="00CB4FCD" w:rsidRDefault="00D5078E" w:rsidP="00D5078E">
            <w:pPr>
              <w:spacing w:line="240" w:lineRule="auto"/>
              <w:jc w:val="center"/>
            </w:pPr>
            <w:r w:rsidRPr="00CB4FCD">
              <w:t>(0.0787)</w:t>
            </w:r>
          </w:p>
        </w:tc>
        <w:tc>
          <w:tcPr>
            <w:tcW w:w="1724" w:type="dxa"/>
            <w:tcBorders>
              <w:top w:val="nil"/>
              <w:left w:val="nil"/>
              <w:bottom w:val="nil"/>
              <w:right w:val="nil"/>
            </w:tcBorders>
            <w:shd w:val="clear" w:color="auto" w:fill="auto"/>
            <w:noWrap/>
            <w:vAlign w:val="bottom"/>
            <w:hideMark/>
          </w:tcPr>
          <w:p w14:paraId="6877AF1C" w14:textId="77777777" w:rsidR="00D5078E" w:rsidRPr="00CB4FCD" w:rsidRDefault="00D5078E" w:rsidP="00D5078E">
            <w:pPr>
              <w:spacing w:line="240" w:lineRule="auto"/>
              <w:jc w:val="center"/>
            </w:pPr>
            <w:r w:rsidRPr="00CB4FCD">
              <w:t>(0.0555)</w:t>
            </w:r>
          </w:p>
        </w:tc>
        <w:tc>
          <w:tcPr>
            <w:tcW w:w="1725" w:type="dxa"/>
            <w:tcBorders>
              <w:top w:val="nil"/>
              <w:left w:val="nil"/>
              <w:bottom w:val="nil"/>
              <w:right w:val="nil"/>
            </w:tcBorders>
            <w:shd w:val="clear" w:color="auto" w:fill="auto"/>
            <w:noWrap/>
            <w:vAlign w:val="bottom"/>
            <w:hideMark/>
          </w:tcPr>
          <w:p w14:paraId="5285B184" w14:textId="77777777" w:rsidR="00D5078E" w:rsidRPr="00CB4FCD" w:rsidRDefault="00D5078E" w:rsidP="00D5078E">
            <w:pPr>
              <w:spacing w:line="240" w:lineRule="auto"/>
              <w:jc w:val="center"/>
            </w:pPr>
            <w:r w:rsidRPr="00CB4FCD">
              <w:t>(0.0223)</w:t>
            </w:r>
          </w:p>
        </w:tc>
        <w:tc>
          <w:tcPr>
            <w:tcW w:w="1725" w:type="dxa"/>
            <w:tcBorders>
              <w:top w:val="nil"/>
              <w:left w:val="nil"/>
              <w:bottom w:val="nil"/>
              <w:right w:val="nil"/>
            </w:tcBorders>
            <w:vAlign w:val="bottom"/>
          </w:tcPr>
          <w:p w14:paraId="6DF807D1" w14:textId="77777777" w:rsidR="00D5078E" w:rsidRPr="00CB4FCD" w:rsidRDefault="00D5078E" w:rsidP="00D5078E">
            <w:pPr>
              <w:spacing w:line="240" w:lineRule="auto"/>
              <w:jc w:val="center"/>
            </w:pPr>
            <w:r w:rsidRPr="00CB4FCD">
              <w:t>(0.0809)</w:t>
            </w:r>
          </w:p>
        </w:tc>
      </w:tr>
      <w:tr w:rsidR="00D5078E" w:rsidRPr="00CB4FCD" w14:paraId="6CB43C95" w14:textId="77777777" w:rsidTr="00D5078E">
        <w:trPr>
          <w:trHeight w:val="263"/>
        </w:trPr>
        <w:tc>
          <w:tcPr>
            <w:tcW w:w="3686" w:type="dxa"/>
            <w:tcBorders>
              <w:top w:val="nil"/>
              <w:left w:val="nil"/>
              <w:bottom w:val="nil"/>
              <w:right w:val="nil"/>
            </w:tcBorders>
            <w:shd w:val="clear" w:color="auto" w:fill="auto"/>
            <w:noWrap/>
            <w:vAlign w:val="bottom"/>
            <w:hideMark/>
          </w:tcPr>
          <w:p w14:paraId="391E10BE" w14:textId="77777777" w:rsidR="00D5078E" w:rsidRPr="00CB4FCD" w:rsidRDefault="00D5078E" w:rsidP="00D5078E">
            <w:pPr>
              <w:spacing w:line="240" w:lineRule="auto"/>
            </w:pPr>
            <w:r w:rsidRPr="00CB4FCD">
              <w:lastRenderedPageBreak/>
              <w:t>Share of manufacturing</w:t>
            </w:r>
            <w:r w:rsidRPr="00CB4FCD">
              <w:rPr>
                <w:b/>
                <w:vertAlign w:val="subscript"/>
              </w:rPr>
              <w:t xml:space="preserve"> t-1</w:t>
            </w:r>
          </w:p>
        </w:tc>
        <w:tc>
          <w:tcPr>
            <w:tcW w:w="1724" w:type="dxa"/>
            <w:tcBorders>
              <w:top w:val="nil"/>
              <w:left w:val="nil"/>
              <w:bottom w:val="nil"/>
              <w:right w:val="nil"/>
            </w:tcBorders>
            <w:shd w:val="clear" w:color="auto" w:fill="auto"/>
            <w:noWrap/>
            <w:vAlign w:val="bottom"/>
            <w:hideMark/>
          </w:tcPr>
          <w:p w14:paraId="5175214A" w14:textId="77777777" w:rsidR="00D5078E" w:rsidRPr="00CB4FCD" w:rsidRDefault="00D5078E" w:rsidP="00D5078E">
            <w:pPr>
              <w:spacing w:line="240" w:lineRule="auto"/>
              <w:jc w:val="center"/>
            </w:pPr>
            <w:r w:rsidRPr="00CB4FCD">
              <w:t>-0.00748</w:t>
            </w:r>
          </w:p>
        </w:tc>
        <w:tc>
          <w:tcPr>
            <w:tcW w:w="1725" w:type="dxa"/>
            <w:tcBorders>
              <w:top w:val="nil"/>
              <w:left w:val="nil"/>
              <w:bottom w:val="nil"/>
              <w:right w:val="nil"/>
            </w:tcBorders>
            <w:shd w:val="clear" w:color="auto" w:fill="auto"/>
            <w:noWrap/>
            <w:vAlign w:val="bottom"/>
            <w:hideMark/>
          </w:tcPr>
          <w:p w14:paraId="158AECAD" w14:textId="77777777" w:rsidR="00D5078E" w:rsidRPr="00CB4FCD" w:rsidRDefault="00D5078E" w:rsidP="00D5078E">
            <w:pPr>
              <w:spacing w:line="240" w:lineRule="auto"/>
              <w:jc w:val="center"/>
            </w:pPr>
            <w:r w:rsidRPr="00CB4FCD">
              <w:t>0.00900</w:t>
            </w:r>
          </w:p>
        </w:tc>
        <w:tc>
          <w:tcPr>
            <w:tcW w:w="1725" w:type="dxa"/>
            <w:tcBorders>
              <w:top w:val="nil"/>
              <w:left w:val="nil"/>
              <w:bottom w:val="nil"/>
              <w:right w:val="nil"/>
            </w:tcBorders>
            <w:shd w:val="clear" w:color="auto" w:fill="auto"/>
            <w:noWrap/>
            <w:vAlign w:val="bottom"/>
            <w:hideMark/>
          </w:tcPr>
          <w:p w14:paraId="0DA665B1" w14:textId="77777777" w:rsidR="00D5078E" w:rsidRPr="00CB4FCD" w:rsidRDefault="00D5078E" w:rsidP="00D5078E">
            <w:pPr>
              <w:spacing w:line="240" w:lineRule="auto"/>
              <w:jc w:val="center"/>
            </w:pPr>
            <w:r w:rsidRPr="00CB4FCD">
              <w:t>-0.0154</w:t>
            </w:r>
          </w:p>
        </w:tc>
        <w:tc>
          <w:tcPr>
            <w:tcW w:w="1724" w:type="dxa"/>
            <w:tcBorders>
              <w:top w:val="nil"/>
              <w:left w:val="nil"/>
              <w:bottom w:val="nil"/>
              <w:right w:val="nil"/>
            </w:tcBorders>
            <w:shd w:val="clear" w:color="auto" w:fill="auto"/>
            <w:noWrap/>
            <w:vAlign w:val="bottom"/>
            <w:hideMark/>
          </w:tcPr>
          <w:p w14:paraId="4397FDA9" w14:textId="77777777" w:rsidR="00D5078E" w:rsidRPr="00CB4FCD" w:rsidRDefault="00D5078E" w:rsidP="00D5078E">
            <w:pPr>
              <w:spacing w:line="240" w:lineRule="auto"/>
              <w:jc w:val="center"/>
            </w:pPr>
            <w:r w:rsidRPr="00CB4FCD">
              <w:t>0.0136</w:t>
            </w:r>
          </w:p>
        </w:tc>
        <w:tc>
          <w:tcPr>
            <w:tcW w:w="1725" w:type="dxa"/>
            <w:tcBorders>
              <w:top w:val="nil"/>
              <w:left w:val="nil"/>
              <w:bottom w:val="nil"/>
              <w:right w:val="nil"/>
            </w:tcBorders>
            <w:shd w:val="clear" w:color="auto" w:fill="auto"/>
            <w:noWrap/>
            <w:vAlign w:val="bottom"/>
            <w:hideMark/>
          </w:tcPr>
          <w:p w14:paraId="38EB0560" w14:textId="77777777" w:rsidR="00D5078E" w:rsidRPr="00CB4FCD" w:rsidRDefault="00D5078E" w:rsidP="00D5078E">
            <w:pPr>
              <w:spacing w:line="240" w:lineRule="auto"/>
              <w:jc w:val="center"/>
            </w:pPr>
            <w:r w:rsidRPr="00CB4FCD">
              <w:t>0.00642</w:t>
            </w:r>
          </w:p>
        </w:tc>
        <w:tc>
          <w:tcPr>
            <w:tcW w:w="1725" w:type="dxa"/>
            <w:tcBorders>
              <w:top w:val="nil"/>
              <w:left w:val="nil"/>
              <w:bottom w:val="nil"/>
              <w:right w:val="nil"/>
            </w:tcBorders>
            <w:vAlign w:val="bottom"/>
          </w:tcPr>
          <w:p w14:paraId="2B3A0A92" w14:textId="77777777" w:rsidR="00D5078E" w:rsidRPr="00CB4FCD" w:rsidRDefault="00D5078E" w:rsidP="00D5078E">
            <w:pPr>
              <w:spacing w:line="240" w:lineRule="auto"/>
              <w:jc w:val="center"/>
            </w:pPr>
            <w:r w:rsidRPr="00CB4FCD">
              <w:t>0.0221</w:t>
            </w:r>
          </w:p>
        </w:tc>
      </w:tr>
      <w:tr w:rsidR="00D5078E" w:rsidRPr="00CB4FCD" w14:paraId="79BDE337" w14:textId="77777777" w:rsidTr="00D5078E">
        <w:trPr>
          <w:trHeight w:val="263"/>
        </w:trPr>
        <w:tc>
          <w:tcPr>
            <w:tcW w:w="3686" w:type="dxa"/>
            <w:tcBorders>
              <w:top w:val="nil"/>
              <w:left w:val="nil"/>
              <w:bottom w:val="nil"/>
              <w:right w:val="nil"/>
            </w:tcBorders>
            <w:shd w:val="clear" w:color="auto" w:fill="auto"/>
            <w:noWrap/>
            <w:vAlign w:val="bottom"/>
            <w:hideMark/>
          </w:tcPr>
          <w:p w14:paraId="59850D26"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60564FBB" w14:textId="77777777" w:rsidR="00D5078E" w:rsidRPr="00CB4FCD" w:rsidRDefault="00D5078E" w:rsidP="00D5078E">
            <w:pPr>
              <w:spacing w:line="240" w:lineRule="auto"/>
              <w:jc w:val="center"/>
            </w:pPr>
            <w:r w:rsidRPr="00CB4FCD">
              <w:t>(0.0151)</w:t>
            </w:r>
          </w:p>
        </w:tc>
        <w:tc>
          <w:tcPr>
            <w:tcW w:w="1725" w:type="dxa"/>
            <w:tcBorders>
              <w:top w:val="nil"/>
              <w:left w:val="nil"/>
              <w:bottom w:val="nil"/>
              <w:right w:val="nil"/>
            </w:tcBorders>
            <w:shd w:val="clear" w:color="auto" w:fill="auto"/>
            <w:noWrap/>
            <w:vAlign w:val="bottom"/>
            <w:hideMark/>
          </w:tcPr>
          <w:p w14:paraId="6A3DAC79" w14:textId="77777777" w:rsidR="00D5078E" w:rsidRPr="00CB4FCD" w:rsidRDefault="00D5078E" w:rsidP="00D5078E">
            <w:pPr>
              <w:spacing w:line="240" w:lineRule="auto"/>
              <w:jc w:val="center"/>
            </w:pPr>
            <w:r w:rsidRPr="00CB4FCD">
              <w:t>(0.0141)</w:t>
            </w:r>
          </w:p>
        </w:tc>
        <w:tc>
          <w:tcPr>
            <w:tcW w:w="1725" w:type="dxa"/>
            <w:tcBorders>
              <w:top w:val="nil"/>
              <w:left w:val="nil"/>
              <w:bottom w:val="nil"/>
              <w:right w:val="nil"/>
            </w:tcBorders>
            <w:shd w:val="clear" w:color="auto" w:fill="auto"/>
            <w:noWrap/>
            <w:vAlign w:val="bottom"/>
            <w:hideMark/>
          </w:tcPr>
          <w:p w14:paraId="5B0E7B3E" w14:textId="77777777" w:rsidR="00D5078E" w:rsidRPr="00CB4FCD" w:rsidRDefault="00D5078E" w:rsidP="00D5078E">
            <w:pPr>
              <w:spacing w:line="240" w:lineRule="auto"/>
              <w:jc w:val="center"/>
            </w:pPr>
            <w:r w:rsidRPr="00CB4FCD">
              <w:t>(0.0189)</w:t>
            </w:r>
          </w:p>
        </w:tc>
        <w:tc>
          <w:tcPr>
            <w:tcW w:w="1724" w:type="dxa"/>
            <w:tcBorders>
              <w:top w:val="nil"/>
              <w:left w:val="nil"/>
              <w:bottom w:val="nil"/>
              <w:right w:val="nil"/>
            </w:tcBorders>
            <w:shd w:val="clear" w:color="auto" w:fill="auto"/>
            <w:noWrap/>
            <w:vAlign w:val="bottom"/>
            <w:hideMark/>
          </w:tcPr>
          <w:p w14:paraId="559AD8D5" w14:textId="77777777" w:rsidR="00D5078E" w:rsidRPr="00CB4FCD" w:rsidRDefault="00D5078E" w:rsidP="00D5078E">
            <w:pPr>
              <w:spacing w:line="240" w:lineRule="auto"/>
              <w:jc w:val="center"/>
            </w:pPr>
            <w:r w:rsidRPr="00CB4FCD">
              <w:t>(0.0134)</w:t>
            </w:r>
          </w:p>
        </w:tc>
        <w:tc>
          <w:tcPr>
            <w:tcW w:w="1725" w:type="dxa"/>
            <w:tcBorders>
              <w:top w:val="nil"/>
              <w:left w:val="nil"/>
              <w:bottom w:val="nil"/>
              <w:right w:val="nil"/>
            </w:tcBorders>
            <w:shd w:val="clear" w:color="auto" w:fill="auto"/>
            <w:noWrap/>
            <w:vAlign w:val="bottom"/>
            <w:hideMark/>
          </w:tcPr>
          <w:p w14:paraId="307D3F04" w14:textId="77777777" w:rsidR="00D5078E" w:rsidRPr="00CB4FCD" w:rsidRDefault="00D5078E" w:rsidP="00D5078E">
            <w:pPr>
              <w:spacing w:line="240" w:lineRule="auto"/>
              <w:jc w:val="center"/>
            </w:pPr>
            <w:r w:rsidRPr="00CB4FCD">
              <w:t>(0.00692)</w:t>
            </w:r>
          </w:p>
        </w:tc>
        <w:tc>
          <w:tcPr>
            <w:tcW w:w="1725" w:type="dxa"/>
            <w:tcBorders>
              <w:top w:val="nil"/>
              <w:left w:val="nil"/>
              <w:bottom w:val="nil"/>
              <w:right w:val="nil"/>
            </w:tcBorders>
            <w:vAlign w:val="bottom"/>
          </w:tcPr>
          <w:p w14:paraId="4FE75BE9" w14:textId="77777777" w:rsidR="00D5078E" w:rsidRPr="00CB4FCD" w:rsidRDefault="00D5078E" w:rsidP="00D5078E">
            <w:pPr>
              <w:spacing w:line="240" w:lineRule="auto"/>
              <w:jc w:val="center"/>
            </w:pPr>
            <w:r w:rsidRPr="00CB4FCD">
              <w:t>(0.0163)</w:t>
            </w:r>
          </w:p>
        </w:tc>
      </w:tr>
      <w:tr w:rsidR="00D5078E" w:rsidRPr="00CB4FCD" w14:paraId="2F2DE71B" w14:textId="77777777" w:rsidTr="00D5078E">
        <w:trPr>
          <w:trHeight w:val="263"/>
        </w:trPr>
        <w:tc>
          <w:tcPr>
            <w:tcW w:w="3686" w:type="dxa"/>
            <w:tcBorders>
              <w:top w:val="nil"/>
              <w:left w:val="nil"/>
              <w:bottom w:val="nil"/>
              <w:right w:val="nil"/>
            </w:tcBorders>
            <w:shd w:val="clear" w:color="auto" w:fill="auto"/>
            <w:noWrap/>
            <w:vAlign w:val="bottom"/>
            <w:hideMark/>
          </w:tcPr>
          <w:p w14:paraId="04C2B290" w14:textId="77777777" w:rsidR="00D5078E" w:rsidRPr="00CB4FCD" w:rsidRDefault="00D5078E" w:rsidP="00D5078E">
            <w:pPr>
              <w:spacing w:line="240" w:lineRule="auto"/>
            </w:pPr>
            <w:r w:rsidRPr="00CB4FCD">
              <w:t>Population (log)</w:t>
            </w:r>
            <w:r w:rsidRPr="00CB4FCD">
              <w:rPr>
                <w:b/>
                <w:vertAlign w:val="subscript"/>
              </w:rPr>
              <w:t>t-1</w:t>
            </w:r>
          </w:p>
        </w:tc>
        <w:tc>
          <w:tcPr>
            <w:tcW w:w="1724" w:type="dxa"/>
            <w:tcBorders>
              <w:top w:val="nil"/>
              <w:left w:val="nil"/>
              <w:bottom w:val="nil"/>
              <w:right w:val="nil"/>
            </w:tcBorders>
            <w:shd w:val="clear" w:color="auto" w:fill="auto"/>
            <w:noWrap/>
            <w:vAlign w:val="bottom"/>
            <w:hideMark/>
          </w:tcPr>
          <w:p w14:paraId="3C490246" w14:textId="77777777" w:rsidR="00D5078E" w:rsidRPr="00CB4FCD" w:rsidRDefault="00D5078E" w:rsidP="00D5078E">
            <w:pPr>
              <w:spacing w:line="240" w:lineRule="auto"/>
              <w:jc w:val="center"/>
            </w:pPr>
            <w:r w:rsidRPr="00CB4FCD">
              <w:t>1.217</w:t>
            </w:r>
          </w:p>
        </w:tc>
        <w:tc>
          <w:tcPr>
            <w:tcW w:w="1725" w:type="dxa"/>
            <w:tcBorders>
              <w:top w:val="nil"/>
              <w:left w:val="nil"/>
              <w:bottom w:val="nil"/>
              <w:right w:val="nil"/>
            </w:tcBorders>
            <w:shd w:val="clear" w:color="auto" w:fill="auto"/>
            <w:noWrap/>
            <w:vAlign w:val="bottom"/>
            <w:hideMark/>
          </w:tcPr>
          <w:p w14:paraId="57E9079A" w14:textId="77777777" w:rsidR="00D5078E" w:rsidRPr="00CB4FCD" w:rsidRDefault="00D5078E" w:rsidP="00D5078E">
            <w:pPr>
              <w:spacing w:line="240" w:lineRule="auto"/>
              <w:jc w:val="center"/>
            </w:pPr>
            <w:r w:rsidRPr="00CB4FCD">
              <w:t>0.381</w:t>
            </w:r>
          </w:p>
        </w:tc>
        <w:tc>
          <w:tcPr>
            <w:tcW w:w="1725" w:type="dxa"/>
            <w:tcBorders>
              <w:top w:val="nil"/>
              <w:left w:val="nil"/>
              <w:bottom w:val="nil"/>
              <w:right w:val="nil"/>
            </w:tcBorders>
            <w:shd w:val="clear" w:color="auto" w:fill="auto"/>
            <w:noWrap/>
            <w:vAlign w:val="bottom"/>
            <w:hideMark/>
          </w:tcPr>
          <w:p w14:paraId="21D5866C" w14:textId="77777777" w:rsidR="00D5078E" w:rsidRPr="00CB4FCD" w:rsidRDefault="00D5078E" w:rsidP="00D5078E">
            <w:pPr>
              <w:spacing w:line="240" w:lineRule="auto"/>
              <w:jc w:val="center"/>
            </w:pPr>
            <w:r w:rsidRPr="00CB4FCD">
              <w:t>4.095**</w:t>
            </w:r>
          </w:p>
        </w:tc>
        <w:tc>
          <w:tcPr>
            <w:tcW w:w="1724" w:type="dxa"/>
            <w:tcBorders>
              <w:top w:val="nil"/>
              <w:left w:val="nil"/>
              <w:bottom w:val="nil"/>
              <w:right w:val="nil"/>
            </w:tcBorders>
            <w:shd w:val="clear" w:color="auto" w:fill="auto"/>
            <w:noWrap/>
            <w:vAlign w:val="bottom"/>
            <w:hideMark/>
          </w:tcPr>
          <w:p w14:paraId="1792B128" w14:textId="77777777" w:rsidR="00D5078E" w:rsidRPr="00CB4FCD" w:rsidRDefault="00D5078E" w:rsidP="00D5078E">
            <w:pPr>
              <w:spacing w:line="240" w:lineRule="auto"/>
              <w:jc w:val="center"/>
            </w:pPr>
            <w:r w:rsidRPr="00CB4FCD">
              <w:t>1.061</w:t>
            </w:r>
          </w:p>
        </w:tc>
        <w:tc>
          <w:tcPr>
            <w:tcW w:w="1725" w:type="dxa"/>
            <w:tcBorders>
              <w:top w:val="nil"/>
              <w:left w:val="nil"/>
              <w:bottom w:val="nil"/>
              <w:right w:val="nil"/>
            </w:tcBorders>
            <w:shd w:val="clear" w:color="auto" w:fill="auto"/>
            <w:noWrap/>
            <w:vAlign w:val="bottom"/>
            <w:hideMark/>
          </w:tcPr>
          <w:p w14:paraId="71A30FCA" w14:textId="77777777" w:rsidR="00D5078E" w:rsidRPr="00CB4FCD" w:rsidRDefault="00D5078E" w:rsidP="00D5078E">
            <w:pPr>
              <w:spacing w:line="240" w:lineRule="auto"/>
              <w:jc w:val="center"/>
            </w:pPr>
            <w:r w:rsidRPr="00CB4FCD">
              <w:t>-0.634</w:t>
            </w:r>
          </w:p>
        </w:tc>
        <w:tc>
          <w:tcPr>
            <w:tcW w:w="1725" w:type="dxa"/>
            <w:tcBorders>
              <w:top w:val="nil"/>
              <w:left w:val="nil"/>
              <w:bottom w:val="nil"/>
              <w:right w:val="nil"/>
            </w:tcBorders>
            <w:vAlign w:val="bottom"/>
          </w:tcPr>
          <w:p w14:paraId="17A1A46F" w14:textId="77777777" w:rsidR="00D5078E" w:rsidRPr="00CB4FCD" w:rsidRDefault="00D5078E" w:rsidP="00D5078E">
            <w:pPr>
              <w:spacing w:line="240" w:lineRule="auto"/>
              <w:jc w:val="center"/>
            </w:pPr>
            <w:r w:rsidRPr="00CB4FCD">
              <w:t>-0.329</w:t>
            </w:r>
          </w:p>
        </w:tc>
      </w:tr>
      <w:tr w:rsidR="00D5078E" w:rsidRPr="00CB4FCD" w14:paraId="08B0C5D6" w14:textId="77777777" w:rsidTr="00D5078E">
        <w:trPr>
          <w:trHeight w:val="263"/>
        </w:trPr>
        <w:tc>
          <w:tcPr>
            <w:tcW w:w="3686" w:type="dxa"/>
            <w:tcBorders>
              <w:top w:val="nil"/>
              <w:left w:val="nil"/>
              <w:bottom w:val="nil"/>
              <w:right w:val="nil"/>
            </w:tcBorders>
            <w:shd w:val="clear" w:color="auto" w:fill="auto"/>
            <w:noWrap/>
            <w:vAlign w:val="bottom"/>
            <w:hideMark/>
          </w:tcPr>
          <w:p w14:paraId="0F07B3CE" w14:textId="77777777" w:rsidR="00D5078E" w:rsidRPr="00CB4FCD" w:rsidRDefault="00D5078E" w:rsidP="00D5078E">
            <w:pPr>
              <w:spacing w:line="240" w:lineRule="auto"/>
              <w:jc w:val="center"/>
            </w:pPr>
          </w:p>
        </w:tc>
        <w:tc>
          <w:tcPr>
            <w:tcW w:w="1724" w:type="dxa"/>
            <w:tcBorders>
              <w:top w:val="nil"/>
              <w:left w:val="nil"/>
              <w:bottom w:val="nil"/>
              <w:right w:val="nil"/>
            </w:tcBorders>
            <w:shd w:val="clear" w:color="auto" w:fill="auto"/>
            <w:noWrap/>
            <w:vAlign w:val="bottom"/>
            <w:hideMark/>
          </w:tcPr>
          <w:p w14:paraId="358993C5" w14:textId="77777777" w:rsidR="00D5078E" w:rsidRPr="00CB4FCD" w:rsidRDefault="00D5078E" w:rsidP="00D5078E">
            <w:pPr>
              <w:spacing w:line="240" w:lineRule="auto"/>
              <w:jc w:val="center"/>
            </w:pPr>
            <w:r w:rsidRPr="00CB4FCD">
              <w:t>(0.938)</w:t>
            </w:r>
          </w:p>
        </w:tc>
        <w:tc>
          <w:tcPr>
            <w:tcW w:w="1725" w:type="dxa"/>
            <w:tcBorders>
              <w:top w:val="nil"/>
              <w:left w:val="nil"/>
              <w:bottom w:val="nil"/>
              <w:right w:val="nil"/>
            </w:tcBorders>
            <w:shd w:val="clear" w:color="auto" w:fill="auto"/>
            <w:noWrap/>
            <w:vAlign w:val="bottom"/>
            <w:hideMark/>
          </w:tcPr>
          <w:p w14:paraId="79F6AD4D" w14:textId="77777777" w:rsidR="00D5078E" w:rsidRPr="00CB4FCD" w:rsidRDefault="00D5078E" w:rsidP="00D5078E">
            <w:pPr>
              <w:spacing w:line="240" w:lineRule="auto"/>
              <w:jc w:val="center"/>
            </w:pPr>
            <w:r w:rsidRPr="00CB4FCD">
              <w:t>(0.964)</w:t>
            </w:r>
          </w:p>
        </w:tc>
        <w:tc>
          <w:tcPr>
            <w:tcW w:w="1725" w:type="dxa"/>
            <w:tcBorders>
              <w:top w:val="nil"/>
              <w:left w:val="nil"/>
              <w:bottom w:val="nil"/>
              <w:right w:val="nil"/>
            </w:tcBorders>
            <w:shd w:val="clear" w:color="auto" w:fill="auto"/>
            <w:noWrap/>
            <w:vAlign w:val="bottom"/>
            <w:hideMark/>
          </w:tcPr>
          <w:p w14:paraId="076360C8" w14:textId="77777777" w:rsidR="00D5078E" w:rsidRPr="00CB4FCD" w:rsidRDefault="00D5078E" w:rsidP="00D5078E">
            <w:pPr>
              <w:spacing w:line="240" w:lineRule="auto"/>
              <w:jc w:val="center"/>
            </w:pPr>
            <w:r w:rsidRPr="00CB4FCD">
              <w:t>(1.818)</w:t>
            </w:r>
          </w:p>
        </w:tc>
        <w:tc>
          <w:tcPr>
            <w:tcW w:w="1724" w:type="dxa"/>
            <w:tcBorders>
              <w:top w:val="nil"/>
              <w:left w:val="nil"/>
              <w:bottom w:val="nil"/>
              <w:right w:val="nil"/>
            </w:tcBorders>
            <w:shd w:val="clear" w:color="auto" w:fill="auto"/>
            <w:noWrap/>
            <w:vAlign w:val="bottom"/>
            <w:hideMark/>
          </w:tcPr>
          <w:p w14:paraId="0A848B3D" w14:textId="77777777" w:rsidR="00D5078E" w:rsidRPr="00CB4FCD" w:rsidRDefault="00D5078E" w:rsidP="00D5078E">
            <w:pPr>
              <w:spacing w:line="240" w:lineRule="auto"/>
              <w:jc w:val="center"/>
            </w:pPr>
            <w:r w:rsidRPr="00CB4FCD">
              <w:t>(1.016)</w:t>
            </w:r>
          </w:p>
        </w:tc>
        <w:tc>
          <w:tcPr>
            <w:tcW w:w="1725" w:type="dxa"/>
            <w:tcBorders>
              <w:top w:val="nil"/>
              <w:left w:val="nil"/>
              <w:bottom w:val="nil"/>
              <w:right w:val="nil"/>
            </w:tcBorders>
            <w:shd w:val="clear" w:color="auto" w:fill="auto"/>
            <w:noWrap/>
            <w:vAlign w:val="bottom"/>
            <w:hideMark/>
          </w:tcPr>
          <w:p w14:paraId="19DE4794" w14:textId="77777777" w:rsidR="00D5078E" w:rsidRPr="00CB4FCD" w:rsidRDefault="00D5078E" w:rsidP="00D5078E">
            <w:pPr>
              <w:spacing w:line="240" w:lineRule="auto"/>
              <w:jc w:val="center"/>
            </w:pPr>
            <w:r w:rsidRPr="00CB4FCD">
              <w:t>(0.987)</w:t>
            </w:r>
          </w:p>
        </w:tc>
        <w:tc>
          <w:tcPr>
            <w:tcW w:w="1725" w:type="dxa"/>
            <w:tcBorders>
              <w:top w:val="nil"/>
              <w:left w:val="nil"/>
              <w:bottom w:val="nil"/>
              <w:right w:val="nil"/>
            </w:tcBorders>
            <w:vAlign w:val="bottom"/>
          </w:tcPr>
          <w:p w14:paraId="7F6CB6E1" w14:textId="77777777" w:rsidR="00D5078E" w:rsidRPr="00CB4FCD" w:rsidRDefault="00D5078E" w:rsidP="00D5078E">
            <w:pPr>
              <w:spacing w:line="240" w:lineRule="auto"/>
              <w:jc w:val="center"/>
            </w:pPr>
            <w:r w:rsidRPr="00CB4FCD">
              <w:t>(2.413)</w:t>
            </w:r>
          </w:p>
        </w:tc>
      </w:tr>
      <w:tr w:rsidR="00D5078E" w:rsidRPr="00CB4FCD" w14:paraId="36EB10A7" w14:textId="77777777" w:rsidTr="00D5078E">
        <w:trPr>
          <w:trHeight w:val="263"/>
        </w:trPr>
        <w:tc>
          <w:tcPr>
            <w:tcW w:w="3686" w:type="dxa"/>
            <w:tcBorders>
              <w:top w:val="nil"/>
              <w:left w:val="nil"/>
              <w:bottom w:val="nil"/>
              <w:right w:val="nil"/>
            </w:tcBorders>
            <w:shd w:val="clear" w:color="auto" w:fill="auto"/>
            <w:noWrap/>
            <w:vAlign w:val="bottom"/>
          </w:tcPr>
          <w:p w14:paraId="00A24C08" w14:textId="77777777" w:rsidR="00D5078E" w:rsidRPr="00CB4FCD" w:rsidRDefault="00D5078E" w:rsidP="00D5078E">
            <w:pPr>
              <w:spacing w:line="240" w:lineRule="auto"/>
              <w:rPr>
                <w:b/>
              </w:rPr>
            </w:pPr>
            <w:r w:rsidRPr="00CB4FCD">
              <w:rPr>
                <w:b/>
                <w:i/>
              </w:rPr>
              <w:t>β</w:t>
            </w:r>
            <w:r w:rsidRPr="00CB4FCD">
              <w:rPr>
                <w:b/>
                <w:i/>
                <w:vertAlign w:val="subscript"/>
              </w:rPr>
              <w:t>remit</w:t>
            </w:r>
            <w:r w:rsidRPr="00CB4FCD">
              <w:rPr>
                <w:b/>
                <w:i/>
              </w:rPr>
              <w:t xml:space="preserve"> + β</w:t>
            </w:r>
            <w:r w:rsidRPr="00CB4FCD">
              <w:rPr>
                <w:b/>
                <w:i/>
                <w:vertAlign w:val="subscript"/>
              </w:rPr>
              <w:t>remit x CBI</w:t>
            </w:r>
          </w:p>
        </w:tc>
        <w:tc>
          <w:tcPr>
            <w:tcW w:w="1724" w:type="dxa"/>
            <w:tcBorders>
              <w:top w:val="nil"/>
              <w:left w:val="nil"/>
              <w:bottom w:val="nil"/>
              <w:right w:val="nil"/>
            </w:tcBorders>
            <w:shd w:val="clear" w:color="auto" w:fill="F2F2F2" w:themeFill="background1" w:themeFillShade="F2"/>
            <w:noWrap/>
            <w:vAlign w:val="bottom"/>
          </w:tcPr>
          <w:p w14:paraId="6D4B859A" w14:textId="77777777" w:rsidR="00D5078E" w:rsidRPr="00CB4FCD" w:rsidRDefault="00D5078E" w:rsidP="00D5078E">
            <w:pPr>
              <w:spacing w:line="240" w:lineRule="auto"/>
              <w:jc w:val="center"/>
              <w:rPr>
                <w:b/>
              </w:rPr>
            </w:pPr>
            <w:r>
              <w:rPr>
                <w:b/>
              </w:rPr>
              <w:t>.331</w:t>
            </w:r>
            <w:r w:rsidRPr="00CB4FCD">
              <w:rPr>
                <w:b/>
              </w:rPr>
              <w:t>***</w:t>
            </w:r>
          </w:p>
        </w:tc>
        <w:tc>
          <w:tcPr>
            <w:tcW w:w="1725" w:type="dxa"/>
            <w:tcBorders>
              <w:top w:val="nil"/>
              <w:left w:val="nil"/>
              <w:bottom w:val="nil"/>
              <w:right w:val="nil"/>
            </w:tcBorders>
            <w:shd w:val="clear" w:color="auto" w:fill="F2F2F2" w:themeFill="background1" w:themeFillShade="F2"/>
            <w:noWrap/>
            <w:vAlign w:val="bottom"/>
          </w:tcPr>
          <w:p w14:paraId="055155B8" w14:textId="77777777" w:rsidR="00D5078E" w:rsidRPr="00CB4FCD" w:rsidRDefault="00D5078E" w:rsidP="00D5078E">
            <w:pPr>
              <w:spacing w:line="240" w:lineRule="auto"/>
              <w:jc w:val="center"/>
              <w:rPr>
                <w:b/>
              </w:rPr>
            </w:pPr>
            <w:r w:rsidRPr="00CB4FCD">
              <w:rPr>
                <w:b/>
              </w:rPr>
              <w:t>.261***</w:t>
            </w:r>
          </w:p>
        </w:tc>
        <w:tc>
          <w:tcPr>
            <w:tcW w:w="1725" w:type="dxa"/>
            <w:tcBorders>
              <w:top w:val="nil"/>
              <w:left w:val="nil"/>
              <w:bottom w:val="nil"/>
              <w:right w:val="nil"/>
            </w:tcBorders>
            <w:shd w:val="clear" w:color="auto" w:fill="F2F2F2" w:themeFill="background1" w:themeFillShade="F2"/>
            <w:noWrap/>
            <w:vAlign w:val="bottom"/>
          </w:tcPr>
          <w:p w14:paraId="1C521ABC" w14:textId="77777777" w:rsidR="00D5078E" w:rsidRPr="00CB4FCD" w:rsidRDefault="00D5078E" w:rsidP="00D5078E">
            <w:pPr>
              <w:spacing w:line="240" w:lineRule="auto"/>
              <w:jc w:val="center"/>
              <w:rPr>
                <w:b/>
              </w:rPr>
            </w:pPr>
            <w:r w:rsidRPr="00CB4FCD">
              <w:rPr>
                <w:b/>
              </w:rPr>
              <w:t>0.362***</w:t>
            </w:r>
          </w:p>
        </w:tc>
        <w:tc>
          <w:tcPr>
            <w:tcW w:w="1724" w:type="dxa"/>
            <w:tcBorders>
              <w:top w:val="nil"/>
              <w:left w:val="nil"/>
              <w:bottom w:val="nil"/>
              <w:right w:val="nil"/>
            </w:tcBorders>
            <w:shd w:val="clear" w:color="auto" w:fill="F2F2F2" w:themeFill="background1" w:themeFillShade="F2"/>
            <w:noWrap/>
            <w:vAlign w:val="bottom"/>
          </w:tcPr>
          <w:p w14:paraId="14D85C31" w14:textId="77777777" w:rsidR="00D5078E" w:rsidRPr="00CB4FCD" w:rsidRDefault="00D5078E" w:rsidP="00D5078E">
            <w:pPr>
              <w:spacing w:line="240" w:lineRule="auto"/>
              <w:jc w:val="center"/>
              <w:rPr>
                <w:b/>
              </w:rPr>
            </w:pPr>
            <w:r w:rsidRPr="00CB4FCD">
              <w:rPr>
                <w:b/>
              </w:rPr>
              <w:t>0.227**</w:t>
            </w:r>
          </w:p>
        </w:tc>
        <w:tc>
          <w:tcPr>
            <w:tcW w:w="1725" w:type="dxa"/>
            <w:tcBorders>
              <w:top w:val="nil"/>
              <w:left w:val="nil"/>
              <w:bottom w:val="nil"/>
              <w:right w:val="nil"/>
            </w:tcBorders>
            <w:shd w:val="clear" w:color="auto" w:fill="F2F2F2" w:themeFill="background1" w:themeFillShade="F2"/>
            <w:noWrap/>
            <w:vAlign w:val="bottom"/>
          </w:tcPr>
          <w:p w14:paraId="4B5578A0" w14:textId="77777777" w:rsidR="00D5078E" w:rsidRPr="00CB4FCD" w:rsidRDefault="00D5078E" w:rsidP="00D5078E">
            <w:pPr>
              <w:spacing w:line="240" w:lineRule="auto"/>
              <w:jc w:val="center"/>
              <w:rPr>
                <w:b/>
              </w:rPr>
            </w:pPr>
            <w:r w:rsidRPr="00CB4FCD">
              <w:rPr>
                <w:b/>
              </w:rPr>
              <w:t>.109***</w:t>
            </w:r>
          </w:p>
        </w:tc>
        <w:tc>
          <w:tcPr>
            <w:tcW w:w="1725" w:type="dxa"/>
            <w:tcBorders>
              <w:top w:val="nil"/>
              <w:left w:val="nil"/>
              <w:bottom w:val="nil"/>
              <w:right w:val="nil"/>
            </w:tcBorders>
            <w:shd w:val="clear" w:color="auto" w:fill="F2F2F2" w:themeFill="background1" w:themeFillShade="F2"/>
            <w:vAlign w:val="bottom"/>
          </w:tcPr>
          <w:p w14:paraId="29016E23" w14:textId="77777777" w:rsidR="00D5078E" w:rsidRPr="00CB4FCD" w:rsidRDefault="00D5078E" w:rsidP="00D5078E">
            <w:pPr>
              <w:spacing w:line="240" w:lineRule="auto"/>
              <w:jc w:val="center"/>
              <w:rPr>
                <w:b/>
              </w:rPr>
            </w:pPr>
            <w:r w:rsidRPr="00CB4FCD">
              <w:rPr>
                <w:b/>
              </w:rPr>
              <w:t>.303***</w:t>
            </w:r>
          </w:p>
        </w:tc>
      </w:tr>
      <w:tr w:rsidR="00D5078E" w:rsidRPr="00CB4FCD" w14:paraId="001420FB" w14:textId="77777777" w:rsidTr="00D5078E">
        <w:trPr>
          <w:trHeight w:val="263"/>
        </w:trPr>
        <w:tc>
          <w:tcPr>
            <w:tcW w:w="3686" w:type="dxa"/>
            <w:tcBorders>
              <w:top w:val="nil"/>
              <w:left w:val="nil"/>
              <w:bottom w:val="single" w:sz="4" w:space="0" w:color="auto"/>
              <w:right w:val="nil"/>
            </w:tcBorders>
            <w:shd w:val="clear" w:color="auto" w:fill="auto"/>
            <w:noWrap/>
            <w:vAlign w:val="bottom"/>
          </w:tcPr>
          <w:p w14:paraId="72EAABA2" w14:textId="77777777" w:rsidR="00D5078E" w:rsidRPr="00CB4FCD" w:rsidRDefault="00D5078E" w:rsidP="00D5078E">
            <w:pPr>
              <w:spacing w:line="240" w:lineRule="auto"/>
            </w:pPr>
          </w:p>
        </w:tc>
        <w:tc>
          <w:tcPr>
            <w:tcW w:w="1724" w:type="dxa"/>
            <w:tcBorders>
              <w:top w:val="nil"/>
              <w:left w:val="nil"/>
              <w:bottom w:val="single" w:sz="4" w:space="0" w:color="auto"/>
              <w:right w:val="nil"/>
            </w:tcBorders>
            <w:shd w:val="clear" w:color="auto" w:fill="F2F2F2" w:themeFill="background1" w:themeFillShade="F2"/>
            <w:noWrap/>
            <w:vAlign w:val="bottom"/>
          </w:tcPr>
          <w:p w14:paraId="2FC7654E" w14:textId="77777777" w:rsidR="00D5078E" w:rsidRPr="00CB4FCD" w:rsidRDefault="00D5078E" w:rsidP="00D5078E">
            <w:pPr>
              <w:spacing w:line="240" w:lineRule="auto"/>
              <w:jc w:val="center"/>
            </w:pPr>
            <w:r w:rsidRPr="00CB4FCD">
              <w:t>(.091)</w:t>
            </w:r>
          </w:p>
        </w:tc>
        <w:tc>
          <w:tcPr>
            <w:tcW w:w="1725" w:type="dxa"/>
            <w:tcBorders>
              <w:top w:val="nil"/>
              <w:left w:val="nil"/>
              <w:bottom w:val="single" w:sz="4" w:space="0" w:color="auto"/>
              <w:right w:val="nil"/>
            </w:tcBorders>
            <w:shd w:val="clear" w:color="auto" w:fill="F2F2F2" w:themeFill="background1" w:themeFillShade="F2"/>
            <w:noWrap/>
            <w:vAlign w:val="bottom"/>
          </w:tcPr>
          <w:p w14:paraId="0F863A21" w14:textId="77777777" w:rsidR="00D5078E" w:rsidRPr="00CB4FCD" w:rsidRDefault="00D5078E" w:rsidP="00D5078E">
            <w:pPr>
              <w:spacing w:line="240" w:lineRule="auto"/>
              <w:jc w:val="center"/>
            </w:pPr>
            <w:r w:rsidRPr="00CB4FCD">
              <w:t>(.092)</w:t>
            </w:r>
          </w:p>
        </w:tc>
        <w:tc>
          <w:tcPr>
            <w:tcW w:w="1725" w:type="dxa"/>
            <w:tcBorders>
              <w:top w:val="nil"/>
              <w:left w:val="nil"/>
              <w:bottom w:val="single" w:sz="4" w:space="0" w:color="auto"/>
              <w:right w:val="nil"/>
            </w:tcBorders>
            <w:shd w:val="clear" w:color="auto" w:fill="F2F2F2" w:themeFill="background1" w:themeFillShade="F2"/>
            <w:noWrap/>
            <w:vAlign w:val="bottom"/>
          </w:tcPr>
          <w:p w14:paraId="2B70C0D5" w14:textId="77777777" w:rsidR="00D5078E" w:rsidRPr="00CB4FCD" w:rsidRDefault="00D5078E" w:rsidP="00D5078E">
            <w:pPr>
              <w:spacing w:line="240" w:lineRule="auto"/>
              <w:jc w:val="center"/>
            </w:pPr>
            <w:r w:rsidRPr="00CB4FCD">
              <w:t>(0.130)</w:t>
            </w:r>
          </w:p>
        </w:tc>
        <w:tc>
          <w:tcPr>
            <w:tcW w:w="1724" w:type="dxa"/>
            <w:tcBorders>
              <w:top w:val="nil"/>
              <w:left w:val="nil"/>
              <w:bottom w:val="single" w:sz="4" w:space="0" w:color="auto"/>
              <w:right w:val="nil"/>
            </w:tcBorders>
            <w:shd w:val="clear" w:color="auto" w:fill="F2F2F2" w:themeFill="background1" w:themeFillShade="F2"/>
            <w:noWrap/>
            <w:vAlign w:val="bottom"/>
          </w:tcPr>
          <w:p w14:paraId="1FA271BD" w14:textId="77777777" w:rsidR="00D5078E" w:rsidRPr="00CB4FCD" w:rsidRDefault="00D5078E" w:rsidP="00D5078E">
            <w:pPr>
              <w:spacing w:line="240" w:lineRule="auto"/>
              <w:jc w:val="center"/>
            </w:pPr>
            <w:r w:rsidRPr="00CB4FCD">
              <w:t>(0.105)</w:t>
            </w:r>
          </w:p>
        </w:tc>
        <w:tc>
          <w:tcPr>
            <w:tcW w:w="1725" w:type="dxa"/>
            <w:tcBorders>
              <w:top w:val="nil"/>
              <w:left w:val="nil"/>
              <w:bottom w:val="single" w:sz="4" w:space="0" w:color="auto"/>
              <w:right w:val="nil"/>
            </w:tcBorders>
            <w:shd w:val="clear" w:color="auto" w:fill="F2F2F2" w:themeFill="background1" w:themeFillShade="F2"/>
            <w:noWrap/>
            <w:vAlign w:val="bottom"/>
          </w:tcPr>
          <w:p w14:paraId="35F228A4" w14:textId="77777777" w:rsidR="00D5078E" w:rsidRPr="00CB4FCD" w:rsidRDefault="00D5078E" w:rsidP="00D5078E">
            <w:pPr>
              <w:spacing w:line="240" w:lineRule="auto"/>
              <w:jc w:val="center"/>
            </w:pPr>
            <w:r w:rsidRPr="00CB4FCD">
              <w:t>(0.033)</w:t>
            </w:r>
          </w:p>
        </w:tc>
        <w:tc>
          <w:tcPr>
            <w:tcW w:w="1725" w:type="dxa"/>
            <w:tcBorders>
              <w:top w:val="nil"/>
              <w:left w:val="nil"/>
              <w:bottom w:val="single" w:sz="4" w:space="0" w:color="auto"/>
              <w:right w:val="nil"/>
            </w:tcBorders>
            <w:shd w:val="clear" w:color="auto" w:fill="F2F2F2" w:themeFill="background1" w:themeFillShade="F2"/>
            <w:vAlign w:val="bottom"/>
          </w:tcPr>
          <w:p w14:paraId="260DF246" w14:textId="77777777" w:rsidR="00D5078E" w:rsidRPr="00CB4FCD" w:rsidRDefault="00D5078E" w:rsidP="00D5078E">
            <w:pPr>
              <w:spacing w:line="240" w:lineRule="auto"/>
              <w:jc w:val="center"/>
            </w:pPr>
            <w:r w:rsidRPr="00CB4FCD">
              <w:t>(0.113)</w:t>
            </w:r>
          </w:p>
        </w:tc>
      </w:tr>
      <w:tr w:rsidR="00D5078E" w:rsidRPr="00CB4FCD" w14:paraId="006A20D2" w14:textId="77777777" w:rsidTr="00D5078E">
        <w:trPr>
          <w:trHeight w:val="263"/>
        </w:trPr>
        <w:tc>
          <w:tcPr>
            <w:tcW w:w="3686" w:type="dxa"/>
            <w:tcBorders>
              <w:left w:val="nil"/>
              <w:bottom w:val="nil"/>
              <w:right w:val="nil"/>
            </w:tcBorders>
            <w:shd w:val="clear" w:color="auto" w:fill="auto"/>
            <w:noWrap/>
            <w:vAlign w:val="bottom"/>
            <w:hideMark/>
          </w:tcPr>
          <w:p w14:paraId="1F41DD7B" w14:textId="77777777" w:rsidR="00D5078E" w:rsidRPr="00CB4FCD" w:rsidRDefault="00D5078E" w:rsidP="00D5078E">
            <w:pPr>
              <w:spacing w:line="240" w:lineRule="auto"/>
            </w:pPr>
            <w:r w:rsidRPr="00CB4FCD">
              <w:t>Observations</w:t>
            </w:r>
          </w:p>
        </w:tc>
        <w:tc>
          <w:tcPr>
            <w:tcW w:w="1724" w:type="dxa"/>
            <w:tcBorders>
              <w:left w:val="nil"/>
              <w:bottom w:val="nil"/>
              <w:right w:val="nil"/>
            </w:tcBorders>
            <w:shd w:val="clear" w:color="auto" w:fill="auto"/>
            <w:noWrap/>
            <w:vAlign w:val="bottom"/>
            <w:hideMark/>
          </w:tcPr>
          <w:p w14:paraId="3CDA762D" w14:textId="77777777" w:rsidR="00D5078E" w:rsidRPr="00CB4FCD" w:rsidRDefault="00D5078E" w:rsidP="00D5078E">
            <w:pPr>
              <w:spacing w:line="240" w:lineRule="auto"/>
              <w:jc w:val="center"/>
            </w:pPr>
            <w:r w:rsidRPr="00CB4FCD">
              <w:t>624</w:t>
            </w:r>
          </w:p>
        </w:tc>
        <w:tc>
          <w:tcPr>
            <w:tcW w:w="1725" w:type="dxa"/>
            <w:tcBorders>
              <w:left w:val="nil"/>
              <w:bottom w:val="nil"/>
              <w:right w:val="nil"/>
            </w:tcBorders>
            <w:shd w:val="clear" w:color="auto" w:fill="auto"/>
            <w:noWrap/>
            <w:vAlign w:val="bottom"/>
            <w:hideMark/>
          </w:tcPr>
          <w:p w14:paraId="23F47032" w14:textId="77777777" w:rsidR="00D5078E" w:rsidRPr="00CB4FCD" w:rsidRDefault="00D5078E" w:rsidP="00D5078E">
            <w:pPr>
              <w:spacing w:line="240" w:lineRule="auto"/>
              <w:jc w:val="center"/>
            </w:pPr>
            <w:r w:rsidRPr="00CB4FCD">
              <w:t>815</w:t>
            </w:r>
          </w:p>
        </w:tc>
        <w:tc>
          <w:tcPr>
            <w:tcW w:w="1725" w:type="dxa"/>
            <w:tcBorders>
              <w:left w:val="nil"/>
              <w:bottom w:val="nil"/>
              <w:right w:val="nil"/>
            </w:tcBorders>
            <w:shd w:val="clear" w:color="auto" w:fill="auto"/>
            <w:noWrap/>
            <w:vAlign w:val="bottom"/>
            <w:hideMark/>
          </w:tcPr>
          <w:p w14:paraId="7380EB74" w14:textId="77777777" w:rsidR="00D5078E" w:rsidRPr="00CB4FCD" w:rsidRDefault="00D5078E" w:rsidP="00D5078E">
            <w:pPr>
              <w:spacing w:line="240" w:lineRule="auto"/>
              <w:jc w:val="center"/>
            </w:pPr>
            <w:r w:rsidRPr="00CB4FCD">
              <w:t>824</w:t>
            </w:r>
          </w:p>
        </w:tc>
        <w:tc>
          <w:tcPr>
            <w:tcW w:w="1724" w:type="dxa"/>
            <w:tcBorders>
              <w:left w:val="nil"/>
              <w:bottom w:val="nil"/>
              <w:right w:val="nil"/>
            </w:tcBorders>
            <w:shd w:val="clear" w:color="auto" w:fill="auto"/>
            <w:noWrap/>
            <w:vAlign w:val="bottom"/>
            <w:hideMark/>
          </w:tcPr>
          <w:p w14:paraId="33D5B14F" w14:textId="77777777" w:rsidR="00D5078E" w:rsidRPr="00CB4FCD" w:rsidRDefault="00D5078E" w:rsidP="00D5078E">
            <w:pPr>
              <w:spacing w:line="240" w:lineRule="auto"/>
              <w:jc w:val="center"/>
            </w:pPr>
            <w:r w:rsidRPr="00CB4FCD">
              <w:t>666</w:t>
            </w:r>
          </w:p>
        </w:tc>
        <w:tc>
          <w:tcPr>
            <w:tcW w:w="1725" w:type="dxa"/>
            <w:tcBorders>
              <w:left w:val="nil"/>
              <w:bottom w:val="nil"/>
              <w:right w:val="nil"/>
            </w:tcBorders>
            <w:shd w:val="clear" w:color="auto" w:fill="auto"/>
            <w:noWrap/>
            <w:vAlign w:val="bottom"/>
            <w:hideMark/>
          </w:tcPr>
          <w:p w14:paraId="27FFFA65" w14:textId="77777777" w:rsidR="00D5078E" w:rsidRPr="00CB4FCD" w:rsidRDefault="00D5078E" w:rsidP="00D5078E">
            <w:pPr>
              <w:spacing w:line="240" w:lineRule="auto"/>
              <w:jc w:val="center"/>
            </w:pPr>
            <w:r w:rsidRPr="00CB4FCD">
              <w:t>815</w:t>
            </w:r>
          </w:p>
        </w:tc>
        <w:tc>
          <w:tcPr>
            <w:tcW w:w="1725" w:type="dxa"/>
            <w:tcBorders>
              <w:left w:val="nil"/>
              <w:bottom w:val="nil"/>
              <w:right w:val="nil"/>
            </w:tcBorders>
            <w:vAlign w:val="bottom"/>
          </w:tcPr>
          <w:p w14:paraId="2235AE3D" w14:textId="77777777" w:rsidR="00D5078E" w:rsidRPr="00CB4FCD" w:rsidRDefault="00D5078E" w:rsidP="00D5078E">
            <w:pPr>
              <w:spacing w:line="240" w:lineRule="auto"/>
              <w:jc w:val="center"/>
            </w:pPr>
            <w:r w:rsidRPr="00CB4FCD">
              <w:t>815</w:t>
            </w:r>
          </w:p>
        </w:tc>
      </w:tr>
      <w:tr w:rsidR="00D5078E" w:rsidRPr="00CB4FCD" w14:paraId="38985C16" w14:textId="77777777" w:rsidTr="00D5078E">
        <w:trPr>
          <w:trHeight w:val="263"/>
        </w:trPr>
        <w:tc>
          <w:tcPr>
            <w:tcW w:w="3686" w:type="dxa"/>
            <w:tcBorders>
              <w:top w:val="nil"/>
              <w:left w:val="nil"/>
              <w:right w:val="nil"/>
            </w:tcBorders>
            <w:shd w:val="clear" w:color="auto" w:fill="auto"/>
            <w:noWrap/>
            <w:vAlign w:val="bottom"/>
            <w:hideMark/>
          </w:tcPr>
          <w:p w14:paraId="0279D6C9" w14:textId="77777777" w:rsidR="00D5078E" w:rsidRPr="00CB4FCD" w:rsidRDefault="00D5078E" w:rsidP="00D5078E">
            <w:pPr>
              <w:spacing w:line="240" w:lineRule="auto"/>
            </w:pPr>
            <w:r w:rsidRPr="00CB4FCD">
              <w:t>Countries</w:t>
            </w:r>
          </w:p>
        </w:tc>
        <w:tc>
          <w:tcPr>
            <w:tcW w:w="1724" w:type="dxa"/>
            <w:tcBorders>
              <w:top w:val="nil"/>
              <w:left w:val="nil"/>
              <w:right w:val="nil"/>
            </w:tcBorders>
            <w:shd w:val="clear" w:color="auto" w:fill="auto"/>
            <w:noWrap/>
            <w:vAlign w:val="bottom"/>
            <w:hideMark/>
          </w:tcPr>
          <w:p w14:paraId="17317CDE" w14:textId="77777777" w:rsidR="00D5078E" w:rsidRPr="00CB4FCD" w:rsidRDefault="00D5078E" w:rsidP="00D5078E">
            <w:pPr>
              <w:spacing w:line="240" w:lineRule="auto"/>
              <w:jc w:val="center"/>
            </w:pPr>
            <w:r w:rsidRPr="00CB4FCD">
              <w:t>54</w:t>
            </w:r>
          </w:p>
        </w:tc>
        <w:tc>
          <w:tcPr>
            <w:tcW w:w="1725" w:type="dxa"/>
            <w:tcBorders>
              <w:top w:val="nil"/>
              <w:left w:val="nil"/>
              <w:right w:val="nil"/>
            </w:tcBorders>
            <w:shd w:val="clear" w:color="auto" w:fill="auto"/>
            <w:noWrap/>
            <w:vAlign w:val="bottom"/>
            <w:hideMark/>
          </w:tcPr>
          <w:p w14:paraId="60901730" w14:textId="77777777" w:rsidR="00D5078E" w:rsidRPr="00CB4FCD" w:rsidRDefault="00D5078E" w:rsidP="00D5078E">
            <w:pPr>
              <w:spacing w:line="240" w:lineRule="auto"/>
              <w:jc w:val="center"/>
            </w:pPr>
            <w:r w:rsidRPr="00CB4FCD">
              <w:t>68</w:t>
            </w:r>
          </w:p>
        </w:tc>
        <w:tc>
          <w:tcPr>
            <w:tcW w:w="1725" w:type="dxa"/>
            <w:tcBorders>
              <w:top w:val="nil"/>
              <w:left w:val="nil"/>
              <w:right w:val="nil"/>
            </w:tcBorders>
            <w:shd w:val="clear" w:color="auto" w:fill="auto"/>
            <w:noWrap/>
            <w:vAlign w:val="bottom"/>
            <w:hideMark/>
          </w:tcPr>
          <w:p w14:paraId="12D68962" w14:textId="77777777" w:rsidR="00D5078E" w:rsidRPr="00CB4FCD" w:rsidRDefault="00D5078E" w:rsidP="00D5078E">
            <w:pPr>
              <w:spacing w:line="240" w:lineRule="auto"/>
              <w:jc w:val="center"/>
            </w:pPr>
            <w:r w:rsidRPr="00CB4FCD">
              <w:t>69</w:t>
            </w:r>
          </w:p>
        </w:tc>
        <w:tc>
          <w:tcPr>
            <w:tcW w:w="1724" w:type="dxa"/>
            <w:tcBorders>
              <w:top w:val="nil"/>
              <w:left w:val="nil"/>
              <w:right w:val="nil"/>
            </w:tcBorders>
            <w:shd w:val="clear" w:color="auto" w:fill="auto"/>
            <w:noWrap/>
            <w:vAlign w:val="bottom"/>
            <w:hideMark/>
          </w:tcPr>
          <w:p w14:paraId="4B6136D6" w14:textId="77777777" w:rsidR="00D5078E" w:rsidRPr="00CB4FCD" w:rsidRDefault="00D5078E" w:rsidP="00D5078E">
            <w:pPr>
              <w:spacing w:line="240" w:lineRule="auto"/>
              <w:jc w:val="center"/>
            </w:pPr>
            <w:r w:rsidRPr="00CB4FCD">
              <w:t>63</w:t>
            </w:r>
          </w:p>
        </w:tc>
        <w:tc>
          <w:tcPr>
            <w:tcW w:w="1725" w:type="dxa"/>
            <w:tcBorders>
              <w:top w:val="nil"/>
              <w:left w:val="nil"/>
              <w:right w:val="nil"/>
            </w:tcBorders>
            <w:shd w:val="clear" w:color="auto" w:fill="auto"/>
            <w:noWrap/>
            <w:vAlign w:val="bottom"/>
            <w:hideMark/>
          </w:tcPr>
          <w:p w14:paraId="6B819F75" w14:textId="77777777" w:rsidR="00D5078E" w:rsidRPr="00CB4FCD" w:rsidRDefault="00D5078E" w:rsidP="00D5078E">
            <w:pPr>
              <w:spacing w:line="240" w:lineRule="auto"/>
              <w:jc w:val="center"/>
            </w:pPr>
            <w:r w:rsidRPr="00CB4FCD">
              <w:t>68</w:t>
            </w:r>
          </w:p>
        </w:tc>
        <w:tc>
          <w:tcPr>
            <w:tcW w:w="1725" w:type="dxa"/>
            <w:tcBorders>
              <w:top w:val="nil"/>
              <w:left w:val="nil"/>
              <w:right w:val="nil"/>
            </w:tcBorders>
            <w:vAlign w:val="bottom"/>
          </w:tcPr>
          <w:p w14:paraId="66CF4509" w14:textId="77777777" w:rsidR="00D5078E" w:rsidRPr="00CB4FCD" w:rsidRDefault="00D5078E" w:rsidP="00D5078E">
            <w:pPr>
              <w:spacing w:line="240" w:lineRule="auto"/>
              <w:jc w:val="center"/>
            </w:pPr>
            <w:r w:rsidRPr="00CB4FCD">
              <w:t>68</w:t>
            </w:r>
          </w:p>
        </w:tc>
      </w:tr>
      <w:tr w:rsidR="00D5078E" w:rsidRPr="00CB4FCD" w14:paraId="0872895D" w14:textId="77777777" w:rsidTr="00D5078E">
        <w:trPr>
          <w:trHeight w:val="263"/>
        </w:trPr>
        <w:tc>
          <w:tcPr>
            <w:tcW w:w="3686" w:type="dxa"/>
            <w:tcBorders>
              <w:top w:val="nil"/>
              <w:left w:val="nil"/>
              <w:right w:val="nil"/>
            </w:tcBorders>
            <w:shd w:val="clear" w:color="auto" w:fill="auto"/>
            <w:noWrap/>
          </w:tcPr>
          <w:p w14:paraId="48118E76" w14:textId="77777777" w:rsidR="00D5078E" w:rsidRPr="00CB4FCD" w:rsidRDefault="00D5078E" w:rsidP="00D5078E">
            <w:pPr>
              <w:spacing w:line="240" w:lineRule="auto"/>
            </w:pPr>
            <w:r w:rsidRPr="00CB4FCD">
              <w:t>Pseudo R</w:t>
            </w:r>
            <w:r w:rsidRPr="00CB4FCD">
              <w:rPr>
                <w:vertAlign w:val="superscript"/>
              </w:rPr>
              <w:t>2</w:t>
            </w:r>
          </w:p>
        </w:tc>
        <w:tc>
          <w:tcPr>
            <w:tcW w:w="1724" w:type="dxa"/>
            <w:tcBorders>
              <w:top w:val="nil"/>
              <w:left w:val="nil"/>
              <w:right w:val="nil"/>
            </w:tcBorders>
            <w:shd w:val="clear" w:color="auto" w:fill="auto"/>
            <w:noWrap/>
            <w:vAlign w:val="bottom"/>
          </w:tcPr>
          <w:p w14:paraId="64930FDE" w14:textId="77777777" w:rsidR="00D5078E" w:rsidRPr="00CB4FCD" w:rsidRDefault="00D5078E" w:rsidP="00D5078E">
            <w:pPr>
              <w:spacing w:line="240" w:lineRule="auto"/>
              <w:jc w:val="center"/>
            </w:pPr>
            <w:r w:rsidRPr="00CB4FCD">
              <w:t>0.655</w:t>
            </w:r>
          </w:p>
        </w:tc>
        <w:tc>
          <w:tcPr>
            <w:tcW w:w="1725" w:type="dxa"/>
            <w:tcBorders>
              <w:top w:val="nil"/>
              <w:left w:val="nil"/>
              <w:right w:val="nil"/>
            </w:tcBorders>
            <w:shd w:val="clear" w:color="auto" w:fill="auto"/>
            <w:noWrap/>
            <w:vAlign w:val="bottom"/>
          </w:tcPr>
          <w:p w14:paraId="78D4B107" w14:textId="77777777" w:rsidR="00D5078E" w:rsidRPr="00CB4FCD" w:rsidRDefault="00D5078E" w:rsidP="00D5078E">
            <w:pPr>
              <w:spacing w:line="240" w:lineRule="auto"/>
              <w:jc w:val="center"/>
            </w:pPr>
            <w:r w:rsidRPr="00CB4FCD">
              <w:t>0.669</w:t>
            </w:r>
          </w:p>
        </w:tc>
        <w:tc>
          <w:tcPr>
            <w:tcW w:w="1725" w:type="dxa"/>
            <w:tcBorders>
              <w:top w:val="nil"/>
              <w:left w:val="nil"/>
              <w:right w:val="nil"/>
            </w:tcBorders>
            <w:shd w:val="clear" w:color="auto" w:fill="auto"/>
            <w:noWrap/>
          </w:tcPr>
          <w:p w14:paraId="129863A4" w14:textId="77777777" w:rsidR="00D5078E" w:rsidRPr="00CB4FCD" w:rsidRDefault="00D5078E" w:rsidP="00D5078E">
            <w:pPr>
              <w:spacing w:line="240" w:lineRule="auto"/>
              <w:jc w:val="center"/>
            </w:pPr>
          </w:p>
        </w:tc>
        <w:tc>
          <w:tcPr>
            <w:tcW w:w="1724" w:type="dxa"/>
            <w:tcBorders>
              <w:top w:val="nil"/>
              <w:left w:val="nil"/>
              <w:right w:val="nil"/>
            </w:tcBorders>
            <w:shd w:val="clear" w:color="auto" w:fill="auto"/>
            <w:noWrap/>
          </w:tcPr>
          <w:p w14:paraId="7B33350F" w14:textId="77777777" w:rsidR="00D5078E" w:rsidRPr="00CB4FCD" w:rsidRDefault="00D5078E" w:rsidP="00D5078E">
            <w:pPr>
              <w:spacing w:line="240" w:lineRule="auto"/>
              <w:jc w:val="center"/>
              <w:rPr>
                <w:lang w:eastAsia="es-ES"/>
              </w:rPr>
            </w:pPr>
            <w:r w:rsidRPr="00CB4FCD">
              <w:rPr>
                <w:lang w:eastAsia="es-ES"/>
              </w:rPr>
              <w:t>0.646</w:t>
            </w:r>
          </w:p>
        </w:tc>
        <w:tc>
          <w:tcPr>
            <w:tcW w:w="1725" w:type="dxa"/>
            <w:tcBorders>
              <w:top w:val="nil"/>
              <w:left w:val="nil"/>
              <w:right w:val="nil"/>
            </w:tcBorders>
            <w:shd w:val="clear" w:color="auto" w:fill="auto"/>
            <w:noWrap/>
          </w:tcPr>
          <w:p w14:paraId="76878046" w14:textId="77777777" w:rsidR="00D5078E" w:rsidRPr="00CB4FCD" w:rsidRDefault="00D5078E" w:rsidP="00D5078E">
            <w:pPr>
              <w:spacing w:line="240" w:lineRule="auto"/>
              <w:jc w:val="center"/>
            </w:pPr>
          </w:p>
        </w:tc>
        <w:tc>
          <w:tcPr>
            <w:tcW w:w="1725" w:type="dxa"/>
            <w:tcBorders>
              <w:top w:val="nil"/>
              <w:left w:val="nil"/>
              <w:right w:val="nil"/>
            </w:tcBorders>
          </w:tcPr>
          <w:p w14:paraId="4750F923" w14:textId="77777777" w:rsidR="00D5078E" w:rsidRPr="00CB4FCD" w:rsidRDefault="00D5078E" w:rsidP="00D5078E">
            <w:pPr>
              <w:spacing w:line="240" w:lineRule="auto"/>
              <w:jc w:val="center"/>
            </w:pPr>
          </w:p>
        </w:tc>
      </w:tr>
      <w:tr w:rsidR="00D5078E" w:rsidRPr="00CB4FCD" w14:paraId="561E29D5" w14:textId="77777777" w:rsidTr="00D5078E">
        <w:trPr>
          <w:trHeight w:val="263"/>
        </w:trPr>
        <w:tc>
          <w:tcPr>
            <w:tcW w:w="3686" w:type="dxa"/>
            <w:tcBorders>
              <w:top w:val="nil"/>
              <w:left w:val="nil"/>
              <w:right w:val="nil"/>
            </w:tcBorders>
            <w:shd w:val="clear" w:color="auto" w:fill="auto"/>
            <w:noWrap/>
            <w:vAlign w:val="bottom"/>
          </w:tcPr>
          <w:p w14:paraId="2D0C5980" w14:textId="77777777" w:rsidR="00D5078E" w:rsidRPr="00CB4FCD" w:rsidRDefault="00D5078E" w:rsidP="00D5078E">
            <w:pPr>
              <w:spacing w:line="240" w:lineRule="auto"/>
            </w:pPr>
            <w:r w:rsidRPr="00CB4FCD">
              <w:t>Arellano-Bond test for AR in first differences (</w:t>
            </w:r>
            <w:r w:rsidRPr="00CB4FCD">
              <w:rPr>
                <w:i/>
              </w:rPr>
              <w:t>z</w:t>
            </w:r>
            <w:r w:rsidRPr="00CB4FCD">
              <w:t xml:space="preserve"> value)</w:t>
            </w:r>
          </w:p>
        </w:tc>
        <w:tc>
          <w:tcPr>
            <w:tcW w:w="1724" w:type="dxa"/>
            <w:tcBorders>
              <w:top w:val="nil"/>
              <w:left w:val="nil"/>
              <w:right w:val="nil"/>
            </w:tcBorders>
            <w:shd w:val="clear" w:color="auto" w:fill="auto"/>
            <w:noWrap/>
          </w:tcPr>
          <w:p w14:paraId="4DD25D7D" w14:textId="77777777" w:rsidR="00D5078E" w:rsidRPr="00CB4FCD" w:rsidRDefault="00D5078E" w:rsidP="00D5078E">
            <w:pPr>
              <w:spacing w:line="240" w:lineRule="auto"/>
              <w:jc w:val="center"/>
            </w:pPr>
          </w:p>
        </w:tc>
        <w:tc>
          <w:tcPr>
            <w:tcW w:w="1725" w:type="dxa"/>
            <w:tcBorders>
              <w:top w:val="nil"/>
              <w:left w:val="nil"/>
              <w:right w:val="nil"/>
            </w:tcBorders>
            <w:shd w:val="clear" w:color="auto" w:fill="auto"/>
            <w:noWrap/>
          </w:tcPr>
          <w:p w14:paraId="1A596405" w14:textId="77777777" w:rsidR="00D5078E" w:rsidRPr="00CB4FCD" w:rsidRDefault="00D5078E" w:rsidP="00D5078E">
            <w:pPr>
              <w:spacing w:line="240" w:lineRule="auto"/>
              <w:jc w:val="center"/>
            </w:pPr>
          </w:p>
        </w:tc>
        <w:tc>
          <w:tcPr>
            <w:tcW w:w="1725" w:type="dxa"/>
            <w:tcBorders>
              <w:top w:val="nil"/>
              <w:left w:val="nil"/>
              <w:right w:val="nil"/>
            </w:tcBorders>
            <w:shd w:val="clear" w:color="auto" w:fill="auto"/>
            <w:noWrap/>
          </w:tcPr>
          <w:p w14:paraId="725EE4F6" w14:textId="77777777" w:rsidR="00D5078E" w:rsidRPr="00CB4FCD" w:rsidRDefault="00D5078E" w:rsidP="00D5078E">
            <w:pPr>
              <w:spacing w:line="240" w:lineRule="auto"/>
              <w:jc w:val="center"/>
            </w:pPr>
          </w:p>
        </w:tc>
        <w:tc>
          <w:tcPr>
            <w:tcW w:w="1724" w:type="dxa"/>
            <w:tcBorders>
              <w:top w:val="nil"/>
              <w:left w:val="nil"/>
              <w:right w:val="nil"/>
            </w:tcBorders>
            <w:shd w:val="clear" w:color="auto" w:fill="auto"/>
            <w:noWrap/>
          </w:tcPr>
          <w:p w14:paraId="3D82A6B5" w14:textId="77777777" w:rsidR="00D5078E" w:rsidRPr="00CB4FCD" w:rsidRDefault="00D5078E" w:rsidP="00D5078E">
            <w:pPr>
              <w:spacing w:line="240" w:lineRule="auto"/>
              <w:jc w:val="center"/>
            </w:pPr>
          </w:p>
        </w:tc>
        <w:tc>
          <w:tcPr>
            <w:tcW w:w="1725" w:type="dxa"/>
            <w:tcBorders>
              <w:top w:val="nil"/>
              <w:left w:val="nil"/>
              <w:right w:val="nil"/>
            </w:tcBorders>
            <w:shd w:val="clear" w:color="auto" w:fill="auto"/>
            <w:noWrap/>
          </w:tcPr>
          <w:p w14:paraId="5842329D" w14:textId="77777777" w:rsidR="00D5078E" w:rsidRPr="00CB4FCD" w:rsidRDefault="00D5078E" w:rsidP="00D5078E">
            <w:pPr>
              <w:spacing w:line="240" w:lineRule="auto"/>
              <w:jc w:val="center"/>
            </w:pPr>
          </w:p>
        </w:tc>
        <w:tc>
          <w:tcPr>
            <w:tcW w:w="1725" w:type="dxa"/>
            <w:tcBorders>
              <w:top w:val="nil"/>
              <w:left w:val="nil"/>
              <w:right w:val="nil"/>
            </w:tcBorders>
          </w:tcPr>
          <w:p w14:paraId="7E9C8819" w14:textId="77777777" w:rsidR="00D5078E" w:rsidRPr="00CB4FCD" w:rsidRDefault="00D5078E" w:rsidP="00D5078E">
            <w:pPr>
              <w:spacing w:line="240" w:lineRule="auto"/>
              <w:jc w:val="center"/>
            </w:pPr>
          </w:p>
        </w:tc>
      </w:tr>
      <w:tr w:rsidR="00D5078E" w:rsidRPr="00CB4FCD" w14:paraId="29515CF7" w14:textId="77777777" w:rsidTr="00D5078E">
        <w:trPr>
          <w:trHeight w:val="263"/>
        </w:trPr>
        <w:tc>
          <w:tcPr>
            <w:tcW w:w="3686" w:type="dxa"/>
            <w:tcBorders>
              <w:top w:val="nil"/>
              <w:left w:val="nil"/>
              <w:right w:val="nil"/>
            </w:tcBorders>
            <w:shd w:val="clear" w:color="auto" w:fill="auto"/>
            <w:noWrap/>
            <w:vAlign w:val="bottom"/>
          </w:tcPr>
          <w:p w14:paraId="5E37A8DE" w14:textId="77777777" w:rsidR="00D5078E" w:rsidRPr="00CB4FCD" w:rsidRDefault="00D5078E" w:rsidP="00D5078E">
            <w:pPr>
              <w:tabs>
                <w:tab w:val="left" w:pos="601"/>
              </w:tabs>
              <w:spacing w:line="240" w:lineRule="auto"/>
            </w:pPr>
            <w:r w:rsidRPr="00CB4FCD">
              <w:t xml:space="preserve">     </w:t>
            </w:r>
            <w:proofErr w:type="gramStart"/>
            <w:r w:rsidRPr="00CB4FCD">
              <w:t>AR(</w:t>
            </w:r>
            <w:proofErr w:type="gramEnd"/>
            <w:r w:rsidRPr="00CB4FCD">
              <w:t>1)</w:t>
            </w:r>
          </w:p>
          <w:p w14:paraId="18563A59" w14:textId="77777777" w:rsidR="00D5078E" w:rsidRPr="00CB4FCD" w:rsidRDefault="00D5078E" w:rsidP="00D5078E">
            <w:pPr>
              <w:spacing w:line="240" w:lineRule="auto"/>
            </w:pPr>
            <w:r w:rsidRPr="00CB4FCD">
              <w:t xml:space="preserve">    AR</w:t>
            </w:r>
            <w:r>
              <w:t xml:space="preserve"> </w:t>
            </w:r>
            <w:r w:rsidRPr="00CB4FCD">
              <w:t>(2)</w:t>
            </w:r>
          </w:p>
        </w:tc>
        <w:tc>
          <w:tcPr>
            <w:tcW w:w="1724" w:type="dxa"/>
            <w:tcBorders>
              <w:top w:val="nil"/>
              <w:left w:val="nil"/>
              <w:right w:val="nil"/>
            </w:tcBorders>
            <w:shd w:val="clear" w:color="auto" w:fill="auto"/>
            <w:noWrap/>
          </w:tcPr>
          <w:p w14:paraId="3F0918D0" w14:textId="77777777" w:rsidR="00D5078E" w:rsidRPr="00CB4FCD" w:rsidRDefault="00D5078E" w:rsidP="00D5078E">
            <w:pPr>
              <w:spacing w:line="240" w:lineRule="auto"/>
              <w:jc w:val="center"/>
            </w:pPr>
          </w:p>
        </w:tc>
        <w:tc>
          <w:tcPr>
            <w:tcW w:w="1725" w:type="dxa"/>
            <w:tcBorders>
              <w:top w:val="nil"/>
              <w:left w:val="nil"/>
              <w:right w:val="nil"/>
            </w:tcBorders>
            <w:shd w:val="clear" w:color="auto" w:fill="auto"/>
            <w:noWrap/>
          </w:tcPr>
          <w:p w14:paraId="5B09AB0B" w14:textId="77777777" w:rsidR="00D5078E" w:rsidRPr="00CB4FCD" w:rsidRDefault="00D5078E" w:rsidP="00D5078E">
            <w:pPr>
              <w:spacing w:line="240" w:lineRule="auto"/>
              <w:jc w:val="center"/>
            </w:pPr>
          </w:p>
        </w:tc>
        <w:tc>
          <w:tcPr>
            <w:tcW w:w="1725" w:type="dxa"/>
            <w:tcBorders>
              <w:top w:val="nil"/>
              <w:left w:val="nil"/>
              <w:right w:val="nil"/>
            </w:tcBorders>
            <w:shd w:val="clear" w:color="auto" w:fill="auto"/>
            <w:noWrap/>
          </w:tcPr>
          <w:p w14:paraId="1CF3A9C7" w14:textId="77777777" w:rsidR="00D5078E" w:rsidRPr="00CB4FCD" w:rsidRDefault="00D5078E" w:rsidP="00D5078E">
            <w:pPr>
              <w:spacing w:line="240" w:lineRule="auto"/>
              <w:jc w:val="center"/>
            </w:pPr>
          </w:p>
        </w:tc>
        <w:tc>
          <w:tcPr>
            <w:tcW w:w="1724" w:type="dxa"/>
            <w:tcBorders>
              <w:top w:val="nil"/>
              <w:left w:val="nil"/>
              <w:right w:val="nil"/>
            </w:tcBorders>
            <w:shd w:val="clear" w:color="auto" w:fill="auto"/>
            <w:noWrap/>
          </w:tcPr>
          <w:p w14:paraId="4AC4F688" w14:textId="77777777" w:rsidR="00D5078E" w:rsidRPr="00CB4FCD" w:rsidRDefault="00D5078E" w:rsidP="00D5078E">
            <w:pPr>
              <w:spacing w:line="240" w:lineRule="auto"/>
              <w:jc w:val="center"/>
            </w:pPr>
          </w:p>
        </w:tc>
        <w:tc>
          <w:tcPr>
            <w:tcW w:w="1725" w:type="dxa"/>
            <w:tcBorders>
              <w:top w:val="nil"/>
              <w:left w:val="nil"/>
              <w:right w:val="nil"/>
            </w:tcBorders>
            <w:shd w:val="clear" w:color="auto" w:fill="auto"/>
            <w:noWrap/>
          </w:tcPr>
          <w:p w14:paraId="0132A4F0" w14:textId="77777777" w:rsidR="00D5078E" w:rsidRPr="00CB4FCD" w:rsidRDefault="00D5078E" w:rsidP="00D5078E">
            <w:pPr>
              <w:spacing w:line="240" w:lineRule="auto"/>
              <w:jc w:val="center"/>
            </w:pPr>
            <w:r w:rsidRPr="00CB4FCD">
              <w:t>-2.70***</w:t>
            </w:r>
          </w:p>
          <w:p w14:paraId="0EEE4363" w14:textId="77777777" w:rsidR="00D5078E" w:rsidRPr="00CB4FCD" w:rsidRDefault="00D5078E" w:rsidP="00D5078E">
            <w:pPr>
              <w:spacing w:line="240" w:lineRule="auto"/>
              <w:jc w:val="center"/>
            </w:pPr>
            <w:r w:rsidRPr="00CB4FCD">
              <w:t>0.71</w:t>
            </w:r>
          </w:p>
        </w:tc>
        <w:tc>
          <w:tcPr>
            <w:tcW w:w="1725" w:type="dxa"/>
            <w:tcBorders>
              <w:top w:val="nil"/>
              <w:left w:val="nil"/>
              <w:right w:val="nil"/>
            </w:tcBorders>
          </w:tcPr>
          <w:p w14:paraId="659BE948" w14:textId="77777777" w:rsidR="00D5078E" w:rsidRPr="00CB4FCD" w:rsidRDefault="00D5078E" w:rsidP="00D5078E">
            <w:pPr>
              <w:spacing w:line="240" w:lineRule="auto"/>
              <w:jc w:val="center"/>
            </w:pPr>
          </w:p>
        </w:tc>
      </w:tr>
      <w:tr w:rsidR="00D5078E" w:rsidRPr="00CB4FCD" w14:paraId="3C0C0CA4" w14:textId="77777777" w:rsidTr="00D5078E">
        <w:trPr>
          <w:trHeight w:val="263"/>
        </w:trPr>
        <w:tc>
          <w:tcPr>
            <w:tcW w:w="3686" w:type="dxa"/>
            <w:tcBorders>
              <w:top w:val="nil"/>
              <w:left w:val="nil"/>
              <w:right w:val="nil"/>
            </w:tcBorders>
            <w:shd w:val="clear" w:color="auto" w:fill="auto"/>
            <w:noWrap/>
            <w:vAlign w:val="bottom"/>
          </w:tcPr>
          <w:p w14:paraId="31683DCF" w14:textId="77777777" w:rsidR="00D5078E" w:rsidRPr="00CB4FCD" w:rsidRDefault="00D5078E" w:rsidP="00D5078E">
            <w:pPr>
              <w:spacing w:line="240" w:lineRule="auto"/>
            </w:pPr>
            <w:r w:rsidRPr="00CB4FCD">
              <w:t xml:space="preserve">Test of overriding </w:t>
            </w:r>
            <w:proofErr w:type="gramStart"/>
            <w:r w:rsidRPr="00CB4FCD">
              <w:t>restrictions:chi</w:t>
            </w:r>
            <w:proofErr w:type="gramEnd"/>
            <w:r w:rsidRPr="00CB4FCD">
              <w:t>2(61)</w:t>
            </w:r>
          </w:p>
          <w:p w14:paraId="0717EC05" w14:textId="77777777" w:rsidR="00D5078E" w:rsidRPr="00CB4FCD" w:rsidRDefault="00D5078E" w:rsidP="00D5078E">
            <w:pPr>
              <w:spacing w:line="240" w:lineRule="auto"/>
            </w:pPr>
            <w:r w:rsidRPr="00CB4FCD">
              <w:t xml:space="preserve">      </w:t>
            </w:r>
            <w:proofErr w:type="spellStart"/>
            <w:r w:rsidRPr="00CB4FCD">
              <w:t>Sargan</w:t>
            </w:r>
            <w:proofErr w:type="spellEnd"/>
            <w:r w:rsidRPr="00CB4FCD">
              <w:t xml:space="preserve"> </w:t>
            </w:r>
          </w:p>
          <w:p w14:paraId="3BC629AC" w14:textId="77777777" w:rsidR="00D5078E" w:rsidRPr="00CB4FCD" w:rsidRDefault="00D5078E" w:rsidP="00D5078E">
            <w:pPr>
              <w:spacing w:line="240" w:lineRule="auto"/>
            </w:pPr>
            <w:r w:rsidRPr="00CB4FCD">
              <w:t xml:space="preserve">      Hansen</w:t>
            </w:r>
          </w:p>
        </w:tc>
        <w:tc>
          <w:tcPr>
            <w:tcW w:w="1724" w:type="dxa"/>
            <w:tcBorders>
              <w:top w:val="nil"/>
              <w:left w:val="nil"/>
              <w:right w:val="nil"/>
            </w:tcBorders>
            <w:shd w:val="clear" w:color="auto" w:fill="auto"/>
            <w:noWrap/>
          </w:tcPr>
          <w:p w14:paraId="3C398B9E" w14:textId="77777777" w:rsidR="00D5078E" w:rsidRPr="00CB4FCD" w:rsidRDefault="00D5078E" w:rsidP="00D5078E">
            <w:pPr>
              <w:spacing w:line="240" w:lineRule="auto"/>
              <w:jc w:val="center"/>
            </w:pPr>
          </w:p>
        </w:tc>
        <w:tc>
          <w:tcPr>
            <w:tcW w:w="1725" w:type="dxa"/>
            <w:tcBorders>
              <w:top w:val="nil"/>
              <w:left w:val="nil"/>
              <w:right w:val="nil"/>
            </w:tcBorders>
            <w:shd w:val="clear" w:color="auto" w:fill="auto"/>
            <w:noWrap/>
          </w:tcPr>
          <w:p w14:paraId="06AE07F7" w14:textId="77777777" w:rsidR="00D5078E" w:rsidRPr="00CB4FCD" w:rsidRDefault="00D5078E" w:rsidP="00D5078E">
            <w:pPr>
              <w:spacing w:line="240" w:lineRule="auto"/>
              <w:jc w:val="center"/>
            </w:pPr>
          </w:p>
        </w:tc>
        <w:tc>
          <w:tcPr>
            <w:tcW w:w="1725" w:type="dxa"/>
            <w:tcBorders>
              <w:top w:val="nil"/>
              <w:left w:val="nil"/>
              <w:right w:val="nil"/>
            </w:tcBorders>
            <w:shd w:val="clear" w:color="auto" w:fill="auto"/>
            <w:noWrap/>
          </w:tcPr>
          <w:p w14:paraId="5D7440DB" w14:textId="77777777" w:rsidR="00D5078E" w:rsidRPr="00CB4FCD" w:rsidRDefault="00D5078E" w:rsidP="00D5078E">
            <w:pPr>
              <w:spacing w:line="240" w:lineRule="auto"/>
              <w:jc w:val="center"/>
            </w:pPr>
          </w:p>
        </w:tc>
        <w:tc>
          <w:tcPr>
            <w:tcW w:w="1724" w:type="dxa"/>
            <w:tcBorders>
              <w:top w:val="nil"/>
              <w:left w:val="nil"/>
              <w:right w:val="nil"/>
            </w:tcBorders>
            <w:shd w:val="clear" w:color="auto" w:fill="auto"/>
            <w:noWrap/>
          </w:tcPr>
          <w:p w14:paraId="4FE8FF41" w14:textId="77777777" w:rsidR="00D5078E" w:rsidRPr="00CB4FCD" w:rsidRDefault="00D5078E" w:rsidP="00D5078E">
            <w:pPr>
              <w:spacing w:line="240" w:lineRule="auto"/>
              <w:jc w:val="center"/>
            </w:pPr>
          </w:p>
        </w:tc>
        <w:tc>
          <w:tcPr>
            <w:tcW w:w="1725" w:type="dxa"/>
            <w:tcBorders>
              <w:top w:val="nil"/>
              <w:left w:val="nil"/>
              <w:right w:val="nil"/>
            </w:tcBorders>
            <w:shd w:val="clear" w:color="auto" w:fill="auto"/>
            <w:noWrap/>
          </w:tcPr>
          <w:p w14:paraId="38953775" w14:textId="77777777" w:rsidR="00D5078E" w:rsidRPr="00CB4FCD" w:rsidRDefault="00D5078E" w:rsidP="00D5078E">
            <w:pPr>
              <w:spacing w:line="240" w:lineRule="auto"/>
              <w:jc w:val="center"/>
            </w:pPr>
          </w:p>
          <w:p w14:paraId="4F7D4AFC" w14:textId="77777777" w:rsidR="00D5078E" w:rsidRPr="00CB4FCD" w:rsidRDefault="00D5078E" w:rsidP="00D5078E">
            <w:pPr>
              <w:spacing w:line="240" w:lineRule="auto"/>
              <w:jc w:val="center"/>
            </w:pPr>
            <w:r w:rsidRPr="00CB4FCD">
              <w:t>38.25</w:t>
            </w:r>
          </w:p>
          <w:p w14:paraId="14B28A54" w14:textId="77777777" w:rsidR="00D5078E" w:rsidRPr="00CB4FCD" w:rsidRDefault="00D5078E" w:rsidP="00D5078E">
            <w:pPr>
              <w:spacing w:line="240" w:lineRule="auto"/>
              <w:jc w:val="center"/>
            </w:pPr>
            <w:r w:rsidRPr="00CB4FCD">
              <w:t>44.60</w:t>
            </w:r>
          </w:p>
        </w:tc>
        <w:tc>
          <w:tcPr>
            <w:tcW w:w="1725" w:type="dxa"/>
            <w:tcBorders>
              <w:top w:val="nil"/>
              <w:left w:val="nil"/>
              <w:right w:val="nil"/>
            </w:tcBorders>
          </w:tcPr>
          <w:p w14:paraId="207177C2" w14:textId="77777777" w:rsidR="00D5078E" w:rsidRPr="00CB4FCD" w:rsidRDefault="00D5078E" w:rsidP="00D5078E">
            <w:pPr>
              <w:spacing w:line="240" w:lineRule="auto"/>
              <w:jc w:val="center"/>
            </w:pPr>
          </w:p>
        </w:tc>
      </w:tr>
      <w:tr w:rsidR="00D5078E" w:rsidRPr="00CB4FCD" w14:paraId="6864F9FD" w14:textId="77777777" w:rsidTr="00D5078E">
        <w:trPr>
          <w:trHeight w:val="263"/>
        </w:trPr>
        <w:tc>
          <w:tcPr>
            <w:tcW w:w="3686" w:type="dxa"/>
            <w:tcBorders>
              <w:left w:val="nil"/>
              <w:bottom w:val="single" w:sz="4" w:space="0" w:color="auto"/>
              <w:right w:val="nil"/>
            </w:tcBorders>
            <w:shd w:val="clear" w:color="auto" w:fill="auto"/>
            <w:noWrap/>
            <w:vAlign w:val="bottom"/>
          </w:tcPr>
          <w:p w14:paraId="354DCE23" w14:textId="77777777" w:rsidR="00D5078E" w:rsidRPr="00CB4FCD" w:rsidRDefault="00D5078E" w:rsidP="00D5078E">
            <w:pPr>
              <w:spacing w:line="240" w:lineRule="auto"/>
            </w:pPr>
            <w:r w:rsidRPr="00CB4FCD">
              <w:t>Wald Test of Exogeneity (</w:t>
            </w:r>
            <w:r w:rsidRPr="00CB4FCD">
              <w:rPr>
                <w:i/>
              </w:rPr>
              <w:t>p</w:t>
            </w:r>
            <w:r w:rsidRPr="00CB4FCD">
              <w:t xml:space="preserve"> value)</w:t>
            </w:r>
          </w:p>
        </w:tc>
        <w:tc>
          <w:tcPr>
            <w:tcW w:w="1724" w:type="dxa"/>
            <w:tcBorders>
              <w:left w:val="nil"/>
              <w:bottom w:val="single" w:sz="4" w:space="0" w:color="auto"/>
              <w:right w:val="nil"/>
            </w:tcBorders>
            <w:shd w:val="clear" w:color="auto" w:fill="auto"/>
            <w:noWrap/>
          </w:tcPr>
          <w:p w14:paraId="04E9F766" w14:textId="77777777" w:rsidR="00D5078E" w:rsidRPr="00CB4FCD" w:rsidRDefault="00D5078E" w:rsidP="00D5078E">
            <w:pPr>
              <w:spacing w:line="240" w:lineRule="auto"/>
              <w:jc w:val="center"/>
            </w:pPr>
          </w:p>
        </w:tc>
        <w:tc>
          <w:tcPr>
            <w:tcW w:w="1725" w:type="dxa"/>
            <w:tcBorders>
              <w:left w:val="nil"/>
              <w:bottom w:val="single" w:sz="4" w:space="0" w:color="auto"/>
              <w:right w:val="nil"/>
            </w:tcBorders>
            <w:shd w:val="clear" w:color="auto" w:fill="auto"/>
            <w:noWrap/>
          </w:tcPr>
          <w:p w14:paraId="1EC4C000" w14:textId="77777777" w:rsidR="00D5078E" w:rsidRPr="00CB4FCD" w:rsidRDefault="00D5078E" w:rsidP="00D5078E">
            <w:pPr>
              <w:spacing w:line="240" w:lineRule="auto"/>
              <w:jc w:val="center"/>
            </w:pPr>
          </w:p>
        </w:tc>
        <w:tc>
          <w:tcPr>
            <w:tcW w:w="1725" w:type="dxa"/>
            <w:tcBorders>
              <w:left w:val="nil"/>
              <w:bottom w:val="single" w:sz="4" w:space="0" w:color="auto"/>
              <w:right w:val="nil"/>
            </w:tcBorders>
            <w:shd w:val="clear" w:color="auto" w:fill="auto"/>
            <w:noWrap/>
          </w:tcPr>
          <w:p w14:paraId="7D067F76" w14:textId="77777777" w:rsidR="00D5078E" w:rsidRPr="00CB4FCD" w:rsidRDefault="00D5078E" w:rsidP="00D5078E">
            <w:pPr>
              <w:spacing w:line="240" w:lineRule="auto"/>
              <w:jc w:val="center"/>
            </w:pPr>
          </w:p>
        </w:tc>
        <w:tc>
          <w:tcPr>
            <w:tcW w:w="1724" w:type="dxa"/>
            <w:tcBorders>
              <w:left w:val="nil"/>
              <w:bottom w:val="single" w:sz="4" w:space="0" w:color="auto"/>
              <w:right w:val="nil"/>
            </w:tcBorders>
            <w:shd w:val="clear" w:color="auto" w:fill="auto"/>
            <w:noWrap/>
          </w:tcPr>
          <w:p w14:paraId="7D54CC4C" w14:textId="77777777" w:rsidR="00D5078E" w:rsidRPr="00CB4FCD" w:rsidRDefault="00D5078E" w:rsidP="00D5078E">
            <w:pPr>
              <w:spacing w:line="240" w:lineRule="auto"/>
              <w:jc w:val="center"/>
            </w:pPr>
          </w:p>
        </w:tc>
        <w:tc>
          <w:tcPr>
            <w:tcW w:w="1725" w:type="dxa"/>
            <w:tcBorders>
              <w:left w:val="nil"/>
              <w:bottom w:val="single" w:sz="4" w:space="0" w:color="auto"/>
              <w:right w:val="nil"/>
            </w:tcBorders>
            <w:shd w:val="clear" w:color="auto" w:fill="auto"/>
            <w:noWrap/>
          </w:tcPr>
          <w:p w14:paraId="392E7852" w14:textId="77777777" w:rsidR="00D5078E" w:rsidRPr="00CB4FCD" w:rsidRDefault="00D5078E" w:rsidP="00D5078E">
            <w:pPr>
              <w:spacing w:line="240" w:lineRule="auto"/>
              <w:jc w:val="center"/>
            </w:pPr>
          </w:p>
        </w:tc>
        <w:tc>
          <w:tcPr>
            <w:tcW w:w="1725" w:type="dxa"/>
            <w:tcBorders>
              <w:left w:val="nil"/>
              <w:bottom w:val="single" w:sz="4" w:space="0" w:color="auto"/>
              <w:right w:val="nil"/>
            </w:tcBorders>
          </w:tcPr>
          <w:p w14:paraId="46CAAD3E" w14:textId="77777777" w:rsidR="00D5078E" w:rsidRPr="00CB4FCD" w:rsidRDefault="00D5078E" w:rsidP="00D5078E">
            <w:pPr>
              <w:spacing w:line="240" w:lineRule="auto"/>
              <w:jc w:val="center"/>
            </w:pPr>
            <w:r w:rsidRPr="00CB4FCD">
              <w:t>0. 6763</w:t>
            </w:r>
          </w:p>
        </w:tc>
      </w:tr>
    </w:tbl>
    <w:p w14:paraId="04D75048" w14:textId="11754452" w:rsidR="00D5078E" w:rsidRDefault="00D5078E" w:rsidP="00D5078E">
      <w:pPr>
        <w:widowControl w:val="0"/>
        <w:autoSpaceDE w:val="0"/>
        <w:autoSpaceDN w:val="0"/>
        <w:adjustRightInd w:val="0"/>
        <w:spacing w:line="240" w:lineRule="auto"/>
      </w:pPr>
      <w:r w:rsidRPr="00CB4FCD">
        <w:t>Note: Robust standard errors clustered on country in parentheses. Rob</w:t>
      </w:r>
      <w:r>
        <w:t>ust standard errors in Column 8</w:t>
      </w:r>
      <w:r w:rsidRPr="00CB4FCD">
        <w:t xml:space="preserve"> are not clustered, constant omitted. Statistical significance indicated as *** p&lt;0.01, ** p&lt;0.05, * p&lt;0.1. </w:t>
      </w:r>
      <w:r>
        <w:t>In column 4</w:t>
      </w:r>
      <w:r w:rsidRPr="00CB4FCD">
        <w:t xml:space="preserve">, regional effects are included but not reported. </w:t>
      </w:r>
      <w:r>
        <w:t>In Column 7</w:t>
      </w:r>
      <w:r w:rsidRPr="00CB4FCD">
        <w:t>, the interaction is with remittances lagged 5 years,</w:t>
      </w:r>
      <w:r>
        <w:t xml:space="preserve"> and CBI is lagged 5 years</w:t>
      </w:r>
      <w:r w:rsidR="000174FA">
        <w:t xml:space="preserve"> as well</w:t>
      </w:r>
      <w:r w:rsidRPr="00CB4FCD">
        <w:t>.</w:t>
      </w:r>
      <w:r>
        <w:t xml:space="preserve"> In column 9, we use remittances as % of GDP.</w:t>
      </w:r>
    </w:p>
    <w:p w14:paraId="532F86D0" w14:textId="77777777" w:rsidR="00D5078E" w:rsidRPr="001612B4" w:rsidRDefault="00D5078E" w:rsidP="00D5078E"/>
    <w:p w14:paraId="303517A8" w14:textId="77777777" w:rsidR="006E613F" w:rsidRPr="00CB4FCD" w:rsidRDefault="006E613F" w:rsidP="006E613F">
      <w:pPr>
        <w:spacing w:line="240" w:lineRule="auto"/>
        <w:rPr>
          <w:b/>
        </w:rPr>
      </w:pPr>
    </w:p>
    <w:p w14:paraId="41F21FB8" w14:textId="77777777" w:rsidR="00D5078E" w:rsidRDefault="00D5078E" w:rsidP="006E613F">
      <w:pPr>
        <w:spacing w:line="240" w:lineRule="auto"/>
        <w:rPr>
          <w:b/>
        </w:rPr>
        <w:sectPr w:rsidR="00D5078E" w:rsidSect="00D5078E">
          <w:pgSz w:w="16840" w:h="11901" w:orient="landscape" w:code="9"/>
          <w:pgMar w:top="1701" w:right="1418" w:bottom="1701" w:left="1418" w:header="709" w:footer="709" w:gutter="0"/>
          <w:cols w:space="708"/>
          <w:docGrid w:linePitch="360"/>
        </w:sectPr>
      </w:pPr>
    </w:p>
    <w:p w14:paraId="0046CE77" w14:textId="4D1A2CE5" w:rsidR="006E613F" w:rsidRPr="00CB4FCD" w:rsidRDefault="006E613F" w:rsidP="006E613F">
      <w:pPr>
        <w:pStyle w:val="Figurecaption"/>
      </w:pPr>
      <w:r>
        <w:lastRenderedPageBreak/>
        <w:t>Figure 1</w:t>
      </w:r>
      <w:r w:rsidRPr="00CB4FCD">
        <w:t>: Central bank independence in developing countries, by regime type (1981–2010)</w:t>
      </w:r>
    </w:p>
    <w:p w14:paraId="376B6BF8" w14:textId="77777777" w:rsidR="006E613F" w:rsidRDefault="006E613F" w:rsidP="006E613F">
      <w:pPr>
        <w:spacing w:line="240" w:lineRule="auto"/>
        <w:rPr>
          <w:b/>
        </w:rPr>
      </w:pPr>
    </w:p>
    <w:p w14:paraId="00393B6A" w14:textId="77777777" w:rsidR="006E613F" w:rsidRPr="00CB4FCD" w:rsidRDefault="006E613F" w:rsidP="006E613F">
      <w:pPr>
        <w:spacing w:line="240" w:lineRule="auto"/>
        <w:rPr>
          <w:b/>
        </w:rPr>
      </w:pPr>
    </w:p>
    <w:p w14:paraId="2F19E08A" w14:textId="77777777" w:rsidR="006E613F" w:rsidRPr="00CB4FCD" w:rsidRDefault="006E613F" w:rsidP="006E613F">
      <w:pPr>
        <w:spacing w:line="240" w:lineRule="auto"/>
        <w:rPr>
          <w:b/>
        </w:rPr>
      </w:pPr>
      <w:r w:rsidRPr="00CB4FCD">
        <w:rPr>
          <w:b/>
          <w:noProof/>
          <w:lang w:val="es-ES" w:eastAsia="es-ES"/>
        </w:rPr>
        <w:drawing>
          <wp:inline distT="0" distB="0" distL="0" distR="0" wp14:anchorId="56007718" wp14:editId="6AE5C3A9">
            <wp:extent cx="5029200" cy="3657600"/>
            <wp:effectExtent l="0" t="0" r="0" b="0"/>
            <wp:docPr id="1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0EC7CF06" w14:textId="77777777" w:rsidR="006E613F" w:rsidRPr="00CB4FCD" w:rsidRDefault="006E613F" w:rsidP="006E613F">
      <w:pPr>
        <w:spacing w:line="240" w:lineRule="auto"/>
        <w:rPr>
          <w:b/>
        </w:rPr>
      </w:pPr>
    </w:p>
    <w:p w14:paraId="225DD832" w14:textId="77777777" w:rsidR="006E613F" w:rsidRDefault="006E613F" w:rsidP="006E613F">
      <w:pPr>
        <w:spacing w:line="240" w:lineRule="auto"/>
        <w:rPr>
          <w:b/>
        </w:rPr>
      </w:pPr>
      <w:r w:rsidRPr="00CB4FCD">
        <w:rPr>
          <w:b/>
        </w:rPr>
        <w:br w:type="page"/>
      </w:r>
    </w:p>
    <w:p w14:paraId="60320C20" w14:textId="77777777" w:rsidR="006E613F" w:rsidRDefault="006E613F" w:rsidP="006E613F">
      <w:pPr>
        <w:pStyle w:val="Figurecaption"/>
      </w:pPr>
      <w:r>
        <w:lastRenderedPageBreak/>
        <w:t>Figure 2</w:t>
      </w:r>
      <w:r w:rsidRPr="00CB4FCD">
        <w:t>. Marginal effect of remittances on the probability of observing a fixed exchange rate and a floating exchange rate as CBI increases</w:t>
      </w:r>
    </w:p>
    <w:p w14:paraId="2EA90C67" w14:textId="77777777" w:rsidR="006E613F" w:rsidRDefault="006E613F" w:rsidP="006E613F"/>
    <w:p w14:paraId="264D9C6B" w14:textId="77777777" w:rsidR="006E613F" w:rsidRPr="006E613F" w:rsidRDefault="006E613F" w:rsidP="006E613F"/>
    <w:p w14:paraId="0137D559" w14:textId="77777777" w:rsidR="006E613F" w:rsidRPr="00CB4FCD" w:rsidRDefault="006E613F" w:rsidP="006E613F">
      <w:pPr>
        <w:jc w:val="center"/>
      </w:pPr>
      <w:r w:rsidRPr="00CB4FCD">
        <w:rPr>
          <w:noProof/>
          <w:lang w:val="es-ES" w:eastAsia="es-ES"/>
        </w:rPr>
        <w:drawing>
          <wp:inline distT="0" distB="0" distL="0" distR="0" wp14:anchorId="0B901DF0" wp14:editId="32D93743">
            <wp:extent cx="5029200" cy="3657600"/>
            <wp:effectExtent l="0" t="0" r="0" b="0"/>
            <wp:docPr id="2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7B18248" w14:textId="07B7FE19" w:rsidR="00F1519D" w:rsidRPr="00F1519D" w:rsidRDefault="00F1519D" w:rsidP="00F1519D">
      <w:bookmarkStart w:id="5" w:name="_GoBack"/>
      <w:bookmarkEnd w:id="5"/>
    </w:p>
    <w:sectPr w:rsidR="00F1519D" w:rsidRPr="00F1519D" w:rsidSect="00165A2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7BCC8" w14:textId="77777777" w:rsidR="008924AB" w:rsidRDefault="008924AB" w:rsidP="00AF2C92">
      <w:r>
        <w:separator/>
      </w:r>
    </w:p>
  </w:endnote>
  <w:endnote w:type="continuationSeparator" w:id="0">
    <w:p w14:paraId="083DB24E" w14:textId="77777777" w:rsidR="008924AB" w:rsidRDefault="008924A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A365" w14:textId="77777777" w:rsidR="00B00F9B" w:rsidRDefault="00B00F9B" w:rsidP="00A803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B3E47F" w14:textId="77777777" w:rsidR="00B00F9B" w:rsidRDefault="00B00F9B" w:rsidP="00A803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6732" w14:textId="09F94BC2" w:rsidR="00B00F9B" w:rsidRDefault="00B00F9B" w:rsidP="00A803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05DE">
      <w:rPr>
        <w:rStyle w:val="PageNumber"/>
        <w:noProof/>
      </w:rPr>
      <w:t>32</w:t>
    </w:r>
    <w:r>
      <w:rPr>
        <w:rStyle w:val="PageNumber"/>
      </w:rPr>
      <w:fldChar w:fldCharType="end"/>
    </w:r>
  </w:p>
  <w:p w14:paraId="46A56B47" w14:textId="77777777" w:rsidR="00B00F9B" w:rsidRDefault="00B00F9B" w:rsidP="00A803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D1ACF" w14:textId="77777777" w:rsidR="008924AB" w:rsidRDefault="008924AB" w:rsidP="00AF2C92">
      <w:r>
        <w:separator/>
      </w:r>
    </w:p>
  </w:footnote>
  <w:footnote w:type="continuationSeparator" w:id="0">
    <w:p w14:paraId="47B62633" w14:textId="77777777" w:rsidR="008924AB" w:rsidRDefault="008924AB" w:rsidP="00AF2C92">
      <w:r>
        <w:continuationSeparator/>
      </w:r>
    </w:p>
  </w:footnote>
  <w:footnote w:id="1">
    <w:p w14:paraId="355C0C1A" w14:textId="5ACAC6B1" w:rsidR="00B00F9B" w:rsidRPr="009838E9" w:rsidRDefault="00B00F9B" w:rsidP="00A803B0">
      <w:pPr>
        <w:pStyle w:val="Footnotes"/>
      </w:pPr>
      <w:r>
        <w:rPr>
          <w:rStyle w:val="FootnoteReference"/>
        </w:rPr>
        <w:footnoteRef/>
      </w:r>
      <w:r>
        <w:t xml:space="preserve"> We </w:t>
      </w:r>
      <w:proofErr w:type="gramStart"/>
      <w:r>
        <w:t>are able to</w:t>
      </w:r>
      <w:proofErr w:type="gramEnd"/>
      <w:r>
        <w:t xml:space="preserve"> examine </w:t>
      </w:r>
      <w:r w:rsidRPr="00140508">
        <w:t>empirical</w:t>
      </w:r>
      <w:r>
        <w:t>ly</w:t>
      </w:r>
      <w:r w:rsidRPr="00140508">
        <w:t xml:space="preserve"> </w:t>
      </w:r>
      <w:r>
        <w:t>the effect of regime type in this context thanks to</w:t>
      </w:r>
      <w:r w:rsidRPr="00140508">
        <w:t xml:space="preserve"> </w:t>
      </w:r>
      <w:r>
        <w:t xml:space="preserve">newly released data on </w:t>
      </w:r>
      <w:r w:rsidRPr="00140508">
        <w:t>legal central bank independence</w:t>
      </w:r>
      <w:r>
        <w:t xml:space="preserve">. These data </w:t>
      </w:r>
      <w:r w:rsidR="005E2D5D">
        <w:t>allow</w:t>
      </w:r>
      <w:r>
        <w:t xml:space="preserve"> our study </w:t>
      </w:r>
      <w:r w:rsidR="005E2D5D">
        <w:t xml:space="preserve">to include </w:t>
      </w:r>
      <w:r>
        <w:t>a significant number of autocracies excluded from previous analyses</w:t>
      </w:r>
      <w:r w:rsidRPr="00B34C5D">
        <w:t xml:space="preserve"> </w:t>
      </w:r>
      <w:r w:rsidRPr="00B34C5D">
        <w:fldChar w:fldCharType="begin"/>
      </w:r>
      <w:r>
        <w:instrText xml:space="preserve"> ADDIN EN.CITE &lt;EndNote&gt;&lt;Cite&gt;&lt;Author&gt;Garriga&lt;/Author&gt;&lt;Year&gt;2016&lt;/Year&gt;&lt;RecNum&gt;3565&lt;/RecNum&gt;&lt;DisplayText&gt;(Garriga, 2016)&lt;/DisplayText&gt;&lt;record&gt;&lt;rec-number&gt;3565&lt;/rec-number&gt;&lt;foreign-keys&gt;&lt;key app="EN" db-id="wxw9eet5tpa22ve22arv5vv0ttr2rawvxwwp" timestamp="1467835451"&gt;3565&lt;/key&gt;&lt;/foreign-keys&gt;&lt;ref-type name="Journal Article"&gt;17&lt;/ref-type&gt;&lt;contributors&gt;&lt;authors&gt;&lt;author&gt;Garriga, Ana Carolina&lt;/author&gt;&lt;/authors&gt;&lt;/contributors&gt;&lt;titles&gt;&lt;title&gt;Central Bank Independence in the World: A New Data Set&lt;/title&gt;&lt;secondary-title&gt;International Interactions&lt;/secondary-title&gt;&lt;/titles&gt;&lt;periodical&gt;&lt;full-title&gt;International Interactions&lt;/full-title&gt;&lt;/periodical&gt;&lt;pages&gt;849-868&lt;/pages&gt;&lt;volume&gt;42&lt;/volume&gt;&lt;number&gt;5&lt;/number&gt;&lt;dates&gt;&lt;year&gt;2016&lt;/year&gt;&lt;/dates&gt;&lt;urls&gt;&lt;/urls&gt;&lt;/record&gt;&lt;/Cite&gt;&lt;/EndNote&gt;</w:instrText>
      </w:r>
      <w:r w:rsidRPr="00B34C5D">
        <w:fldChar w:fldCharType="separate"/>
      </w:r>
      <w:r>
        <w:rPr>
          <w:noProof/>
        </w:rPr>
        <w:t>(Garriga, 2016)</w:t>
      </w:r>
      <w:r w:rsidRPr="00B34C5D">
        <w:fldChar w:fldCharType="end"/>
      </w:r>
      <w:r>
        <w:t>.</w:t>
      </w:r>
    </w:p>
  </w:footnote>
  <w:footnote w:id="2">
    <w:p w14:paraId="545D7265" w14:textId="2201EB2B" w:rsidR="00B00F9B" w:rsidRPr="00BB6A07" w:rsidRDefault="00B00F9B">
      <w:pPr>
        <w:pStyle w:val="FootnoteText"/>
      </w:pPr>
      <w:r w:rsidRPr="00BB6A07">
        <w:rPr>
          <w:rStyle w:val="FootnoteReference"/>
        </w:rPr>
        <w:footnoteRef/>
      </w:r>
      <w:r w:rsidRPr="00BB6A07">
        <w:t xml:space="preserve"> Fixed exchange rates and independent central banks are institutional mechanisms that provide credibility to price stability commitments. For a careful discussion of the limits of these mechanisms, and the possible need to rely on </w:t>
      </w:r>
      <w:proofErr w:type="gramStart"/>
      <w:r w:rsidRPr="00BB6A07">
        <w:t>both of them</w:t>
      </w:r>
      <w:proofErr w:type="gramEnd"/>
      <w:r w:rsidRPr="00BB6A07">
        <w:t>, or the limits</w:t>
      </w:r>
      <w:r w:rsidR="000A7B86" w:rsidRPr="00BB6A07">
        <w:t>,</w:t>
      </w:r>
      <w:r w:rsidRPr="00BB6A07">
        <w:t xml:space="preserve"> see </w:t>
      </w:r>
      <w:proofErr w:type="spellStart"/>
      <w:r w:rsidRPr="00BB6A07">
        <w:t>Bodea</w:t>
      </w:r>
      <w:proofErr w:type="spellEnd"/>
      <w:r w:rsidRPr="00BB6A07">
        <w:t xml:space="preserve"> (2010). </w:t>
      </w:r>
    </w:p>
  </w:footnote>
  <w:footnote w:id="3">
    <w:p w14:paraId="043718C7" w14:textId="77777777" w:rsidR="00B00F9B" w:rsidRPr="00BB6A07" w:rsidRDefault="00B00F9B" w:rsidP="0064197B">
      <w:pPr>
        <w:pStyle w:val="Footnotes"/>
      </w:pPr>
      <w:r w:rsidRPr="00BB6A07">
        <w:rPr>
          <w:rStyle w:val="FootnoteReference"/>
        </w:rPr>
        <w:footnoteRef/>
      </w:r>
      <w:r w:rsidRPr="00BB6A07">
        <w:t xml:space="preserve"> Note that </w:t>
      </w:r>
      <w:r w:rsidRPr="00BB6A07">
        <w:rPr>
          <w:i/>
        </w:rPr>
        <w:t>credible</w:t>
      </w:r>
      <w:r w:rsidRPr="00BB6A07">
        <w:t xml:space="preserve"> central bank independence is considered to have other functions </w:t>
      </w:r>
      <w:proofErr w:type="gramStart"/>
      <w:r w:rsidRPr="00BB6A07">
        <w:t>similar to</w:t>
      </w:r>
      <w:proofErr w:type="gramEnd"/>
      <w:r w:rsidRPr="00BB6A07">
        <w:t xml:space="preserve"> fixed exchange rates. In non-OECD countries, central bank independence may attract foreign direct investment, and guarantee better conditions in credit markets </w:t>
      </w:r>
      <w:r w:rsidRPr="00BB6A07">
        <w:fldChar w:fldCharType="begin"/>
      </w:r>
      <w:r w:rsidRPr="00BB6A07">
        <w:instrText xml:space="preserve"> ADDIN EN.CITE &lt;EndNote&gt;&lt;Cite&gt;&lt;Author&gt;Bodea&lt;/Author&gt;&lt;Year&gt;2015&lt;/Year&gt;&lt;RecNum&gt;3303&lt;/RecNum&gt;&lt;DisplayText&gt;(Bodea &amp;amp; Hicks, 2015a)&lt;/DisplayText&gt;&lt;record&gt;&lt;rec-number&gt;3303&lt;/rec-number&gt;&lt;foreign-keys&gt;&lt;key app="EN" db-id="wxw9eet5tpa22ve22arv5vv0ttr2rawvxwwp" timestamp="1421434766"&gt;3303&lt;/key&gt;&lt;/foreign-keys&gt;&lt;ref-type name="Journal Article"&gt;17&lt;/ref-type&gt;&lt;contributors&gt;&lt;authors&gt;&lt;author&gt;Bodea, Cristina&lt;/author&gt;&lt;author&gt;Hicks, Raymond&lt;/author&gt;&lt;/authors&gt;&lt;/contributors&gt;&lt;titles&gt;&lt;title&gt;International Finance and Central Bank Independence: Institutional Diffusion and the Flow and Cost of Capital&lt;/title&gt;&lt;secondary-title&gt;Journal of Politics&lt;/secondary-title&gt;&lt;/titles&gt;&lt;periodical&gt;&lt;full-title&gt;Journal of Politics&lt;/full-title&gt;&lt;/periodical&gt;&lt;pages&gt;268-284&lt;/pages&gt;&lt;volume&gt;77&lt;/volume&gt;&lt;number&gt;1&lt;/number&gt;&lt;dates&gt;&lt;year&gt;2015&lt;/year&gt;&lt;/dates&gt;&lt;urls&gt;&lt;/urls&gt;&lt;/record&gt;&lt;/Cite&gt;&lt;/EndNote&gt;</w:instrText>
      </w:r>
      <w:r w:rsidRPr="00BB6A07">
        <w:fldChar w:fldCharType="separate"/>
      </w:r>
      <w:r w:rsidRPr="00BB6A07">
        <w:rPr>
          <w:noProof/>
        </w:rPr>
        <w:t>(Bodea &amp; Hicks, 2015a)</w:t>
      </w:r>
      <w:r w:rsidRPr="00BB6A07">
        <w:fldChar w:fldCharType="end"/>
      </w:r>
      <w:r w:rsidRPr="00BB6A07">
        <w:t xml:space="preserve">. </w:t>
      </w:r>
    </w:p>
  </w:footnote>
  <w:footnote w:id="4">
    <w:p w14:paraId="3C12C0E6" w14:textId="70ED6BEB" w:rsidR="00B00F9B" w:rsidRPr="002A1D8B" w:rsidRDefault="00B00F9B" w:rsidP="00A803B0">
      <w:pPr>
        <w:pStyle w:val="Footnotes"/>
      </w:pPr>
      <w:r w:rsidRPr="00BB6A07">
        <w:rPr>
          <w:rStyle w:val="FootnoteReference"/>
        </w:rPr>
        <w:footnoteRef/>
      </w:r>
      <w:r w:rsidRPr="00BB6A07">
        <w:t xml:space="preserve"> A </w:t>
      </w:r>
      <w:r w:rsidR="00BF798A" w:rsidRPr="00BB6A07">
        <w:t xml:space="preserve">significant body of </w:t>
      </w:r>
      <w:r w:rsidRPr="00BB6A07">
        <w:t xml:space="preserve">literature explains the distributive pressures to enact fixed exchange rates </w:t>
      </w:r>
      <w:r w:rsidRPr="00BB6A07">
        <w:fldChar w:fldCharType="begin"/>
      </w:r>
      <w:r w:rsidRPr="00BB6A07">
        <w:instrText xml:space="preserve"> ADDIN EN.CITE &lt;EndNote&gt;&lt;Cite&gt;&lt;Author&gt;Frieden&lt;/Author&gt;&lt;Year&gt;2015&lt;/Year&gt;&lt;RecNum&gt;3727&lt;/RecNum&gt;&lt;DisplayText&gt;(Frieden, 2015)&lt;/DisplayText&gt;&lt;record&gt;&lt;rec-number&gt;3727&lt;/rec-number&gt;&lt;foreign-keys&gt;&lt;key app="EN" db-id="wxw9eet5tpa22ve22arv5vv0ttr2rawvxwwp" timestamp="1476805364"&gt;3727&lt;/key&gt;&lt;/foreign-keys&gt;&lt;ref-type name="Book"&gt;6&lt;/ref-type&gt;&lt;contributors&gt;&lt;authors&gt;&lt;author&gt;Frieden, Jeffry A.&lt;/author&gt;&lt;/authors&gt;&lt;/contributors&gt;&lt;titles&gt;&lt;title&gt;Currency Politics: The Political Economy of Exchange Rate Policy&lt;/title&gt;&lt;/titles&gt;&lt;dates&gt;&lt;year&gt;2015&lt;/year&gt;&lt;/dates&gt;&lt;pub-location&gt;Princeton, NJ&lt;/pub-location&gt;&lt;publisher&gt;Princeton University Press&lt;/publisher&gt;&lt;isbn&gt;9781400865345&lt;/isbn&gt;&lt;urls&gt;&lt;related-urls&gt;&lt;url&gt;https://books.google.com.mx/books?id=IKWaBAAAQBAJ&lt;/url&gt;&lt;/related-urls&gt;&lt;/urls&gt;&lt;/record&gt;&lt;/Cite&gt;&lt;/EndNote&gt;</w:instrText>
      </w:r>
      <w:r w:rsidRPr="00BB6A07">
        <w:fldChar w:fldCharType="separate"/>
      </w:r>
      <w:r w:rsidRPr="00BB6A07">
        <w:rPr>
          <w:noProof/>
        </w:rPr>
        <w:t>(Frieden, 2015)</w:t>
      </w:r>
      <w:r w:rsidRPr="00BB6A07">
        <w:fldChar w:fldCharType="end"/>
      </w:r>
      <w:r w:rsidRPr="00BB6A07">
        <w:t xml:space="preserve">. In particular, domestic sectors that profit from international trade or payments – such as exporters – support fixed exchange rates </w:t>
      </w:r>
      <w:r w:rsidRPr="00BB6A07">
        <w:fldChar w:fldCharType="begin"/>
      </w:r>
      <w:r w:rsidRPr="00BB6A07">
        <w:instrText xml:space="preserve"> ADDIN EN.CITE &lt;EndNote&gt;&lt;Cite&gt;&lt;Author&gt;Frieden&lt;/Author&gt;&lt;Year&gt;1991&lt;/Year&gt;&lt;RecNum&gt;813&lt;/RecNum&gt;&lt;DisplayText&gt;(Frieden, 1991)&lt;/DisplayText&gt;&lt;record&gt;&lt;rec-number&gt;813&lt;/rec-number&gt;&lt;foreign-keys&gt;&lt;key app="EN" db-id="wxw9eet5tpa22ve22arv5vv0ttr2rawvxwwp" timestamp="0"&gt;813&lt;/key&gt;&lt;/foreign-keys&gt;&lt;ref-type name="Journal Article"&gt;17&lt;/ref-type&gt;&lt;contributors&gt;&lt;authors&gt;&lt;author&gt;Jeffry A. Frieden &lt;/author&gt;&lt;/authors&gt;&lt;/contributors&gt;&lt;titles&gt;&lt;title&gt;Invested Interests: The Politics of National Economic Policies in a World of Global Finance&lt;/title&gt;&lt;secondary-title&gt;International Organization&lt;/secondary-title&gt;&lt;/titles&gt;&lt;periodical&gt;&lt;full-title&gt;International Organization&lt;/full-title&gt;&lt;abbr-1&gt;IO&lt;/abbr-1&gt;&lt;/periodical&gt;&lt;pages&gt;425-451&lt;/pages&gt;&lt;volume&gt;45&lt;/volume&gt;&lt;number&gt;4&lt;/number&gt;&lt;keywords&gt;&lt;keyword&gt;Monetary policy&lt;/keyword&gt;&lt;keyword&gt;Capital movement&lt;/keyword&gt;&lt;keyword&gt;Exchange rate&lt;/keyword&gt;&lt;keyword&gt;Coordination&lt;/keyword&gt;&lt;keyword&gt;Globalization&lt;/keyword&gt;&lt;keyword&gt;Mundell-Fleming&lt;/keyword&gt;&lt;/keywords&gt;&lt;dates&gt;&lt;year&gt;1991&lt;/year&gt;&lt;pub-dates&gt;&lt;date&gt;Autumn, 1991&lt;/date&gt;&lt;/pub-dates&gt;&lt;/dates&gt;&lt;urls&gt;&lt;/urls&gt;&lt;/record&gt;&lt;/Cite&gt;&lt;/EndNote&gt;</w:instrText>
      </w:r>
      <w:r w:rsidRPr="00BB6A07">
        <w:fldChar w:fldCharType="separate"/>
      </w:r>
      <w:r w:rsidRPr="00BB6A07">
        <w:rPr>
          <w:noProof/>
        </w:rPr>
        <w:t>(Frieden, 1991)</w:t>
      </w:r>
      <w:r w:rsidRPr="00BB6A07">
        <w:fldChar w:fldCharType="end"/>
      </w:r>
      <w:r w:rsidRPr="00BB6A07">
        <w:t xml:space="preserve">. However, the cost of sustaining fixed exchange rates is high for governments, who lose the ability to respond to economic downturns, and for consumers, who are generally domestically oriented </w:t>
      </w:r>
      <w:r w:rsidRPr="00BB6A07">
        <w:fldChar w:fldCharType="begin"/>
      </w:r>
      <w:r w:rsidRPr="00BB6A07">
        <w:instrText xml:space="preserve"> ADDIN EN.CITE &lt;EndNote&gt;&lt;Cite&gt;&lt;Author&gt;Bearce&lt;/Author&gt;&lt;Year&gt;2017&lt;/Year&gt;&lt;RecNum&gt;3895&lt;/RecNum&gt;&lt;DisplayText&gt;(Bearce &amp;amp; Tuxhorn, 2017)&lt;/DisplayText&gt;&lt;record&gt;&lt;rec-number&gt;3895&lt;/rec-number&gt;&lt;foreign-keys&gt;&lt;key app="EN" db-id="wxw9eet5tpa22ve22arv5vv0ttr2rawvxwwp" timestamp="1493311331"&gt;3895&lt;/key&gt;&lt;/foreign-keys&gt;&lt;ref-type name="Journal Article"&gt;17&lt;/ref-type&gt;&lt;contributors&gt;&lt;authors&gt;&lt;author&gt;Bearce, David H.&lt;/author&gt;&lt;author&gt;Tuxhorn, Kim-Lee&lt;/author&gt;&lt;/authors&gt;&lt;/contributors&gt;&lt;titles&gt;&lt;title&gt;When Are Monetary Policy Preferences Egocentric? Evidence from American Surveys and an Experiment&lt;/title&gt;&lt;secondary-title&gt;American Journal of Political Science&lt;/secondary-title&gt;&lt;/titles&gt;&lt;periodical&gt;&lt;full-title&gt;American Journal of Political Science&lt;/full-title&gt;&lt;/periodical&gt;&lt;pages&gt;178-193&lt;/pages&gt;&lt;volume&gt;61&lt;/volume&gt;&lt;number&gt;1&lt;/number&gt;&lt;dates&gt;&lt;year&gt;2017&lt;/year&gt;&lt;/dates&gt;&lt;isbn&gt;1540-5907&lt;/isbn&gt;&lt;urls&gt;&lt;related-urls&gt;&lt;url&gt;http://dx.doi.org/10.1111/ajps.12203&lt;/url&gt;&lt;/related-urls&gt;&lt;/urls&gt;&lt;electronic-resource-num&gt;10.1111/ajps.12203&lt;/electronic-resource-num&gt;&lt;/record&gt;&lt;/Cite&gt;&lt;/EndNote&gt;</w:instrText>
      </w:r>
      <w:r w:rsidRPr="00BB6A07">
        <w:fldChar w:fldCharType="separate"/>
      </w:r>
      <w:r w:rsidRPr="00BB6A07">
        <w:rPr>
          <w:noProof/>
        </w:rPr>
        <w:t>(Bearce &amp; Tuxhorn, 2017)</w:t>
      </w:r>
      <w:r w:rsidRPr="00BB6A07">
        <w:fldChar w:fldCharType="end"/>
      </w:r>
      <w:r w:rsidRPr="00BB6A07">
        <w:t>. We control for sectoral pressures in our empirical analysis. Future research could also theorize about remittance recipients as another societal group with specific exchange rate preferences.</w:t>
      </w:r>
    </w:p>
  </w:footnote>
  <w:footnote w:id="5">
    <w:p w14:paraId="238588AD" w14:textId="3E2883E8" w:rsidR="00B00F9B" w:rsidRPr="00BB6A07" w:rsidRDefault="00B00F9B">
      <w:pPr>
        <w:pStyle w:val="FootnoteText"/>
      </w:pPr>
      <w:r>
        <w:rPr>
          <w:rStyle w:val="FootnoteReference"/>
        </w:rPr>
        <w:footnoteRef/>
      </w:r>
      <w:r>
        <w:t xml:space="preserve"> </w:t>
      </w:r>
      <w:r w:rsidRPr="00BB6A07">
        <w:t xml:space="preserve">Easton and </w:t>
      </w:r>
      <w:proofErr w:type="spellStart"/>
      <w:r w:rsidRPr="00BB6A07">
        <w:t>Montinola</w:t>
      </w:r>
      <w:proofErr w:type="spellEnd"/>
      <w:r w:rsidRPr="00BB6A07">
        <w:t xml:space="preserve"> (2017) find that in democracies, remittances complement rather than substitute </w:t>
      </w:r>
      <w:r w:rsidR="007E0DA9" w:rsidRPr="00BB6A07">
        <w:t xml:space="preserve">for </w:t>
      </w:r>
      <w:r w:rsidRPr="00BB6A07">
        <w:t xml:space="preserve">government spending. </w:t>
      </w:r>
    </w:p>
  </w:footnote>
  <w:footnote w:id="6">
    <w:p w14:paraId="1AB428AB" w14:textId="290E4DE2" w:rsidR="00B00F9B" w:rsidRDefault="00B00F9B">
      <w:pPr>
        <w:pStyle w:val="FootnoteText"/>
      </w:pPr>
      <w:r w:rsidRPr="00BB6A07">
        <w:rPr>
          <w:rStyle w:val="FootnoteReference"/>
        </w:rPr>
        <w:footnoteRef/>
      </w:r>
      <w:r w:rsidRPr="00BB6A07">
        <w:t xml:space="preserve"> Public financing of chronic fiscal deficits is generally considered a major cause of inflation in developing countries. It could then be argued that the relevant mechanism by which remittances may enhance the credibility of these countries is </w:t>
      </w:r>
      <w:r w:rsidR="006747CF" w:rsidRPr="00BB6A07">
        <w:t xml:space="preserve">by </w:t>
      </w:r>
      <w:r w:rsidRPr="00BB6A07">
        <w:t xml:space="preserve">making that financing less pressing. However, </w:t>
      </w:r>
      <w:r w:rsidR="006747CF" w:rsidRPr="00BB6A07">
        <w:t xml:space="preserve">remittances </w:t>
      </w:r>
      <w:r w:rsidRPr="00BB6A07">
        <w:t>being private funds, it is not simple to anticipate the</w:t>
      </w:r>
      <w:r w:rsidR="006747CF" w:rsidRPr="00BB6A07">
        <w:t>ir</w:t>
      </w:r>
      <w:r w:rsidRPr="00BB6A07">
        <w:t xml:space="preserve"> consequences on fiscal consolidation: remittances indirectly affect government expenditures and revenues depending on households’ decisions to save</w:t>
      </w:r>
      <w:r w:rsidR="006747CF" w:rsidRPr="00BB6A07">
        <w:t xml:space="preserve"> or</w:t>
      </w:r>
      <w:r w:rsidRPr="00BB6A07">
        <w:t xml:space="preserve"> spend, and remitters’ spending </w:t>
      </w:r>
      <w:r w:rsidR="006747CF" w:rsidRPr="00BB6A07">
        <w:t>o</w:t>
      </w:r>
      <w:r w:rsidRPr="00BB6A07">
        <w:t xml:space="preserve">n welfare and public goods, which can complement or substitute </w:t>
      </w:r>
      <w:r w:rsidR="006747CF" w:rsidRPr="00BB6A07">
        <w:t xml:space="preserve">for </w:t>
      </w:r>
      <w:r w:rsidRPr="00BB6A07">
        <w:t>public spending (</w:t>
      </w:r>
      <w:proofErr w:type="spellStart"/>
      <w:r w:rsidRPr="00BB6A07">
        <w:t>Gnangnon</w:t>
      </w:r>
      <w:proofErr w:type="spellEnd"/>
      <w:r w:rsidRPr="00BB6A07">
        <w:t xml:space="preserve"> 2014:171-172). We gave </w:t>
      </w:r>
      <w:proofErr w:type="gramStart"/>
      <w:r w:rsidRPr="00BB6A07">
        <w:t>a number of</w:t>
      </w:r>
      <w:proofErr w:type="gramEnd"/>
      <w:r w:rsidRPr="00BB6A07">
        <w:t xml:space="preserve"> examples above showing that remittances seem to substitute </w:t>
      </w:r>
      <w:r w:rsidR="0054561D" w:rsidRPr="00BB6A07">
        <w:t xml:space="preserve">for </w:t>
      </w:r>
      <w:r w:rsidRPr="00BB6A07">
        <w:t xml:space="preserve">government spending in welfare policies.  </w:t>
      </w:r>
      <w:proofErr w:type="spellStart"/>
      <w:r w:rsidRPr="00BB6A07">
        <w:t>Gnangnon</w:t>
      </w:r>
      <w:proofErr w:type="spellEnd"/>
      <w:r w:rsidRPr="00BB6A07">
        <w:t xml:space="preserve"> shows that in a group of </w:t>
      </w:r>
      <w:r w:rsidR="0054561D" w:rsidRPr="00BB6A07">
        <w:t xml:space="preserve">the </w:t>
      </w:r>
      <w:r w:rsidRPr="00BB6A07">
        <w:t>top 30 remittance-dependent countries, remittances are associated with a greater probability of fiscal consolidation. The author does not account for regime type.</w:t>
      </w:r>
      <w:r>
        <w:t xml:space="preserve"> </w:t>
      </w:r>
    </w:p>
  </w:footnote>
  <w:footnote w:id="7">
    <w:p w14:paraId="7498312E" w14:textId="68651102" w:rsidR="00B00F9B" w:rsidRDefault="00B00F9B">
      <w:pPr>
        <w:pStyle w:val="FootnoteText"/>
      </w:pPr>
      <w:r>
        <w:rPr>
          <w:rStyle w:val="FootnoteReference"/>
        </w:rPr>
        <w:footnoteRef/>
      </w:r>
      <w:r>
        <w:t xml:space="preserve"> </w:t>
      </w:r>
      <w:r w:rsidRPr="00BB6A07">
        <w:t xml:space="preserve">There are of course other cases of more intrusive meddling with international remittances. For instance, Lim and Morshed (2017: 148) provide the examples of (now abolished) Documentary Stamp Tax of 0.3 pesos for every 200 pesos in Philippines. Cuba levied a 10% tax on all remittance in US dollars through the exchange rate; India unsuccessfully proposed a tax of 12.36% on fees remitters pay to send money home. </w:t>
      </w:r>
      <w:proofErr w:type="gramStart"/>
      <w:r w:rsidRPr="00BB6A07">
        <w:t>On the whole</w:t>
      </w:r>
      <w:proofErr w:type="gramEnd"/>
      <w:r w:rsidRPr="00BB6A07">
        <w:t>, taxing remittances directly is hugely unpopular and generally considered to promote the use of informal channels of remittance transfers.</w:t>
      </w:r>
      <w:r>
        <w:t xml:space="preserve"> </w:t>
      </w:r>
    </w:p>
  </w:footnote>
  <w:footnote w:id="8">
    <w:p w14:paraId="367EFC6A" w14:textId="6BF94C89" w:rsidR="00B00F9B" w:rsidRPr="002A1D8B" w:rsidRDefault="00B00F9B" w:rsidP="00A803B0">
      <w:pPr>
        <w:pStyle w:val="Footnotes"/>
      </w:pPr>
      <w:r w:rsidRPr="002A1D8B">
        <w:rPr>
          <w:rStyle w:val="FootnoteReference"/>
        </w:rPr>
        <w:footnoteRef/>
      </w:r>
      <w:r w:rsidRPr="002A1D8B">
        <w:t xml:space="preserve"> For instance, electoral incentives should make democracies more likely to prefer floating exchange rates </w:t>
      </w:r>
      <w:r w:rsidRPr="002A1D8B">
        <w:fldChar w:fldCharType="begin">
          <w:fldData xml:space="preserve">PEVuZE5vdGU+PENpdGU+PEF1dGhvcj5TdGVpbmJlcmc8L0F1dGhvcj48WWVhcj4yMDE0PC9ZZWFy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</w:fldData>
        </w:fldChar>
      </w:r>
      <w:r>
        <w:instrText xml:space="preserve"> ADDIN EN.CITE </w:instrText>
      </w:r>
      <w:r>
        <w:fldChar w:fldCharType="begin">
          <w:fldData xml:space="preserve">PEVuZE5vdGU+PENpdGU+PEF1dGhvcj5TdGVpbmJlcmc8L0F1dGhvcj48WWVhcj4yMDE0PC9ZZWFy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</w:fldData>
        </w:fldChar>
      </w:r>
      <w:r>
        <w:instrText xml:space="preserve"> ADDIN EN.CITE.DATA </w:instrText>
      </w:r>
      <w:r>
        <w:fldChar w:fldCharType="end"/>
      </w:r>
      <w:r w:rsidRPr="002A1D8B">
        <w:fldChar w:fldCharType="separate"/>
      </w:r>
      <w:r>
        <w:rPr>
          <w:noProof/>
        </w:rPr>
        <w:t>(Bearce &amp; Hallerberg, 2011; Frieden, 1991; Steinberg &amp; Malhotra, 2014)</w:t>
      </w:r>
      <w:r w:rsidRPr="002A1D8B">
        <w:fldChar w:fldCharType="end"/>
      </w:r>
    </w:p>
  </w:footnote>
  <w:footnote w:id="9">
    <w:p w14:paraId="40A64593" w14:textId="6530770E" w:rsidR="00B00F9B" w:rsidRPr="002A1D8B" w:rsidRDefault="00B00F9B" w:rsidP="00A803B0">
      <w:pPr>
        <w:pStyle w:val="Footnotes"/>
      </w:pPr>
      <w:r w:rsidRPr="002A1D8B">
        <w:rPr>
          <w:rStyle w:val="FootnoteReference"/>
        </w:rPr>
        <w:footnoteRef/>
      </w:r>
      <w:r w:rsidRPr="002A1D8B">
        <w:t xml:space="preserve"> We assume that all autocracies have credibility problems because their lack of transparency hampers the credibility of their monetary commitments </w:t>
      </w:r>
      <w:r w:rsidRPr="002A1D8B">
        <w:fldChar w:fldCharType="begin"/>
      </w:r>
      <w:r w:rsidRPr="002A1D8B">
        <w:instrText xml:space="preserve"> ADDIN EN.CITE &lt;EndNote&gt;&lt;Cite&gt;&lt;Author&gt;Broz&lt;/Author&gt;&lt;Year&gt;2002&lt;/Year&gt;&lt;RecNum&gt;47&lt;/RecNum&gt;&lt;DisplayText&gt;(Broz, 2002)&lt;/DisplayText&gt;&lt;record&gt;&lt;rec-number&gt;47&lt;/rec-number&gt;&lt;foreign-keys&gt;&lt;key app="EN" db-id="wxw9eet5tpa22ve22arv5vv0ttr2rawvxwwp" timestamp="0"&gt;47&lt;/key&gt;&lt;/foreign-keys&gt;&lt;ref-type name="Journal Article"&gt;17&lt;/ref-type&gt;&lt;contributors&gt;&lt;authors&gt;&lt;author&gt;J. Lawrence Broz&lt;/author&gt;&lt;/authors&gt;&lt;/contributors&gt;&lt;titles&gt;&lt;title&gt;Political System Transparency and Monetary Commitment Regimes&lt;/title&gt;&lt;secondary-title&gt;International Organization&lt;/secondary-title&gt;&lt;/titles&gt;&lt;periodical&gt;&lt;full-title&gt;International Organization&lt;/full-title&gt;&lt;abbr-1&gt;IO&lt;/abbr-1&gt;&lt;/periodical&gt;&lt;pages&gt;861-887&lt;/pages&gt;&lt;volume&gt;56&lt;/volume&gt;&lt;number&gt;4&lt;/number&gt;&lt;keywords&gt;&lt;keyword&gt;Central Bank Independence&lt;/keyword&gt;&lt;keyword&gt;Exchange rate&lt;/keyword&gt;&lt;keyword&gt;Inflation&lt;/keyword&gt;&lt;keyword&gt;Monetary policy&lt;/keyword&gt;&lt;keyword&gt;Time inconsistency&lt;/keyword&gt;&lt;keyword&gt;*&lt;/keyword&gt;&lt;/keywords&gt;&lt;dates&gt;&lt;year&gt;2002&lt;/year&gt;&lt;pub-dates&gt;&lt;date&gt;Autumn 2002&lt;/date&gt;&lt;/pub-dates&gt;&lt;/dates&gt;&lt;urls&gt;&lt;related-urls&gt;&lt;url&gt;CBI.  Political&lt;/url&gt;&lt;url&gt;IPE-W4: CBI&lt;/url&gt;&lt;/related-urls&gt;&lt;/urls&gt;&lt;/record&gt;&lt;/Cite&gt;&lt;/EndNote&gt;</w:instrText>
      </w:r>
      <w:r w:rsidRPr="002A1D8B">
        <w:fldChar w:fldCharType="separate"/>
      </w:r>
      <w:r w:rsidRPr="002A1D8B">
        <w:rPr>
          <w:noProof/>
        </w:rPr>
        <w:t>(Broz, 2002)</w:t>
      </w:r>
      <w:r w:rsidRPr="002A1D8B">
        <w:fldChar w:fldCharType="end"/>
      </w:r>
      <w:r w:rsidRPr="002A1D8B">
        <w:t xml:space="preserve">. Some democratic countries may also have credibility problems </w:t>
      </w:r>
      <w:r>
        <w:t>due to other reasons, but analys</w:t>
      </w:r>
      <w:r w:rsidRPr="002A1D8B">
        <w:t xml:space="preserve">ing variance of credibility among democracies is outside the scope of this paper. </w:t>
      </w:r>
    </w:p>
  </w:footnote>
  <w:footnote w:id="10">
    <w:p w14:paraId="267960C4" w14:textId="2772A138" w:rsidR="00B00F9B" w:rsidRPr="002A1D8B" w:rsidRDefault="00B00F9B" w:rsidP="00AB0AB9">
      <w:pPr>
        <w:pStyle w:val="Footnotes"/>
        <w:rPr>
          <w:color w:val="FF0000"/>
        </w:rPr>
      </w:pPr>
      <w:r w:rsidRPr="00000AF0">
        <w:rPr>
          <w:rStyle w:val="FootnoteReference"/>
        </w:rPr>
        <w:footnoteRef/>
      </w:r>
      <w:r w:rsidRPr="00000AF0">
        <w:t xml:space="preserve"> This expectation is consistent with research showing that central banks </w:t>
      </w:r>
      <w:r w:rsidR="00D93CF1" w:rsidRPr="00000AF0">
        <w:t xml:space="preserve">also </w:t>
      </w:r>
      <w:r w:rsidRPr="00000AF0">
        <w:t xml:space="preserve">have </w:t>
      </w:r>
      <w:r w:rsidR="00D93CF1">
        <w:t>significant</w:t>
      </w:r>
      <w:r w:rsidR="00D93CF1" w:rsidRPr="00000AF0">
        <w:t xml:space="preserve"> </w:t>
      </w:r>
      <w:r w:rsidRPr="00000AF0">
        <w:t xml:space="preserve">effects in autocratic regimes </w:t>
      </w:r>
      <w:r w:rsidRPr="00000AF0">
        <w:fldChar w:fldCharType="begin"/>
      </w:r>
      <w:r>
        <w:instrText xml:space="preserve"> ADDIN EN.CITE &lt;EndNote&gt;&lt;Cite&gt;&lt;Author&gt;Bodea&lt;/Author&gt;&lt;Year&gt;forthcoming&lt;/Year&gt;&lt;RecNum&gt;3764&lt;/RecNum&gt;&lt;DisplayText&gt;(Baerg, Gray, &amp;amp; Willisch, 2017; Bodea, Garriga, &amp;amp; Higashijima, forthcoming)&lt;/DisplayText&gt;&lt;record&gt;&lt;rec-number&gt;3764&lt;/rec-number&gt;&lt;foreign-keys&gt;&lt;key app="EN" db-id="wxw9eet5tpa22ve22arv5vv0ttr2rawvxwwp" timestamp="1480266360"&gt;3764&lt;/key&gt;&lt;/foreign-keys&gt;&lt;ref-type name="Journal Article"&gt;17&lt;/ref-type&gt;&lt;contributors&gt;&lt;authors&gt;&lt;author&gt;Bodea, Cristina&lt;/author&gt;&lt;author&gt;Garriga, Ana Carolina&lt;/author&gt;&lt;author&gt;Higashijima, Masaaki&lt;/author&gt;&lt;/authors&gt;&lt;/contributors&gt;&lt;titles&gt;&lt;title&gt;Economic Institutions and Autocratic Breakdown: Monetary Constraints and Fiscal Spending in Dominant-Party Regimes&lt;/title&gt;&lt;secondary-title&gt;Journal of Politics&lt;/secondary-title&gt;&lt;/titles&gt;&lt;periodical&gt;&lt;full-title&gt;Journal of Politics&lt;/full-title&gt;&lt;/periodical&gt;&lt;dates&gt;&lt;year&gt;forthcoming&lt;/year&gt;&lt;/dates&gt;&lt;urls&gt;&lt;/urls&gt;&lt;/record&gt;&lt;/Cite&gt;&lt;Cite&gt;&lt;Author&gt;Baerg&lt;/Author&gt;&lt;Year&gt;2017&lt;/Year&gt;&lt;RecNum&gt;3899&lt;/RecNum&gt;&lt;record&gt;&lt;rec-number&gt;3899&lt;/rec-number&gt;&lt;foreign-keys&gt;&lt;key app="EN" db-id="wxw9eet5tpa22ve22arv5vv0ttr2rawvxwwp" timestamp="1493316476"&gt;3899&lt;/key&gt;&lt;/foreign-keys&gt;&lt;ref-type name="Conference Paper"&gt;47&lt;/ref-type&gt;&lt;contributors&gt;&lt;authors&gt;&lt;author&gt;Nicole Rae Baerg&lt;/author&gt;&lt;author&gt;Gray, Julia&lt;/author&gt;&lt;author&gt;Jakob Willisch&lt;/author&gt;&lt;/authors&gt;&lt;/contributors&gt;&lt;titles&gt;&lt;title&gt;They Could Have Been Contenders: A Power-Sharing Explanation for Central Bank Independence in Transition Countries&lt;/title&gt;&lt;secondary-title&gt;2017 American Political Science Association Annual Meeting, August 31-September 3, 2017&lt;/secondary-title&gt;&lt;/titles&gt;&lt;dates&gt;&lt;year&gt;2017&lt;/year&gt;&lt;/dates&gt;&lt;pub-location&gt;San Francisco, CA&lt;/pub-location&gt;&lt;urls&gt;&lt;/urls&gt;&lt;/record&gt;&lt;/Cite&gt;&lt;/EndNote&gt;</w:instrText>
      </w:r>
      <w:r w:rsidRPr="00000AF0">
        <w:fldChar w:fldCharType="separate"/>
      </w:r>
      <w:r>
        <w:rPr>
          <w:noProof/>
        </w:rPr>
        <w:t>(Baerg, Gray, &amp; Willisch, 2017; Bodea, Garriga, &amp; Higashijima, forthcoming)</w:t>
      </w:r>
      <w:r w:rsidRPr="00000AF0">
        <w:fldChar w:fldCharType="end"/>
      </w:r>
      <w:r w:rsidRPr="00000AF0">
        <w:t>.</w:t>
      </w:r>
    </w:p>
  </w:footnote>
  <w:footnote w:id="11">
    <w:p w14:paraId="3EF8BB7E" w14:textId="739FB6AF" w:rsidR="00B00F9B" w:rsidRPr="002A1D8B" w:rsidRDefault="00B00F9B" w:rsidP="005D436D">
      <w:pPr>
        <w:pStyle w:val="Footnotes"/>
      </w:pPr>
      <w:r w:rsidRPr="002A1D8B">
        <w:rPr>
          <w:rStyle w:val="FootnoteReference"/>
        </w:rPr>
        <w:footnoteRef/>
      </w:r>
      <w:r w:rsidRPr="002A1D8B">
        <w:t xml:space="preserve"> We consider a central bank independent when </w:t>
      </w:r>
      <w:proofErr w:type="gramStart"/>
      <w:r w:rsidRPr="002A1D8B">
        <w:t>it</w:t>
      </w:r>
      <w:proofErr w:type="gramEnd"/>
      <w:r w:rsidRPr="002A1D8B">
        <w:t xml:space="preserve"> scores</w:t>
      </w:r>
      <w:r w:rsidR="00DA6FC7">
        <w:t xml:space="preserve"> </w:t>
      </w:r>
      <w:r w:rsidRPr="002A1D8B">
        <w:t xml:space="preserve">≥.5 </w:t>
      </w:r>
      <w:r w:rsidR="00DA6FC7">
        <w:t>o</w:t>
      </w:r>
      <w:r w:rsidRPr="002A1D8B">
        <w:t xml:space="preserve">n an index that ranges from zero to one. </w:t>
      </w:r>
    </w:p>
  </w:footnote>
  <w:footnote w:id="12">
    <w:p w14:paraId="2306C1CD" w14:textId="5AEAE30A" w:rsidR="00B00F9B" w:rsidRPr="002A1D8B" w:rsidRDefault="00B00F9B" w:rsidP="00A803B0">
      <w:pPr>
        <w:pStyle w:val="Footnotes"/>
      </w:pPr>
      <w:r w:rsidRPr="002A1D8B">
        <w:rPr>
          <w:rStyle w:val="FootnoteReference"/>
        </w:rPr>
        <w:footnoteRef/>
      </w:r>
      <w:r w:rsidRPr="002A1D8B">
        <w:t xml:space="preserve"> In fact, we do not find any robust evidence in that regard. To address this question, we use the model specification of </w:t>
      </w:r>
      <w:r w:rsidRPr="002A1D8B">
        <w:rPr>
          <w:noProof/>
        </w:rPr>
        <w:t xml:space="preserve">Bodea </w:t>
      </w:r>
      <w:r>
        <w:rPr>
          <w:noProof/>
        </w:rPr>
        <w:t>&amp;</w:t>
      </w:r>
      <w:r w:rsidRPr="002A1D8B">
        <w:rPr>
          <w:noProof/>
        </w:rPr>
        <w:t xml:space="preserve"> Hicks</w:t>
      </w:r>
      <w:r w:rsidRPr="002A1D8B">
        <w:t xml:space="preserve"> </w:t>
      </w:r>
      <w:r w:rsidRPr="002A1D8B">
        <w:fldChar w:fldCharType="begin"/>
      </w:r>
      <w:r w:rsidRPr="002A1D8B">
        <w:instrText xml:space="preserve"> ADDIN EN.CITE &lt;EndNote&gt;&lt;Cite ExcludeAuth="1"&gt;&lt;Author&gt;Bodea&lt;/Author&gt;&lt;Year&gt;2015&lt;/Year&gt;&lt;RecNum&gt;3303&lt;/RecNum&gt;&lt;DisplayText&gt;(2015a)&lt;/DisplayText&gt;&lt;record&gt;&lt;rec-number&gt;3303&lt;/rec-number&gt;&lt;foreign-keys&gt;&lt;key app="EN" db-id="wxw9eet5tpa22ve22arv5vv0ttr2rawvxwwp" timestamp="1421434766"&gt;3303&lt;/key&gt;&lt;/foreign-keys&gt;&lt;ref-type name="Journal Article"&gt;17&lt;/ref-type&gt;&lt;contributors&gt;&lt;authors&gt;&lt;author&gt;Bodea, Cristina&lt;/author&gt;&lt;author&gt;Hicks, Raymond&lt;/author&gt;&lt;/authors&gt;&lt;/contributors&gt;&lt;titles&gt;&lt;title&gt;International Finance and Central Bank Independence: Institutional Diffusion and the Flow and Cost of Capital&lt;/title&gt;&lt;secondary-title&gt;Journal of Politics&lt;/secondary-title&gt;&lt;/titles&gt;&lt;periodical&gt;&lt;full-title&gt;Journal of Politics&lt;/full-title&gt;&lt;/periodical&gt;&lt;pages&gt;268-284&lt;/pages&gt;&lt;volume&gt;77&lt;/volume&gt;&lt;number&gt;1&lt;/number&gt;&lt;dates&gt;&lt;year&gt;2015&lt;/year&gt;&lt;/dates&gt;&lt;urls&gt;&lt;/urls&gt;&lt;/record&gt;&lt;/Cite&gt;&lt;/EndNote&gt;</w:instrText>
      </w:r>
      <w:r w:rsidRPr="002A1D8B">
        <w:fldChar w:fldCharType="separate"/>
      </w:r>
      <w:r w:rsidRPr="002A1D8B">
        <w:rPr>
          <w:noProof/>
        </w:rPr>
        <w:t>(2015a)</w:t>
      </w:r>
      <w:r w:rsidRPr="002A1D8B">
        <w:fldChar w:fldCharType="end"/>
      </w:r>
      <w:r w:rsidRPr="002A1D8B">
        <w:t xml:space="preserve"> for central bank reform, and test the existence of a relationship between remittances – measured in different ways – and level of central bank independence. We do not find significant relationships between past levels of remittances and central bank independence in the global sample, or in subsamples of democracies and autocracies.</w:t>
      </w:r>
    </w:p>
  </w:footnote>
  <w:footnote w:id="13">
    <w:p w14:paraId="554595D6" w14:textId="3625E4EA" w:rsidR="00B00F9B" w:rsidRPr="002A1D8B" w:rsidRDefault="00B00F9B" w:rsidP="00A803B0">
      <w:pPr>
        <w:pStyle w:val="Footnotes"/>
      </w:pPr>
      <w:r w:rsidRPr="002A1D8B">
        <w:rPr>
          <w:rStyle w:val="FootnoteReference"/>
        </w:rPr>
        <w:footnoteRef/>
      </w:r>
      <w:r w:rsidRPr="002A1D8B">
        <w:t xml:space="preserve"> Note that in autocracies, remittances may support the adoption of flexible exchange rates beyond strengthening the credibility of independent central banks as </w:t>
      </w:r>
      <w:r w:rsidR="00110CFB">
        <w:t xml:space="preserve">a </w:t>
      </w:r>
      <w:r w:rsidRPr="002A1D8B">
        <w:t xml:space="preserve">price stability commitment. Like independent central banks, remittances also facilitate access to international capital markets </w:t>
      </w:r>
      <w:r w:rsidRPr="002A1D8B">
        <w:fldChar w:fldCharType="begin"/>
      </w:r>
      <w:r>
        <w:instrText xml:space="preserve"> ADDIN EN.CITE &lt;EndNote&gt;&lt;Cite&gt;&lt;Author&gt;Bodea&lt;/Author&gt;&lt;Year&gt;2015&lt;/Year&gt;&lt;RecNum&gt;3303&lt;/RecNum&gt;&lt;DisplayText&gt;(Bodea &amp;amp; Hicks, 2015a)&lt;/DisplayText&gt;&lt;record&gt;&lt;rec-number&gt;3303&lt;/rec-number&gt;&lt;foreign-keys&gt;&lt;key app="EN" db-id="wxw9eet5tpa22ve22arv5vv0ttr2rawvxwwp" timestamp="1421434766"&gt;3303&lt;/key&gt;&lt;/foreign-keys&gt;&lt;ref-type name="Journal Article"&gt;17&lt;/ref-type&gt;&lt;contributors&gt;&lt;authors&gt;&lt;author&gt;Bodea, Cristina&lt;/author&gt;&lt;author&gt;Hicks, Raymond&lt;/author&gt;&lt;/authors&gt;&lt;/contributors&gt;&lt;titles&gt;&lt;title&gt;International Finance and Central Bank Independence: Institutional Diffusion and the Flow and Cost of Capital&lt;/title&gt;&lt;secondary-title&gt;Journal of Politics&lt;/secondary-title&gt;&lt;/titles&gt;&lt;periodical&gt;&lt;full-title&gt;Journal of Politics&lt;/full-title&gt;&lt;/periodical&gt;&lt;pages&gt;268-284&lt;/pages&gt;&lt;volume&gt;77&lt;/volume&gt;&lt;number&gt;1&lt;/number&gt;&lt;dates&gt;&lt;year&gt;2015&lt;/year&gt;&lt;/dates&gt;&lt;urls&gt;&lt;/urls&gt;&lt;/record&gt;&lt;/Cite&gt;&lt;/EndNote&gt;</w:instrText>
      </w:r>
      <w:r w:rsidRPr="002A1D8B">
        <w:fldChar w:fldCharType="separate"/>
      </w:r>
      <w:r>
        <w:rPr>
          <w:noProof/>
        </w:rPr>
        <w:t>(Bodea &amp; Hicks, 2015a)</w:t>
      </w:r>
      <w:r w:rsidRPr="002A1D8B">
        <w:fldChar w:fldCharType="end"/>
      </w:r>
      <w:r w:rsidRPr="002A1D8B">
        <w:t>. Thus remittances, by improving the credibility of countries to hono</w:t>
      </w:r>
      <w:r>
        <w:t>u</w:t>
      </w:r>
      <w:r w:rsidRPr="002A1D8B">
        <w:t xml:space="preserve">r their debt commitments, make independent central banks credible anti-inflationary tools. </w:t>
      </w:r>
    </w:p>
  </w:footnote>
  <w:footnote w:id="14">
    <w:p w14:paraId="23249FDD" w14:textId="77777777" w:rsidR="00B00F9B" w:rsidRPr="002A1D8B" w:rsidRDefault="00B00F9B" w:rsidP="00A803B0">
      <w:pPr>
        <w:pStyle w:val="Footnotes"/>
      </w:pPr>
      <w:r w:rsidRPr="002A1D8B">
        <w:rPr>
          <w:rStyle w:val="FootnoteReference"/>
        </w:rPr>
        <w:footnoteRef/>
      </w:r>
      <w:r w:rsidRPr="002A1D8B">
        <w:t xml:space="preserve"> Following other studies on exchange rate regimes </w:t>
      </w:r>
      <w:r w:rsidRPr="002A1D8B">
        <w:fldChar w:fldCharType="begin">
          <w:fldData xml:space="preserve">PEVuZE5vdGU+PENpdGU+PEF1dGhvcj5TaW5nZXI8L0F1dGhvcj48WWVhcj4yMDEwPC9ZZWFyPjxS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==
</w:fldData>
        </w:fldChar>
      </w:r>
      <w:r>
        <w:instrText xml:space="preserve"> ADDIN EN.CITE </w:instrText>
      </w:r>
      <w:r>
        <w:fldChar w:fldCharType="begin">
          <w:fldData xml:space="preserve">PEVuZE5vdGU+PENpdGU+PEF1dGhvcj5TaW5nZXI8L0F1dGhvcj48WWVhcj4yMDEwPC9ZZWFyPjxS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==
</w:fldData>
        </w:fldChar>
      </w:r>
      <w:r>
        <w:instrText xml:space="preserve"> ADDIN EN.CITE.DATA </w:instrText>
      </w:r>
      <w:r>
        <w:fldChar w:fldCharType="end"/>
      </w:r>
      <w:r w:rsidRPr="002A1D8B">
        <w:fldChar w:fldCharType="separate"/>
      </w:r>
      <w:r>
        <w:rPr>
          <w:noProof/>
        </w:rPr>
        <w:t>(Chiu &amp; Willett, 2009; Simmons &amp; Hainmueller, 2005; Singer, 2010; Steinberg &amp; Malhotra, 2014)</w:t>
      </w:r>
      <w:r w:rsidRPr="002A1D8B">
        <w:fldChar w:fldCharType="end"/>
      </w:r>
      <w:r w:rsidRPr="002A1D8B">
        <w:t xml:space="preserve">, we exclude observations classified as freely falling and dual market in which parallel data is missing (categories 5 and 6 in Reinhart and Rogoff’s </w:t>
      </w:r>
      <w:r w:rsidRPr="002A1D8B">
        <w:fldChar w:fldCharType="begin"/>
      </w:r>
      <w:r w:rsidRPr="002A1D8B">
        <w:instrText xml:space="preserve"> ADDIN EN.CITE &lt;EndNote&gt;&lt;Cite ExcludeAuth="1"&gt;&lt;Author&gt;Reinhart&lt;/Author&gt;&lt;Year&gt;2004&lt;/Year&gt;&lt;RecNum&gt;839&lt;/RecNum&gt;&lt;DisplayText&gt;(2004)&lt;/DisplayText&gt;&lt;record&gt;&lt;rec-number&gt;839&lt;/rec-number&gt;&lt;foreign-keys&gt;&lt;key app="EN" db-id="wxw9eet5tpa22ve22arv5vv0ttr2rawvxwwp" timestamp="0"&gt;839&lt;/key&gt;&lt;/foreign-keys&gt;&lt;ref-type name="Journal Article"&gt;17&lt;/ref-type&gt;&lt;contributors&gt;&lt;authors&gt;&lt;author&gt;Reinhart, Carmen M.&lt;/author&gt;&lt;author&gt;Rogoff, Kenneth S.&lt;/author&gt;&lt;/authors&gt;&lt;/contributors&gt;&lt;titles&gt;&lt;title&gt;The Modern History of Exchange Rate Arrangements: A Reinterpretation&lt;/title&gt;&lt;secondary-title&gt;Quarterly Journal of Economics&lt;/secondary-title&gt;&lt;/titles&gt;&lt;periodical&gt;&lt;full-title&gt;Quarterly Journal of Economics&lt;/full-title&gt;&lt;/periodical&gt;&lt;pages&gt;1-48&lt;/pages&gt;&lt;volume&gt;119 &lt;/volume&gt;&lt;number&gt;1&lt;/number&gt;&lt;keywords&gt;&lt;keyword&gt;Exchange rate&lt;/keyword&gt;&lt;/keywords&gt;&lt;dates&gt;&lt;year&gt;2004&lt;/year&gt;&lt;/dates&gt;&lt;urls&gt;&lt;related-urls&gt;&lt;url&gt;IPE-W5: Exchange rate regimes&lt;/url&gt;&lt;/related-urls&gt;&lt;/urls&gt;&lt;/record&gt;&lt;/Cite&gt;&lt;/EndNote&gt;</w:instrText>
      </w:r>
      <w:r w:rsidRPr="002A1D8B">
        <w:fldChar w:fldCharType="separate"/>
      </w:r>
      <w:r w:rsidRPr="002A1D8B">
        <w:rPr>
          <w:noProof/>
        </w:rPr>
        <w:t>(2004)</w:t>
      </w:r>
      <w:r w:rsidRPr="002A1D8B">
        <w:fldChar w:fldCharType="end"/>
      </w:r>
      <w:r w:rsidRPr="002A1D8B">
        <w:t xml:space="preserve"> coarse classification). These two cases are considered as </w:t>
      </w:r>
      <w:r w:rsidRPr="002A1D8B">
        <w:rPr>
          <w:lang w:eastAsia="es-ES"/>
        </w:rPr>
        <w:t>distinct from the floating–pegging</w:t>
      </w:r>
      <w:r w:rsidRPr="002A1D8B">
        <w:t xml:space="preserve"> continuum </w:t>
      </w:r>
      <w:r w:rsidRPr="002A1D8B">
        <w:fldChar w:fldCharType="begin"/>
      </w:r>
      <w:r>
        <w:instrText xml:space="preserve"> ADDIN EN.CITE &lt;EndNote&gt;&lt;Cite&gt;&lt;Author&gt;Meissner&lt;/Author&gt;&lt;Year&gt;2009&lt;/Year&gt;&lt;RecNum&gt;4019&lt;/RecNum&gt;&lt;DisplayText&gt;(Meissner &amp;amp; Oomes, 2009)&lt;/DisplayText&gt;&lt;record&gt;&lt;rec-number&gt;4019&lt;/rec-number&gt;&lt;foreign-keys&gt;&lt;key app="EN" db-id="wxw9eet5tpa22ve22arv5vv0ttr2rawvxwwp" timestamp="1503944558"&gt;4019&lt;/key&gt;&lt;/foreign-keys&gt;&lt;ref-type name="Journal Article"&gt;17&lt;/ref-type&gt;&lt;contributors&gt;&lt;authors&gt;&lt;author&gt;Meissner, Christopher M.&lt;/author&gt;&lt;author&gt;Oomes, Nienke&lt;/author&gt;&lt;/authors&gt;&lt;/contributors&gt;&lt;titles&gt;&lt;title&gt;Why Do Countries Peg the Way They Peg? The Determinants of Anchor Currency Choice&lt;/title&gt;&lt;secondary-title&gt;Journal of International Money and Finance&lt;/secondary-title&gt;&lt;/titles&gt;&lt;periodical&gt;&lt;full-title&gt;Journal of International Money and Finance&lt;/full-title&gt;&lt;/periodical&gt;&lt;pages&gt;522-547&lt;/pages&gt;&lt;volume&gt;28&lt;/volume&gt;&lt;number&gt;3&lt;/number&gt;&lt;keywords&gt;&lt;keyword&gt;Exchange rate regime&lt;/keyword&gt;&lt;keyword&gt;Anchor&lt;/keyword&gt;&lt;keyword&gt;Network externalities&lt;/keyword&gt;&lt;keyword&gt;Optimal currency area&lt;/keyword&gt;&lt;keyword&gt;International currency&lt;/keyword&gt;&lt;keyword&gt;De facto policy&lt;/keyword&gt;&lt;/keywords&gt;&lt;dates&gt;&lt;year&gt;2009&lt;/year&gt;&lt;pub-dates&gt;&lt;date&gt;2009/04/01/&lt;/date&gt;&lt;/pub-dates&gt;&lt;/dates&gt;&lt;isbn&gt;0261-5606&lt;/isbn&gt;&lt;urls&gt;&lt;related-urls&gt;&lt;url&gt;http://www.sciencedirect.com/science/article/pii/S026156060800123X&lt;/url&gt;&lt;/related-urls&gt;&lt;/urls&gt;&lt;electronic-resource-num&gt;http://dx.doi.org/10.1016/j.jimonfin.2008.08.007&lt;/electronic-resource-num&gt;&lt;/record&gt;&lt;/Cite&gt;&lt;/EndNote&gt;</w:instrText>
      </w:r>
      <w:r w:rsidRPr="002A1D8B">
        <w:fldChar w:fldCharType="separate"/>
      </w:r>
      <w:r>
        <w:rPr>
          <w:noProof/>
        </w:rPr>
        <w:t>(Meissner &amp; Oomes, 2009)</w:t>
      </w:r>
      <w:r w:rsidRPr="002A1D8B">
        <w:fldChar w:fldCharType="end"/>
      </w:r>
      <w:r w:rsidRPr="002A1D8B">
        <w:t xml:space="preserve">. This decision excludes 102 observations from our analyses. </w:t>
      </w:r>
    </w:p>
  </w:footnote>
  <w:footnote w:id="15">
    <w:p w14:paraId="5A6C543A" w14:textId="702AE808" w:rsidR="00B00F9B" w:rsidRDefault="00B00F9B">
      <w:pPr>
        <w:pStyle w:val="FootnoteText"/>
      </w:pPr>
      <w:r>
        <w:rPr>
          <w:rStyle w:val="FootnoteReference"/>
        </w:rPr>
        <w:footnoteRef/>
      </w:r>
      <w:r>
        <w:t xml:space="preserve"> </w:t>
      </w:r>
      <w:r w:rsidRPr="00BB6A07">
        <w:t>These regimes became prevalent following successive financial crisis in emerging markets and more recently in the U.S. and the Eurozone area. This period has witnessed a progressive shift in views regarding the viability and pertinence of capital controls as well as the use of precautionary measures (such as the accumulation of international reserves) to tackle financial instability – transforming the trilemma into a quadrilemma once financial stability is also added to the picture (</w:t>
      </w:r>
      <w:proofErr w:type="spellStart"/>
      <w:r w:rsidRPr="00BB6A07">
        <w:t>Ainzenman</w:t>
      </w:r>
      <w:proofErr w:type="spellEnd"/>
      <w:r w:rsidRPr="00BB6A07">
        <w:t xml:space="preserve"> 2018). </w:t>
      </w:r>
    </w:p>
  </w:footnote>
  <w:footnote w:id="16">
    <w:p w14:paraId="0B73C705" w14:textId="6FCF0662" w:rsidR="00B00F9B" w:rsidRPr="001338A7" w:rsidRDefault="00B00F9B" w:rsidP="005A2BA2">
      <w:pPr>
        <w:pStyle w:val="FootnoteText"/>
      </w:pPr>
      <w:r>
        <w:rPr>
          <w:rStyle w:val="FootnoteReference"/>
        </w:rPr>
        <w:footnoteRef/>
      </w:r>
      <w:r>
        <w:t xml:space="preserve"> </w:t>
      </w:r>
      <w:r w:rsidRPr="001338A7">
        <w:t xml:space="preserve">See Table A1 for the list of countries included in the analysis. </w:t>
      </w:r>
      <w:r>
        <w:t>See Table A2 for descriptive</w:t>
      </w:r>
      <w:r w:rsidRPr="001338A7">
        <w:t xml:space="preserve"> statistics. </w:t>
      </w:r>
    </w:p>
  </w:footnote>
  <w:footnote w:id="17">
    <w:p w14:paraId="31A1E1A6" w14:textId="77777777" w:rsidR="00B00F9B" w:rsidRPr="002A1D8B" w:rsidRDefault="00B00F9B" w:rsidP="00A803B0">
      <w:pPr>
        <w:pStyle w:val="Footnotes"/>
      </w:pPr>
      <w:r w:rsidRPr="002A1D8B">
        <w:rPr>
          <w:rStyle w:val="FootnoteReference"/>
        </w:rPr>
        <w:footnoteRef/>
      </w:r>
      <w:r w:rsidRPr="002A1D8B">
        <w:t xml:space="preserve"> However, as we show in models on sub-samples of autocracies and democracies, the result in the pooled sample seems to be driven by autocracies. </w:t>
      </w:r>
    </w:p>
  </w:footnote>
  <w:footnote w:id="18">
    <w:p w14:paraId="2A5A7E30" w14:textId="77777777" w:rsidR="00B00F9B" w:rsidRPr="002A1D8B" w:rsidRDefault="00B00F9B" w:rsidP="00A803B0">
      <w:pPr>
        <w:pStyle w:val="Footnotes"/>
      </w:pPr>
      <w:r w:rsidRPr="002A1D8B">
        <w:rPr>
          <w:rStyle w:val="FootnoteReference"/>
        </w:rPr>
        <w:footnoteRef/>
      </w:r>
      <w:r w:rsidRPr="002A1D8B">
        <w:t xml:space="preserve"> We plot the effect on the probability of observing managed floats instead of free floating because </w:t>
      </w:r>
      <w:r>
        <w:t xml:space="preserve">there are </w:t>
      </w:r>
      <w:r w:rsidRPr="002A1D8B">
        <w:t xml:space="preserve">very few observations in this category. Figure A2 in the appendix shows the marginal effect for each category of exchange rate regime. </w:t>
      </w:r>
    </w:p>
  </w:footnote>
  <w:footnote w:id="19">
    <w:p w14:paraId="6CA7CBF4" w14:textId="4600667C" w:rsidR="00B00F9B" w:rsidRPr="002A1D8B" w:rsidRDefault="00B00F9B" w:rsidP="00A803B0">
      <w:pPr>
        <w:pStyle w:val="Footnotes"/>
        <w:rPr>
          <w:rFonts w:eastAsiaTheme="minorEastAsia"/>
          <w:sz w:val="16"/>
          <w:szCs w:val="16"/>
          <w:lang w:eastAsia="ja-JP"/>
        </w:rPr>
      </w:pPr>
      <w:r w:rsidRPr="002A1D8B">
        <w:rPr>
          <w:rStyle w:val="FootnoteReference"/>
        </w:rPr>
        <w:footnoteRef/>
      </w:r>
      <w:r w:rsidRPr="002A1D8B">
        <w:t xml:space="preserve"> </w:t>
      </w:r>
      <w:r>
        <w:t>U</w:t>
      </w:r>
      <w:r w:rsidRPr="002A1D8B">
        <w:t xml:space="preserve">sing </w:t>
      </w:r>
      <w:r>
        <w:t>fixed effects is</w:t>
      </w:r>
      <w:r w:rsidRPr="002A1D8B">
        <w:t xml:space="preserve"> highly problematic </w:t>
      </w:r>
      <w:r>
        <w:t xml:space="preserve">because it </w:t>
      </w:r>
      <w:r w:rsidR="0017146C">
        <w:t>removes</w:t>
      </w:r>
      <w:r w:rsidR="0017146C" w:rsidRPr="002A1D8B">
        <w:t xml:space="preserve"> </w:t>
      </w:r>
      <w:r w:rsidRPr="002A1D8B">
        <w:t xml:space="preserve">from the estimations many countries </w:t>
      </w:r>
      <w:r>
        <w:t>with</w:t>
      </w:r>
      <w:r w:rsidRPr="002A1D8B">
        <w:t xml:space="preserve"> little variation in exchange rate regimes</w:t>
      </w:r>
      <w:r>
        <w:t xml:space="preserve"> </w:t>
      </w:r>
      <w:r>
        <w:fldChar w:fldCharType="begin"/>
      </w:r>
      <w:r>
        <w:instrText xml:space="preserve"> ADDIN EN.CITE &lt;EndNote&gt;&lt;Cite&gt;&lt;Author&gt;Steinberg&lt;/Author&gt;&lt;Year&gt;2014&lt;/Year&gt;&lt;RecNum&gt;3566&lt;/RecNum&gt;&lt;DisplayText&gt;(Steinberg &amp;amp; Malhotra, 2014)&lt;/DisplayText&gt;&lt;record&gt;&lt;rec-number&gt;3566&lt;/rec-number&gt;&lt;foreign-keys&gt;&lt;key app="EN" db-id="wxw9eet5tpa22ve22arv5vv0ttr2rawvxwwp" timestamp="1468264628"&gt;3566&lt;/key&gt;&lt;/foreign-keys&gt;&lt;ref-type name="Journal Article"&gt;17&lt;/ref-type&gt;&lt;contributors&gt;&lt;authors&gt;&lt;author&gt;Steinberg,David A.&lt;/author&gt;&lt;author&gt;Malhotra,Krishan&lt;/author&gt;&lt;/authors&gt;&lt;/contributors&gt;&lt;titles&gt;&lt;title&gt;The Effect of Authoritarian Regime Type on Exchange Rate Policy&lt;/title&gt;&lt;secondary-title&gt;World Politics&lt;/secondary-title&gt;&lt;/titles&gt;&lt;periodical&gt;&lt;full-title&gt;World Politics&lt;/full-title&gt;&lt;/periodical&gt;&lt;pages&gt;491-529&lt;/pages&gt;&lt;volume&gt;66&lt;/volume&gt;&lt;number&gt;03&lt;/number&gt;&lt;dates&gt;&lt;year&gt;2014&lt;/year&gt;&lt;/dates&gt;&lt;isbn&gt;1086-3338&lt;/isbn&gt;&lt;urls&gt;&lt;related-urls&gt;&lt;url&gt;http://dx.doi.org/10.1017/S0043887114000136&lt;/url&gt;&lt;/related-urls&gt;&lt;/urls&gt;&lt;electronic-resource-num&gt;doi:10.1017/S0043887114000136&lt;/electronic-resource-num&gt;&lt;access-date&gt;2014&lt;/access-date&gt;&lt;/record&gt;&lt;/Cite&gt;&lt;/EndNote&gt;</w:instrText>
      </w:r>
      <w:r>
        <w:fldChar w:fldCharType="separate"/>
      </w:r>
      <w:r>
        <w:rPr>
          <w:noProof/>
        </w:rPr>
        <w:t>(Steinberg &amp; Malhotra, 2014)</w:t>
      </w:r>
      <w:r>
        <w:fldChar w:fldCharType="end"/>
      </w:r>
      <w:r w:rsidRPr="002A1D8B">
        <w:t xml:space="preserve">. </w:t>
      </w:r>
      <w:r>
        <w:t>When we include</w:t>
      </w:r>
      <w:r w:rsidRPr="002A1D8B">
        <w:t xml:space="preserve"> country fixed e</w:t>
      </w:r>
      <w:r>
        <w:t xml:space="preserve">ffects in our </w:t>
      </w:r>
      <w:proofErr w:type="spellStart"/>
      <w:r>
        <w:t>probit</w:t>
      </w:r>
      <w:proofErr w:type="spellEnd"/>
      <w:r>
        <w:t xml:space="preserve"> estimation, </w:t>
      </w:r>
      <w:r w:rsidRPr="002A1D8B">
        <w:t xml:space="preserve">the signs remain the </w:t>
      </w:r>
      <w:proofErr w:type="gramStart"/>
      <w:r w:rsidRPr="002A1D8B">
        <w:t>same</w:t>
      </w:r>
      <w:proofErr w:type="gramEnd"/>
      <w:r w:rsidRPr="002A1D8B">
        <w:t xml:space="preserve"> </w:t>
      </w:r>
      <w:r>
        <w:t>but</w:t>
      </w:r>
      <w:r w:rsidRPr="002A1D8B">
        <w:t xml:space="preserve"> the coefficients lose significance, most likely due to </w:t>
      </w:r>
      <w:r>
        <w:t>fewer</w:t>
      </w:r>
      <w:r w:rsidRPr="002A1D8B">
        <w:t xml:space="preserve"> observations in the </w:t>
      </w:r>
      <w:r>
        <w:t>sample</w:t>
      </w:r>
      <w:r w:rsidRPr="002A1D8B">
        <w:t xml:space="preserve"> (20 autocracies, 274 observations).</w:t>
      </w:r>
    </w:p>
  </w:footnote>
  <w:footnote w:id="20">
    <w:p w14:paraId="7C484BA5" w14:textId="18688F19" w:rsidR="00B00F9B" w:rsidRPr="002A1D8B" w:rsidRDefault="00B00F9B" w:rsidP="00A803B0">
      <w:pPr>
        <w:pStyle w:val="Footnotes"/>
      </w:pPr>
      <w:r w:rsidRPr="002A1D8B">
        <w:rPr>
          <w:rStyle w:val="FootnoteReference"/>
        </w:rPr>
        <w:footnoteRef/>
      </w:r>
      <w:r w:rsidRPr="002A1D8B">
        <w:t xml:space="preserve"> Cross-validation is a leave-one-out method that helps to detect countries that do not fit the model. </w:t>
      </w:r>
      <w:r>
        <w:t>F</w:t>
      </w:r>
      <w:r w:rsidRPr="002A1D8B">
        <w:t xml:space="preserve">irst, the model is estimated leaving one country </w:t>
      </w:r>
      <w:r w:rsidR="0017146C" w:rsidRPr="002A1D8B">
        <w:t xml:space="preserve">out </w:t>
      </w:r>
      <w:r w:rsidRPr="002A1D8B">
        <w:t xml:space="preserve">of the sample; second, the estimated parameters are taken to predict the data of the country that has not been used, and the mean absolute error is calculated for that country; third, the individual value is compared with the mean absolute error of the sample. We do not find any case in which the difference in absolute terms between the individual and the mean absolute error is problematic. </w:t>
      </w:r>
    </w:p>
  </w:footnote>
  <w:footnote w:id="21">
    <w:p w14:paraId="78516B88" w14:textId="77777777" w:rsidR="00B00F9B" w:rsidRPr="002A1D8B" w:rsidRDefault="00B00F9B" w:rsidP="00A803B0">
      <w:pPr>
        <w:pStyle w:val="Footnotes"/>
      </w:pPr>
      <w:r w:rsidRPr="002A1D8B">
        <w:rPr>
          <w:rStyle w:val="FootnoteReference"/>
        </w:rPr>
        <w:footnoteRef/>
      </w:r>
      <w:r w:rsidRPr="002A1D8B">
        <w:t xml:space="preserve"> Arellano-Bond type models are problematic because the number of instruments can become too large for the sample size </w:t>
      </w:r>
      <w:r w:rsidRPr="002A1D8B">
        <w:fldChar w:fldCharType="begin"/>
      </w:r>
      <w:r w:rsidRPr="002A1D8B">
        <w:instrText xml:space="preserve"> ADDIN EN.CITE &lt;EndNote&gt;&lt;Cite&gt;&lt;Author&gt;Roodman&lt;/Author&gt;&lt;Year&gt;2009&lt;/Year&gt;&lt;RecNum&gt;3250&lt;/RecNum&gt;&lt;DisplayText&gt;(Roodman, 2009)&lt;/DisplayText&gt;&lt;record&gt;&lt;rec-number&gt;3250&lt;/rec-number&gt;&lt;foreign-keys&gt;&lt;key app="EN" db-id="wxw9eet5tpa22ve22arv5vv0ttr2rawvxwwp" timestamp="1402946402"&gt;3250&lt;/key&gt;&lt;/foreign-keys&gt;&lt;ref-type name="Journal Article"&gt;17&lt;/ref-type&gt;&lt;contributors&gt;&lt;authors&gt;&lt;author&gt;Roodman, David&lt;/author&gt;&lt;/authors&gt;&lt;/contributors&gt;&lt;titles&gt;&lt;title&gt;How to Do xtabond2: An Introduction to &amp;quot;Difference&amp;quot; and &amp;quot;System&amp;quot; GMM in Stata&lt;/title&gt;&lt;secondary-title&gt;The Stata Journal&lt;/secondary-title&gt;&lt;/titles&gt;&lt;periodical&gt;&lt;full-title&gt;The Stata Journal&lt;/full-title&gt;&lt;/periodical&gt;&lt;pages&gt;86-136&lt;/pages&gt;&lt;volume&gt;9&lt;/volume&gt;&lt;number&gt;1&lt;/number&gt;&lt;dates&gt;&lt;year&gt;2009&lt;/year&gt;&lt;/dates&gt;&lt;urls&gt;&lt;/urls&gt;&lt;/record&gt;&lt;/Cite&gt;&lt;/EndNote&gt;</w:instrText>
      </w:r>
      <w:r w:rsidRPr="002A1D8B">
        <w:fldChar w:fldCharType="separate"/>
      </w:r>
      <w:r w:rsidRPr="002A1D8B">
        <w:rPr>
          <w:noProof/>
        </w:rPr>
        <w:t>(Roodman, 2009)</w:t>
      </w:r>
      <w:r w:rsidRPr="002A1D8B">
        <w:fldChar w:fldCharType="end"/>
      </w:r>
      <w:r w:rsidRPr="002A1D8B">
        <w:t xml:space="preserve">. We use short lags to overcome these issues. </w:t>
      </w:r>
    </w:p>
  </w:footnote>
  <w:footnote w:id="22">
    <w:p w14:paraId="6697494C" w14:textId="77777777" w:rsidR="00B00F9B" w:rsidRPr="002A1D8B" w:rsidRDefault="00B00F9B" w:rsidP="00A803B0">
      <w:pPr>
        <w:pStyle w:val="Footnotes"/>
      </w:pPr>
      <w:r w:rsidRPr="002A1D8B">
        <w:rPr>
          <w:rStyle w:val="FootnoteReference"/>
        </w:rPr>
        <w:footnoteRef/>
      </w:r>
      <w:r w:rsidRPr="002A1D8B">
        <w:t xml:space="preserve"> Both </w:t>
      </w:r>
      <w:proofErr w:type="spellStart"/>
      <w:r w:rsidRPr="002A1D8B">
        <w:t>Sargan</w:t>
      </w:r>
      <w:proofErr w:type="spellEnd"/>
      <w:r w:rsidRPr="002A1D8B">
        <w:t xml:space="preserve"> and Hansen tests of overriding restrictions fail to reject the null hypothesis (H0: overidentifying restrictions are valid). Similarly, the difference-in-Hansen tests of exogeneity of instrument subsets fail to reject the null, suggesting that the instruments are exogenous.</w:t>
      </w:r>
    </w:p>
  </w:footnote>
  <w:footnote w:id="23">
    <w:p w14:paraId="59530EFD" w14:textId="07C73848" w:rsidR="00B00F9B" w:rsidRPr="002A1D8B" w:rsidRDefault="00B00F9B" w:rsidP="00A803B0">
      <w:pPr>
        <w:pStyle w:val="Footnotes"/>
      </w:pPr>
      <w:r w:rsidRPr="002A1D8B">
        <w:rPr>
          <w:rStyle w:val="FootnoteReference"/>
        </w:rPr>
        <w:footnoteRef/>
      </w:r>
      <w:hyperlink r:id="rId1" w:history="1">
        <w:r w:rsidRPr="002A1D8B">
          <w:rPr>
            <w:rStyle w:val="Hyperlink"/>
          </w:rPr>
          <w:t>http://www.un.org/en/development/desa/population/migration/data/estimates2/estimatesorigin.shtml</w:t>
        </w:r>
      </w:hyperlink>
    </w:p>
  </w:footnote>
  <w:footnote w:id="24">
    <w:p w14:paraId="6272DBEC" w14:textId="77777777" w:rsidR="00B00F9B" w:rsidRPr="002A1D8B" w:rsidRDefault="00B00F9B" w:rsidP="00A803B0">
      <w:pPr>
        <w:pStyle w:val="Footnotes"/>
      </w:pPr>
      <w:r w:rsidRPr="002A1D8B">
        <w:rPr>
          <w:rStyle w:val="FootnoteReference"/>
        </w:rPr>
        <w:footnoteRef/>
      </w:r>
      <w:r w:rsidRPr="002A1D8B">
        <w:t xml:space="preserve"> </w:t>
      </w:r>
      <w:hyperlink r:id="rId2" w:history="1">
        <w:r w:rsidRPr="002A1D8B">
          <w:rPr>
            <w:rStyle w:val="Hyperlink"/>
          </w:rPr>
          <w:t>http://www.cepii.fr/cepii/en/bdd_modele/presentation.asp?id=6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w9eet5tpa22ve22arv5vv0ttr2rawvxwwp&quot;&gt;Carolina&amp;apos;s Library 2017&lt;record-ids&gt;&lt;item&gt;32&lt;/item&gt;&lt;item&gt;47&lt;/item&gt;&lt;item&gt;131&lt;/item&gt;&lt;item&gt;133&lt;/item&gt;&lt;item&gt;134&lt;/item&gt;&lt;item&gt;135&lt;/item&gt;&lt;item&gt;813&lt;/item&gt;&lt;item&gt;834&lt;/item&gt;&lt;item&gt;839&lt;/item&gt;&lt;item&gt;1009&lt;/item&gt;&lt;item&gt;1147&lt;/item&gt;&lt;item&gt;1169&lt;/item&gt;&lt;item&gt;1359&lt;/item&gt;&lt;item&gt;1398&lt;/item&gt;&lt;item&gt;1443&lt;/item&gt;&lt;item&gt;1638&lt;/item&gt;&lt;item&gt;2035&lt;/item&gt;&lt;item&gt;2103&lt;/item&gt;&lt;item&gt;2154&lt;/item&gt;&lt;item&gt;2287&lt;/item&gt;&lt;item&gt;2657&lt;/item&gt;&lt;item&gt;3007&lt;/item&gt;&lt;item&gt;3020&lt;/item&gt;&lt;item&gt;3250&lt;/item&gt;&lt;item&gt;3303&lt;/item&gt;&lt;item&gt;3304&lt;/item&gt;&lt;item&gt;3450&lt;/item&gt;&lt;item&gt;3530&lt;/item&gt;&lt;item&gt;3565&lt;/item&gt;&lt;item&gt;3566&lt;/item&gt;&lt;item&gt;3568&lt;/item&gt;&lt;item&gt;3592&lt;/item&gt;&lt;item&gt;3598&lt;/item&gt;&lt;item&gt;3604&lt;/item&gt;&lt;item&gt;3605&lt;/item&gt;&lt;item&gt;3618&lt;/item&gt;&lt;item&gt;3619&lt;/item&gt;&lt;item&gt;3672&lt;/item&gt;&lt;item&gt;3673&lt;/item&gt;&lt;item&gt;3674&lt;/item&gt;&lt;item&gt;3676&lt;/item&gt;&lt;item&gt;3677&lt;/item&gt;&lt;item&gt;3678&lt;/item&gt;&lt;item&gt;3679&lt;/item&gt;&lt;item&gt;3680&lt;/item&gt;&lt;item&gt;3727&lt;/item&gt;&lt;item&gt;3764&lt;/item&gt;&lt;item&gt;3827&lt;/item&gt;&lt;item&gt;3828&lt;/item&gt;&lt;item&gt;3829&lt;/item&gt;&lt;item&gt;3845&lt;/item&gt;&lt;item&gt;3846&lt;/item&gt;&lt;item&gt;3847&lt;/item&gt;&lt;item&gt;3848&lt;/item&gt;&lt;item&gt;3849&lt;/item&gt;&lt;item&gt;3850&lt;/item&gt;&lt;item&gt;3851&lt;/item&gt;&lt;item&gt;3852&lt;/item&gt;&lt;item&gt;3853&lt;/item&gt;&lt;item&gt;3854&lt;/item&gt;&lt;item&gt;3855&lt;/item&gt;&lt;item&gt;3860&lt;/item&gt;&lt;item&gt;3862&lt;/item&gt;&lt;item&gt;3882&lt;/item&gt;&lt;item&gt;3883&lt;/item&gt;&lt;item&gt;3884&lt;/item&gt;&lt;item&gt;3885&lt;/item&gt;&lt;item&gt;3886&lt;/item&gt;&lt;item&gt;3895&lt;/item&gt;&lt;item&gt;3899&lt;/item&gt;&lt;item&gt;3905&lt;/item&gt;&lt;item&gt;3906&lt;/item&gt;&lt;item&gt;3907&lt;/item&gt;&lt;item&gt;3908&lt;/item&gt;&lt;item&gt;3909&lt;/item&gt;&lt;item&gt;3911&lt;/item&gt;&lt;item&gt;3913&lt;/item&gt;&lt;item&gt;3915&lt;/item&gt;&lt;item&gt;3916&lt;/item&gt;&lt;item&gt;4010&lt;/item&gt;&lt;item&gt;4018&lt;/item&gt;&lt;item&gt;4019&lt;/item&gt;&lt;item&gt;4020&lt;/item&gt;&lt;item&gt;4023&lt;/item&gt;&lt;item&gt;4191&lt;/item&gt;&lt;item&gt;4192&lt;/item&gt;&lt;/record-ids&gt;&lt;/item&gt;&lt;/Libraries&gt;"/>
  </w:docVars>
  <w:rsids>
    <w:rsidRoot w:val="002F342A"/>
    <w:rsid w:val="00001899"/>
    <w:rsid w:val="000041D6"/>
    <w:rsid w:val="000049AD"/>
    <w:rsid w:val="000133C0"/>
    <w:rsid w:val="00014C4E"/>
    <w:rsid w:val="00017107"/>
    <w:rsid w:val="000174FA"/>
    <w:rsid w:val="000202E2"/>
    <w:rsid w:val="00022441"/>
    <w:rsid w:val="0002261E"/>
    <w:rsid w:val="00024839"/>
    <w:rsid w:val="00026871"/>
    <w:rsid w:val="00037A98"/>
    <w:rsid w:val="000427FB"/>
    <w:rsid w:val="0004455E"/>
    <w:rsid w:val="00047CB5"/>
    <w:rsid w:val="00051FAA"/>
    <w:rsid w:val="000572A9"/>
    <w:rsid w:val="00061325"/>
    <w:rsid w:val="000733AC"/>
    <w:rsid w:val="00074D22"/>
    <w:rsid w:val="00075081"/>
    <w:rsid w:val="0007528A"/>
    <w:rsid w:val="000811AB"/>
    <w:rsid w:val="00083C5F"/>
    <w:rsid w:val="0009172C"/>
    <w:rsid w:val="000930EC"/>
    <w:rsid w:val="00095E61"/>
    <w:rsid w:val="000966C1"/>
    <w:rsid w:val="000970AC"/>
    <w:rsid w:val="000A1167"/>
    <w:rsid w:val="000A4428"/>
    <w:rsid w:val="000A6D40"/>
    <w:rsid w:val="000A7B86"/>
    <w:rsid w:val="000A7BC3"/>
    <w:rsid w:val="000B1661"/>
    <w:rsid w:val="000B2E88"/>
    <w:rsid w:val="000B4603"/>
    <w:rsid w:val="000C09BE"/>
    <w:rsid w:val="000C1380"/>
    <w:rsid w:val="000C554F"/>
    <w:rsid w:val="000D0DC5"/>
    <w:rsid w:val="000D15F7"/>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0CFB"/>
    <w:rsid w:val="00116023"/>
    <w:rsid w:val="001338A7"/>
    <w:rsid w:val="00134A51"/>
    <w:rsid w:val="00140727"/>
    <w:rsid w:val="00151B4A"/>
    <w:rsid w:val="00156C09"/>
    <w:rsid w:val="00160628"/>
    <w:rsid w:val="00161344"/>
    <w:rsid w:val="00162195"/>
    <w:rsid w:val="0016322A"/>
    <w:rsid w:val="00165A21"/>
    <w:rsid w:val="001702A8"/>
    <w:rsid w:val="001705CE"/>
    <w:rsid w:val="0017146C"/>
    <w:rsid w:val="0017714B"/>
    <w:rsid w:val="001804DF"/>
    <w:rsid w:val="00181BDC"/>
    <w:rsid w:val="00181DB0"/>
    <w:rsid w:val="001829E3"/>
    <w:rsid w:val="0019731E"/>
    <w:rsid w:val="001A09FE"/>
    <w:rsid w:val="001A3531"/>
    <w:rsid w:val="001A67C9"/>
    <w:rsid w:val="001A69DE"/>
    <w:rsid w:val="001B1C7C"/>
    <w:rsid w:val="001B34FB"/>
    <w:rsid w:val="001B398F"/>
    <w:rsid w:val="001B46C6"/>
    <w:rsid w:val="001B4B48"/>
    <w:rsid w:val="001B4D1F"/>
    <w:rsid w:val="001B7681"/>
    <w:rsid w:val="001B7728"/>
    <w:rsid w:val="001B7CAE"/>
    <w:rsid w:val="001C0772"/>
    <w:rsid w:val="001C0D4F"/>
    <w:rsid w:val="001C1DEC"/>
    <w:rsid w:val="001C5736"/>
    <w:rsid w:val="001D15E4"/>
    <w:rsid w:val="001D4A49"/>
    <w:rsid w:val="001D4D8E"/>
    <w:rsid w:val="001E0572"/>
    <w:rsid w:val="001E0A67"/>
    <w:rsid w:val="001E1028"/>
    <w:rsid w:val="001E14E2"/>
    <w:rsid w:val="001E35B6"/>
    <w:rsid w:val="001E6302"/>
    <w:rsid w:val="001E7DCB"/>
    <w:rsid w:val="001F3411"/>
    <w:rsid w:val="001F4287"/>
    <w:rsid w:val="001F4DBA"/>
    <w:rsid w:val="0020415E"/>
    <w:rsid w:val="00204FF4"/>
    <w:rsid w:val="0021056E"/>
    <w:rsid w:val="0021075D"/>
    <w:rsid w:val="0021165A"/>
    <w:rsid w:val="00211BC9"/>
    <w:rsid w:val="002148ED"/>
    <w:rsid w:val="0021620C"/>
    <w:rsid w:val="00216E78"/>
    <w:rsid w:val="00217275"/>
    <w:rsid w:val="00226E8A"/>
    <w:rsid w:val="00231BB0"/>
    <w:rsid w:val="00236F4B"/>
    <w:rsid w:val="00242B0D"/>
    <w:rsid w:val="00242CB4"/>
    <w:rsid w:val="002467C6"/>
    <w:rsid w:val="0024692A"/>
    <w:rsid w:val="00252BBA"/>
    <w:rsid w:val="00253123"/>
    <w:rsid w:val="00255B91"/>
    <w:rsid w:val="00264001"/>
    <w:rsid w:val="00266354"/>
    <w:rsid w:val="00267A18"/>
    <w:rsid w:val="0027033D"/>
    <w:rsid w:val="00273462"/>
    <w:rsid w:val="0027395B"/>
    <w:rsid w:val="0027514C"/>
    <w:rsid w:val="00275854"/>
    <w:rsid w:val="00282F1F"/>
    <w:rsid w:val="002831D2"/>
    <w:rsid w:val="00283B41"/>
    <w:rsid w:val="00285F28"/>
    <w:rsid w:val="00286398"/>
    <w:rsid w:val="002A3C42"/>
    <w:rsid w:val="002A5D75"/>
    <w:rsid w:val="002B1B1A"/>
    <w:rsid w:val="002B7228"/>
    <w:rsid w:val="002C2141"/>
    <w:rsid w:val="002C53EE"/>
    <w:rsid w:val="002D24F7"/>
    <w:rsid w:val="002D2799"/>
    <w:rsid w:val="002D2CD7"/>
    <w:rsid w:val="002D4DDC"/>
    <w:rsid w:val="002D4F75"/>
    <w:rsid w:val="002D6493"/>
    <w:rsid w:val="002D7AB6"/>
    <w:rsid w:val="002E06D0"/>
    <w:rsid w:val="002E3C27"/>
    <w:rsid w:val="002E403A"/>
    <w:rsid w:val="002E7F3A"/>
    <w:rsid w:val="002F342A"/>
    <w:rsid w:val="002F4EDB"/>
    <w:rsid w:val="002F6054"/>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57897"/>
    <w:rsid w:val="003607FB"/>
    <w:rsid w:val="00360FD5"/>
    <w:rsid w:val="003634A5"/>
    <w:rsid w:val="0036522D"/>
    <w:rsid w:val="00366868"/>
    <w:rsid w:val="00367506"/>
    <w:rsid w:val="00370085"/>
    <w:rsid w:val="003744A7"/>
    <w:rsid w:val="00376235"/>
    <w:rsid w:val="00381FB6"/>
    <w:rsid w:val="003836D3"/>
    <w:rsid w:val="00383A52"/>
    <w:rsid w:val="00385CD3"/>
    <w:rsid w:val="00391652"/>
    <w:rsid w:val="0039507F"/>
    <w:rsid w:val="003A05DE"/>
    <w:rsid w:val="003A1260"/>
    <w:rsid w:val="003A130B"/>
    <w:rsid w:val="003A295F"/>
    <w:rsid w:val="003A41DD"/>
    <w:rsid w:val="003A4B8F"/>
    <w:rsid w:val="003A7033"/>
    <w:rsid w:val="003B47FE"/>
    <w:rsid w:val="003B5673"/>
    <w:rsid w:val="003B62C9"/>
    <w:rsid w:val="003C2C47"/>
    <w:rsid w:val="003C7176"/>
    <w:rsid w:val="003C7AEB"/>
    <w:rsid w:val="003D0929"/>
    <w:rsid w:val="003D3754"/>
    <w:rsid w:val="003D4729"/>
    <w:rsid w:val="003D7DD6"/>
    <w:rsid w:val="003E095B"/>
    <w:rsid w:val="003E5AAF"/>
    <w:rsid w:val="003E600D"/>
    <w:rsid w:val="003E61C2"/>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738A"/>
    <w:rsid w:val="004473D3"/>
    <w:rsid w:val="00452231"/>
    <w:rsid w:val="00460C13"/>
    <w:rsid w:val="00463228"/>
    <w:rsid w:val="00463782"/>
    <w:rsid w:val="004667E0"/>
    <w:rsid w:val="0046760E"/>
    <w:rsid w:val="00470E10"/>
    <w:rsid w:val="00473368"/>
    <w:rsid w:val="00477A97"/>
    <w:rsid w:val="00481343"/>
    <w:rsid w:val="00483796"/>
    <w:rsid w:val="0048549E"/>
    <w:rsid w:val="00486441"/>
    <w:rsid w:val="00491E8C"/>
    <w:rsid w:val="00493347"/>
    <w:rsid w:val="00496092"/>
    <w:rsid w:val="004A08DB"/>
    <w:rsid w:val="004A25D0"/>
    <w:rsid w:val="004A37E8"/>
    <w:rsid w:val="004A7476"/>
    <w:rsid w:val="004A7549"/>
    <w:rsid w:val="004B09D4"/>
    <w:rsid w:val="004B2BDB"/>
    <w:rsid w:val="004B330A"/>
    <w:rsid w:val="004B7C8E"/>
    <w:rsid w:val="004C5AF5"/>
    <w:rsid w:val="004D0EDC"/>
    <w:rsid w:val="004D1220"/>
    <w:rsid w:val="004D14B3"/>
    <w:rsid w:val="004D1529"/>
    <w:rsid w:val="004D2253"/>
    <w:rsid w:val="004D4464"/>
    <w:rsid w:val="004D5514"/>
    <w:rsid w:val="004D56C3"/>
    <w:rsid w:val="004E0338"/>
    <w:rsid w:val="004E0786"/>
    <w:rsid w:val="004E1988"/>
    <w:rsid w:val="004E4FF3"/>
    <w:rsid w:val="004E56A8"/>
    <w:rsid w:val="004E76A6"/>
    <w:rsid w:val="004F3B55"/>
    <w:rsid w:val="004F4E46"/>
    <w:rsid w:val="004F6B7D"/>
    <w:rsid w:val="005015F6"/>
    <w:rsid w:val="005030C4"/>
    <w:rsid w:val="005031C5"/>
    <w:rsid w:val="00504A60"/>
    <w:rsid w:val="00504FDC"/>
    <w:rsid w:val="005120CC"/>
    <w:rsid w:val="00512B7B"/>
    <w:rsid w:val="00514EA1"/>
    <w:rsid w:val="005165A4"/>
    <w:rsid w:val="00516AAB"/>
    <w:rsid w:val="0051798B"/>
    <w:rsid w:val="00521F5A"/>
    <w:rsid w:val="00525E06"/>
    <w:rsid w:val="00526454"/>
    <w:rsid w:val="00526D26"/>
    <w:rsid w:val="00531823"/>
    <w:rsid w:val="00534ECC"/>
    <w:rsid w:val="0053720D"/>
    <w:rsid w:val="00540EF5"/>
    <w:rsid w:val="00541BF3"/>
    <w:rsid w:val="00541CD3"/>
    <w:rsid w:val="0054561D"/>
    <w:rsid w:val="005476FA"/>
    <w:rsid w:val="0055595E"/>
    <w:rsid w:val="00557988"/>
    <w:rsid w:val="005629A2"/>
    <w:rsid w:val="00562C49"/>
    <w:rsid w:val="00562DEF"/>
    <w:rsid w:val="00563A35"/>
    <w:rsid w:val="00566596"/>
    <w:rsid w:val="005741E9"/>
    <w:rsid w:val="005748CF"/>
    <w:rsid w:val="00584270"/>
    <w:rsid w:val="00584738"/>
    <w:rsid w:val="005879F6"/>
    <w:rsid w:val="005920B0"/>
    <w:rsid w:val="0059380D"/>
    <w:rsid w:val="00595A8F"/>
    <w:rsid w:val="0059645B"/>
    <w:rsid w:val="00597BF2"/>
    <w:rsid w:val="005A2BA2"/>
    <w:rsid w:val="005B134E"/>
    <w:rsid w:val="005B2039"/>
    <w:rsid w:val="005B344F"/>
    <w:rsid w:val="005B3FBA"/>
    <w:rsid w:val="005B4A1D"/>
    <w:rsid w:val="005B674D"/>
    <w:rsid w:val="005C0CBE"/>
    <w:rsid w:val="005C1FCF"/>
    <w:rsid w:val="005D1885"/>
    <w:rsid w:val="005D436D"/>
    <w:rsid w:val="005D4A38"/>
    <w:rsid w:val="005E2D5D"/>
    <w:rsid w:val="005E2EEA"/>
    <w:rsid w:val="005E3708"/>
    <w:rsid w:val="005E3CCD"/>
    <w:rsid w:val="005E3D6B"/>
    <w:rsid w:val="005E5E4A"/>
    <w:rsid w:val="005E693D"/>
    <w:rsid w:val="005E75BF"/>
    <w:rsid w:val="005F57BA"/>
    <w:rsid w:val="005F61E6"/>
    <w:rsid w:val="005F6C45"/>
    <w:rsid w:val="00605A69"/>
    <w:rsid w:val="00606C54"/>
    <w:rsid w:val="00610EC3"/>
    <w:rsid w:val="00614375"/>
    <w:rsid w:val="00615B0A"/>
    <w:rsid w:val="006168CF"/>
    <w:rsid w:val="0062011B"/>
    <w:rsid w:val="00621789"/>
    <w:rsid w:val="00626DE0"/>
    <w:rsid w:val="00630901"/>
    <w:rsid w:val="00631F8E"/>
    <w:rsid w:val="00636EE9"/>
    <w:rsid w:val="006376FC"/>
    <w:rsid w:val="00640950"/>
    <w:rsid w:val="0064197B"/>
    <w:rsid w:val="00641AE7"/>
    <w:rsid w:val="00642629"/>
    <w:rsid w:val="0064382D"/>
    <w:rsid w:val="00650A75"/>
    <w:rsid w:val="0065293D"/>
    <w:rsid w:val="00653EFC"/>
    <w:rsid w:val="00654021"/>
    <w:rsid w:val="00660625"/>
    <w:rsid w:val="00661045"/>
    <w:rsid w:val="00666DA8"/>
    <w:rsid w:val="00671057"/>
    <w:rsid w:val="006747CF"/>
    <w:rsid w:val="00675AAF"/>
    <w:rsid w:val="0068031A"/>
    <w:rsid w:val="00681B2F"/>
    <w:rsid w:val="0068335F"/>
    <w:rsid w:val="006931D3"/>
    <w:rsid w:val="00693302"/>
    <w:rsid w:val="0069640B"/>
    <w:rsid w:val="006A1B83"/>
    <w:rsid w:val="006A21CD"/>
    <w:rsid w:val="006A5918"/>
    <w:rsid w:val="006B21B2"/>
    <w:rsid w:val="006B4A4A"/>
    <w:rsid w:val="006B6FE3"/>
    <w:rsid w:val="006C19B2"/>
    <w:rsid w:val="006C5BB8"/>
    <w:rsid w:val="006C6936"/>
    <w:rsid w:val="006C7B01"/>
    <w:rsid w:val="006D0866"/>
    <w:rsid w:val="006D0FE8"/>
    <w:rsid w:val="006D3009"/>
    <w:rsid w:val="006D4B2B"/>
    <w:rsid w:val="006D4F3C"/>
    <w:rsid w:val="006D5C66"/>
    <w:rsid w:val="006E1B3C"/>
    <w:rsid w:val="006E23FB"/>
    <w:rsid w:val="006E325A"/>
    <w:rsid w:val="006E33EC"/>
    <w:rsid w:val="006E3802"/>
    <w:rsid w:val="006E613F"/>
    <w:rsid w:val="006E6C02"/>
    <w:rsid w:val="006F231A"/>
    <w:rsid w:val="006F788D"/>
    <w:rsid w:val="006F78E1"/>
    <w:rsid w:val="00701072"/>
    <w:rsid w:val="00702054"/>
    <w:rsid w:val="007035A4"/>
    <w:rsid w:val="00703796"/>
    <w:rsid w:val="00711799"/>
    <w:rsid w:val="00712B78"/>
    <w:rsid w:val="0071393B"/>
    <w:rsid w:val="00713EE2"/>
    <w:rsid w:val="007177FC"/>
    <w:rsid w:val="00720C5E"/>
    <w:rsid w:val="00721701"/>
    <w:rsid w:val="0072690F"/>
    <w:rsid w:val="00731835"/>
    <w:rsid w:val="00733050"/>
    <w:rsid w:val="007341F8"/>
    <w:rsid w:val="00734372"/>
    <w:rsid w:val="00734EB8"/>
    <w:rsid w:val="00735F8B"/>
    <w:rsid w:val="00740827"/>
    <w:rsid w:val="00742D1F"/>
    <w:rsid w:val="00743EBA"/>
    <w:rsid w:val="00744C8E"/>
    <w:rsid w:val="0074707E"/>
    <w:rsid w:val="007516DC"/>
    <w:rsid w:val="00754B80"/>
    <w:rsid w:val="00760CAC"/>
    <w:rsid w:val="00761918"/>
    <w:rsid w:val="00762F03"/>
    <w:rsid w:val="0076413B"/>
    <w:rsid w:val="007648AE"/>
    <w:rsid w:val="00764BF8"/>
    <w:rsid w:val="0076514D"/>
    <w:rsid w:val="00773D59"/>
    <w:rsid w:val="00781003"/>
    <w:rsid w:val="007839F5"/>
    <w:rsid w:val="00790B81"/>
    <w:rsid w:val="007911FD"/>
    <w:rsid w:val="00793930"/>
    <w:rsid w:val="00793DD1"/>
    <w:rsid w:val="00794FEC"/>
    <w:rsid w:val="00796A05"/>
    <w:rsid w:val="00797B0C"/>
    <w:rsid w:val="007A003E"/>
    <w:rsid w:val="007A1965"/>
    <w:rsid w:val="007A2ED1"/>
    <w:rsid w:val="007A4BE6"/>
    <w:rsid w:val="007B0DC6"/>
    <w:rsid w:val="007B1094"/>
    <w:rsid w:val="007B1762"/>
    <w:rsid w:val="007B197B"/>
    <w:rsid w:val="007B3320"/>
    <w:rsid w:val="007B4A77"/>
    <w:rsid w:val="007B74BF"/>
    <w:rsid w:val="007C301F"/>
    <w:rsid w:val="007C4540"/>
    <w:rsid w:val="007C4B8C"/>
    <w:rsid w:val="007C5611"/>
    <w:rsid w:val="007C65AF"/>
    <w:rsid w:val="007D135D"/>
    <w:rsid w:val="007D730F"/>
    <w:rsid w:val="007D7CD8"/>
    <w:rsid w:val="007E0DA9"/>
    <w:rsid w:val="007E15FA"/>
    <w:rsid w:val="007E3AA7"/>
    <w:rsid w:val="007F0426"/>
    <w:rsid w:val="007F6CAD"/>
    <w:rsid w:val="007F737D"/>
    <w:rsid w:val="0080308E"/>
    <w:rsid w:val="00806705"/>
    <w:rsid w:val="00806738"/>
    <w:rsid w:val="008216D5"/>
    <w:rsid w:val="00822C7F"/>
    <w:rsid w:val="008249CE"/>
    <w:rsid w:val="00831A50"/>
    <w:rsid w:val="00831B3C"/>
    <w:rsid w:val="00831C89"/>
    <w:rsid w:val="00832114"/>
    <w:rsid w:val="0083431C"/>
    <w:rsid w:val="00834C46"/>
    <w:rsid w:val="0084093E"/>
    <w:rsid w:val="00841CE1"/>
    <w:rsid w:val="008452FC"/>
    <w:rsid w:val="008473D8"/>
    <w:rsid w:val="0085172C"/>
    <w:rsid w:val="008528DC"/>
    <w:rsid w:val="00852B8C"/>
    <w:rsid w:val="00854981"/>
    <w:rsid w:val="00864B2E"/>
    <w:rsid w:val="00865963"/>
    <w:rsid w:val="0087450E"/>
    <w:rsid w:val="00875A82"/>
    <w:rsid w:val="00876CA3"/>
    <w:rsid w:val="008772FE"/>
    <w:rsid w:val="008775F1"/>
    <w:rsid w:val="008821AE"/>
    <w:rsid w:val="00883D3A"/>
    <w:rsid w:val="008854F7"/>
    <w:rsid w:val="00885A9D"/>
    <w:rsid w:val="008924AB"/>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FBA"/>
    <w:rsid w:val="008C5AFB"/>
    <w:rsid w:val="008D07FB"/>
    <w:rsid w:val="008D0C02"/>
    <w:rsid w:val="008D357D"/>
    <w:rsid w:val="008E387B"/>
    <w:rsid w:val="008E6087"/>
    <w:rsid w:val="008E758D"/>
    <w:rsid w:val="008F10A7"/>
    <w:rsid w:val="008F22B3"/>
    <w:rsid w:val="008F755D"/>
    <w:rsid w:val="008F7A39"/>
    <w:rsid w:val="00901199"/>
    <w:rsid w:val="009021E8"/>
    <w:rsid w:val="00911440"/>
    <w:rsid w:val="00911712"/>
    <w:rsid w:val="00911B27"/>
    <w:rsid w:val="00915A24"/>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2807"/>
    <w:rsid w:val="009876D4"/>
    <w:rsid w:val="009914A5"/>
    <w:rsid w:val="0099548E"/>
    <w:rsid w:val="00996456"/>
    <w:rsid w:val="00996A12"/>
    <w:rsid w:val="00997B0F"/>
    <w:rsid w:val="009A1CAD"/>
    <w:rsid w:val="009A3440"/>
    <w:rsid w:val="009A5832"/>
    <w:rsid w:val="009A6838"/>
    <w:rsid w:val="009B063D"/>
    <w:rsid w:val="009B24B5"/>
    <w:rsid w:val="009B4235"/>
    <w:rsid w:val="009B4EBC"/>
    <w:rsid w:val="009B5ABB"/>
    <w:rsid w:val="009B73CE"/>
    <w:rsid w:val="009C2461"/>
    <w:rsid w:val="009C2D6B"/>
    <w:rsid w:val="009C52AB"/>
    <w:rsid w:val="009C6FE2"/>
    <w:rsid w:val="009C7674"/>
    <w:rsid w:val="009D004A"/>
    <w:rsid w:val="009D1C2E"/>
    <w:rsid w:val="009D5880"/>
    <w:rsid w:val="009E3B07"/>
    <w:rsid w:val="009E51D1"/>
    <w:rsid w:val="009E5531"/>
    <w:rsid w:val="009F0489"/>
    <w:rsid w:val="009F171E"/>
    <w:rsid w:val="009F3D2F"/>
    <w:rsid w:val="009F574B"/>
    <w:rsid w:val="009F6FDF"/>
    <w:rsid w:val="009F7052"/>
    <w:rsid w:val="00A02668"/>
    <w:rsid w:val="00A02801"/>
    <w:rsid w:val="00A02EEA"/>
    <w:rsid w:val="00A05F7B"/>
    <w:rsid w:val="00A06A39"/>
    <w:rsid w:val="00A07F58"/>
    <w:rsid w:val="00A131CB"/>
    <w:rsid w:val="00A14847"/>
    <w:rsid w:val="00A16D6D"/>
    <w:rsid w:val="00A21383"/>
    <w:rsid w:val="00A2199F"/>
    <w:rsid w:val="00A21B31"/>
    <w:rsid w:val="00A2360E"/>
    <w:rsid w:val="00A242D9"/>
    <w:rsid w:val="00A26E0C"/>
    <w:rsid w:val="00A32FCB"/>
    <w:rsid w:val="00A34C25"/>
    <w:rsid w:val="00A3507D"/>
    <w:rsid w:val="00A36737"/>
    <w:rsid w:val="00A3717A"/>
    <w:rsid w:val="00A4088C"/>
    <w:rsid w:val="00A4456B"/>
    <w:rsid w:val="00A448D4"/>
    <w:rsid w:val="00A452E0"/>
    <w:rsid w:val="00A51EA5"/>
    <w:rsid w:val="00A53742"/>
    <w:rsid w:val="00A557A1"/>
    <w:rsid w:val="00A63059"/>
    <w:rsid w:val="00A63AE3"/>
    <w:rsid w:val="00A64DE1"/>
    <w:rsid w:val="00A651A4"/>
    <w:rsid w:val="00A67181"/>
    <w:rsid w:val="00A71361"/>
    <w:rsid w:val="00A746E2"/>
    <w:rsid w:val="00A803B0"/>
    <w:rsid w:val="00A81FF2"/>
    <w:rsid w:val="00A83904"/>
    <w:rsid w:val="00A865EC"/>
    <w:rsid w:val="00A90A79"/>
    <w:rsid w:val="00A936EB"/>
    <w:rsid w:val="00A96B30"/>
    <w:rsid w:val="00AA35A3"/>
    <w:rsid w:val="00AA59B5"/>
    <w:rsid w:val="00AA7777"/>
    <w:rsid w:val="00AA7B84"/>
    <w:rsid w:val="00AB0AB9"/>
    <w:rsid w:val="00AC0B4C"/>
    <w:rsid w:val="00AC1164"/>
    <w:rsid w:val="00AC132B"/>
    <w:rsid w:val="00AC2296"/>
    <w:rsid w:val="00AC2754"/>
    <w:rsid w:val="00AC48B0"/>
    <w:rsid w:val="00AC4ACD"/>
    <w:rsid w:val="00AC5DFB"/>
    <w:rsid w:val="00AD13DC"/>
    <w:rsid w:val="00AD6DE2"/>
    <w:rsid w:val="00AD7FBC"/>
    <w:rsid w:val="00AE0A40"/>
    <w:rsid w:val="00AE1ED4"/>
    <w:rsid w:val="00AE21E1"/>
    <w:rsid w:val="00AE2F8D"/>
    <w:rsid w:val="00AE3BAE"/>
    <w:rsid w:val="00AE4390"/>
    <w:rsid w:val="00AE6A21"/>
    <w:rsid w:val="00AF1C8F"/>
    <w:rsid w:val="00AF2B68"/>
    <w:rsid w:val="00AF2C92"/>
    <w:rsid w:val="00AF3EC1"/>
    <w:rsid w:val="00AF5025"/>
    <w:rsid w:val="00AF519F"/>
    <w:rsid w:val="00AF5387"/>
    <w:rsid w:val="00AF55F5"/>
    <w:rsid w:val="00AF7E86"/>
    <w:rsid w:val="00B00F9B"/>
    <w:rsid w:val="00B024B9"/>
    <w:rsid w:val="00B077FA"/>
    <w:rsid w:val="00B127D7"/>
    <w:rsid w:val="00B13B0C"/>
    <w:rsid w:val="00B1453A"/>
    <w:rsid w:val="00B20F82"/>
    <w:rsid w:val="00B25BD5"/>
    <w:rsid w:val="00B27D07"/>
    <w:rsid w:val="00B34079"/>
    <w:rsid w:val="00B3793A"/>
    <w:rsid w:val="00B401BA"/>
    <w:rsid w:val="00B407E4"/>
    <w:rsid w:val="00B425B6"/>
    <w:rsid w:val="00B42A72"/>
    <w:rsid w:val="00B42C66"/>
    <w:rsid w:val="00B441AE"/>
    <w:rsid w:val="00B45F33"/>
    <w:rsid w:val="00B46D50"/>
    <w:rsid w:val="00B53170"/>
    <w:rsid w:val="00B62999"/>
    <w:rsid w:val="00B63BE3"/>
    <w:rsid w:val="00B64885"/>
    <w:rsid w:val="00B66810"/>
    <w:rsid w:val="00B72BE3"/>
    <w:rsid w:val="00B73B80"/>
    <w:rsid w:val="00B75C7E"/>
    <w:rsid w:val="00B770C7"/>
    <w:rsid w:val="00B80F26"/>
    <w:rsid w:val="00B822BD"/>
    <w:rsid w:val="00B842F4"/>
    <w:rsid w:val="00B84DFE"/>
    <w:rsid w:val="00B91A7B"/>
    <w:rsid w:val="00B929DD"/>
    <w:rsid w:val="00B95405"/>
    <w:rsid w:val="00B963F1"/>
    <w:rsid w:val="00BA020A"/>
    <w:rsid w:val="00BB02A4"/>
    <w:rsid w:val="00BB1270"/>
    <w:rsid w:val="00BB1E44"/>
    <w:rsid w:val="00BB5267"/>
    <w:rsid w:val="00BB52B8"/>
    <w:rsid w:val="00BB59D8"/>
    <w:rsid w:val="00BB6A07"/>
    <w:rsid w:val="00BB7E69"/>
    <w:rsid w:val="00BC2DA7"/>
    <w:rsid w:val="00BC3C1F"/>
    <w:rsid w:val="00BC7CE7"/>
    <w:rsid w:val="00BD295E"/>
    <w:rsid w:val="00BD4664"/>
    <w:rsid w:val="00BE1193"/>
    <w:rsid w:val="00BF4849"/>
    <w:rsid w:val="00BF4EA7"/>
    <w:rsid w:val="00BF798A"/>
    <w:rsid w:val="00C00EDB"/>
    <w:rsid w:val="00C02863"/>
    <w:rsid w:val="00C0383A"/>
    <w:rsid w:val="00C067FF"/>
    <w:rsid w:val="00C11EE0"/>
    <w:rsid w:val="00C12862"/>
    <w:rsid w:val="00C13D28"/>
    <w:rsid w:val="00C14585"/>
    <w:rsid w:val="00C165A0"/>
    <w:rsid w:val="00C170C0"/>
    <w:rsid w:val="00C216CE"/>
    <w:rsid w:val="00C2184F"/>
    <w:rsid w:val="00C22A78"/>
    <w:rsid w:val="00C23C7E"/>
    <w:rsid w:val="00C246C5"/>
    <w:rsid w:val="00C25A82"/>
    <w:rsid w:val="00C30A2A"/>
    <w:rsid w:val="00C33993"/>
    <w:rsid w:val="00C4069E"/>
    <w:rsid w:val="00C41ADC"/>
    <w:rsid w:val="00C43ACE"/>
    <w:rsid w:val="00C44149"/>
    <w:rsid w:val="00C44410"/>
    <w:rsid w:val="00C44A15"/>
    <w:rsid w:val="00C4630A"/>
    <w:rsid w:val="00C523F0"/>
    <w:rsid w:val="00C526D2"/>
    <w:rsid w:val="00C5794E"/>
    <w:rsid w:val="00C60968"/>
    <w:rsid w:val="00C63D39"/>
    <w:rsid w:val="00C63EDD"/>
    <w:rsid w:val="00C65B36"/>
    <w:rsid w:val="00C7292E"/>
    <w:rsid w:val="00C74E88"/>
    <w:rsid w:val="00C80924"/>
    <w:rsid w:val="00C8286B"/>
    <w:rsid w:val="00C83DF6"/>
    <w:rsid w:val="00C947F8"/>
    <w:rsid w:val="00C9515F"/>
    <w:rsid w:val="00C963C5"/>
    <w:rsid w:val="00CA030C"/>
    <w:rsid w:val="00CA0E72"/>
    <w:rsid w:val="00CA1F41"/>
    <w:rsid w:val="00CA32EE"/>
    <w:rsid w:val="00CA6A1A"/>
    <w:rsid w:val="00CC1E75"/>
    <w:rsid w:val="00CC2E0E"/>
    <w:rsid w:val="00CC361C"/>
    <w:rsid w:val="00CC450E"/>
    <w:rsid w:val="00CC474B"/>
    <w:rsid w:val="00CC658C"/>
    <w:rsid w:val="00CC67BF"/>
    <w:rsid w:val="00CD0843"/>
    <w:rsid w:val="00CD5A78"/>
    <w:rsid w:val="00CD7345"/>
    <w:rsid w:val="00CE372E"/>
    <w:rsid w:val="00CE3F20"/>
    <w:rsid w:val="00CF0A1B"/>
    <w:rsid w:val="00CF1552"/>
    <w:rsid w:val="00CF19F6"/>
    <w:rsid w:val="00CF1DAD"/>
    <w:rsid w:val="00CF2F4F"/>
    <w:rsid w:val="00CF536D"/>
    <w:rsid w:val="00D10CB8"/>
    <w:rsid w:val="00D12806"/>
    <w:rsid w:val="00D12D13"/>
    <w:rsid w:val="00D12D44"/>
    <w:rsid w:val="00D1307C"/>
    <w:rsid w:val="00D14293"/>
    <w:rsid w:val="00D15018"/>
    <w:rsid w:val="00D158AC"/>
    <w:rsid w:val="00D1694C"/>
    <w:rsid w:val="00D20F5E"/>
    <w:rsid w:val="00D23B76"/>
    <w:rsid w:val="00D26003"/>
    <w:rsid w:val="00D379A3"/>
    <w:rsid w:val="00D43272"/>
    <w:rsid w:val="00D458FE"/>
    <w:rsid w:val="00D45FF3"/>
    <w:rsid w:val="00D5078E"/>
    <w:rsid w:val="00D512CF"/>
    <w:rsid w:val="00D528B9"/>
    <w:rsid w:val="00D53186"/>
    <w:rsid w:val="00D5487D"/>
    <w:rsid w:val="00D60140"/>
    <w:rsid w:val="00D6024A"/>
    <w:rsid w:val="00D608B5"/>
    <w:rsid w:val="00D669A9"/>
    <w:rsid w:val="00D67E15"/>
    <w:rsid w:val="00D67FDF"/>
    <w:rsid w:val="00D71F99"/>
    <w:rsid w:val="00D73CA4"/>
    <w:rsid w:val="00D73D71"/>
    <w:rsid w:val="00D74396"/>
    <w:rsid w:val="00D80284"/>
    <w:rsid w:val="00D80F2A"/>
    <w:rsid w:val="00D81F71"/>
    <w:rsid w:val="00D8642D"/>
    <w:rsid w:val="00D868D9"/>
    <w:rsid w:val="00D90A5E"/>
    <w:rsid w:val="00D91A68"/>
    <w:rsid w:val="00D93CF1"/>
    <w:rsid w:val="00D95A68"/>
    <w:rsid w:val="00DA17C7"/>
    <w:rsid w:val="00DA6A9A"/>
    <w:rsid w:val="00DA6FC7"/>
    <w:rsid w:val="00DB1EFD"/>
    <w:rsid w:val="00DB242D"/>
    <w:rsid w:val="00DB3EAF"/>
    <w:rsid w:val="00DC3203"/>
    <w:rsid w:val="00DC3C99"/>
    <w:rsid w:val="00DC52F5"/>
    <w:rsid w:val="00DC5B61"/>
    <w:rsid w:val="00DC5FD0"/>
    <w:rsid w:val="00DD0354"/>
    <w:rsid w:val="00DD27D7"/>
    <w:rsid w:val="00DD458C"/>
    <w:rsid w:val="00DD72E9"/>
    <w:rsid w:val="00DD7605"/>
    <w:rsid w:val="00DE2020"/>
    <w:rsid w:val="00DE23C5"/>
    <w:rsid w:val="00DE3476"/>
    <w:rsid w:val="00DE6D23"/>
    <w:rsid w:val="00DF5B84"/>
    <w:rsid w:val="00DF6D5B"/>
    <w:rsid w:val="00DF771B"/>
    <w:rsid w:val="00DF7EE2"/>
    <w:rsid w:val="00E014C8"/>
    <w:rsid w:val="00E01BAA"/>
    <w:rsid w:val="00E0282A"/>
    <w:rsid w:val="00E07E14"/>
    <w:rsid w:val="00E14F94"/>
    <w:rsid w:val="00E17336"/>
    <w:rsid w:val="00E17D15"/>
    <w:rsid w:val="00E22B95"/>
    <w:rsid w:val="00E249EC"/>
    <w:rsid w:val="00E30331"/>
    <w:rsid w:val="00E30BB8"/>
    <w:rsid w:val="00E31F9C"/>
    <w:rsid w:val="00E40488"/>
    <w:rsid w:val="00E458E2"/>
    <w:rsid w:val="00E50367"/>
    <w:rsid w:val="00E51ABA"/>
    <w:rsid w:val="00E524CB"/>
    <w:rsid w:val="00E65456"/>
    <w:rsid w:val="00E65A91"/>
    <w:rsid w:val="00E66188"/>
    <w:rsid w:val="00E664FB"/>
    <w:rsid w:val="00E70373"/>
    <w:rsid w:val="00E72E40"/>
    <w:rsid w:val="00E73665"/>
    <w:rsid w:val="00E73999"/>
    <w:rsid w:val="00E73BDC"/>
    <w:rsid w:val="00E73E9E"/>
    <w:rsid w:val="00E74FAD"/>
    <w:rsid w:val="00E773DE"/>
    <w:rsid w:val="00E77DB9"/>
    <w:rsid w:val="00E81660"/>
    <w:rsid w:val="00E850EE"/>
    <w:rsid w:val="00E854FE"/>
    <w:rsid w:val="00E906CC"/>
    <w:rsid w:val="00E939A0"/>
    <w:rsid w:val="00E97E4E"/>
    <w:rsid w:val="00EA1CC2"/>
    <w:rsid w:val="00EA2D76"/>
    <w:rsid w:val="00EA4644"/>
    <w:rsid w:val="00EA758A"/>
    <w:rsid w:val="00EB199F"/>
    <w:rsid w:val="00EB27C4"/>
    <w:rsid w:val="00EB5387"/>
    <w:rsid w:val="00EB5C10"/>
    <w:rsid w:val="00EB7322"/>
    <w:rsid w:val="00EC0FE9"/>
    <w:rsid w:val="00EC426D"/>
    <w:rsid w:val="00EC571B"/>
    <w:rsid w:val="00EC57D7"/>
    <w:rsid w:val="00EC6385"/>
    <w:rsid w:val="00ED1DE9"/>
    <w:rsid w:val="00ED23D4"/>
    <w:rsid w:val="00ED5E0B"/>
    <w:rsid w:val="00EE37B6"/>
    <w:rsid w:val="00EF0F45"/>
    <w:rsid w:val="00EF4052"/>
    <w:rsid w:val="00EF7463"/>
    <w:rsid w:val="00F002EF"/>
    <w:rsid w:val="00F01EE9"/>
    <w:rsid w:val="00F02F94"/>
    <w:rsid w:val="00F04900"/>
    <w:rsid w:val="00F065A4"/>
    <w:rsid w:val="00F126B9"/>
    <w:rsid w:val="00F12715"/>
    <w:rsid w:val="00F144D5"/>
    <w:rsid w:val="00F146F0"/>
    <w:rsid w:val="00F15039"/>
    <w:rsid w:val="00F1519D"/>
    <w:rsid w:val="00F20FF3"/>
    <w:rsid w:val="00F2190B"/>
    <w:rsid w:val="00F228B5"/>
    <w:rsid w:val="00F2389C"/>
    <w:rsid w:val="00F2423F"/>
    <w:rsid w:val="00F25C67"/>
    <w:rsid w:val="00F30DFF"/>
    <w:rsid w:val="00F32B80"/>
    <w:rsid w:val="00F340EB"/>
    <w:rsid w:val="00F35285"/>
    <w:rsid w:val="00F43B9D"/>
    <w:rsid w:val="00F44D5E"/>
    <w:rsid w:val="00F5230E"/>
    <w:rsid w:val="00F52497"/>
    <w:rsid w:val="00F52FDD"/>
    <w:rsid w:val="00F53A35"/>
    <w:rsid w:val="00F55A3D"/>
    <w:rsid w:val="00F5744B"/>
    <w:rsid w:val="00F61209"/>
    <w:rsid w:val="00F6259E"/>
    <w:rsid w:val="00F65DD4"/>
    <w:rsid w:val="00F672B2"/>
    <w:rsid w:val="00F83973"/>
    <w:rsid w:val="00F86B51"/>
    <w:rsid w:val="00F86D70"/>
    <w:rsid w:val="00F87FA3"/>
    <w:rsid w:val="00F93D8C"/>
    <w:rsid w:val="00F94A9B"/>
    <w:rsid w:val="00FA3102"/>
    <w:rsid w:val="00FA48D4"/>
    <w:rsid w:val="00FA54FA"/>
    <w:rsid w:val="00FB227E"/>
    <w:rsid w:val="00FB3D61"/>
    <w:rsid w:val="00FB44CE"/>
    <w:rsid w:val="00FB5009"/>
    <w:rsid w:val="00FB6B17"/>
    <w:rsid w:val="00FB76AB"/>
    <w:rsid w:val="00FC0546"/>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B51436"/>
  <w15:docId w15:val="{4C5D9DA0-EE62-4E7D-9009-6276DD7B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5A2BA2"/>
    <w:pPr>
      <w:spacing w:line="360" w:lineRule="auto"/>
      <w:ind w:left="426" w:hanging="426"/>
    </w:pPr>
    <w:rPr>
      <w:sz w:val="22"/>
      <w:szCs w:val="20"/>
    </w:rPr>
  </w:style>
  <w:style w:type="character" w:customStyle="1" w:styleId="FootnoteTextChar">
    <w:name w:val="Footnote Text Char"/>
    <w:basedOn w:val="DefaultParagraphFont"/>
    <w:link w:val="FootnoteText"/>
    <w:rsid w:val="005A2BA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uiPriority w:val="99"/>
    <w:rsid w:val="006C19B2"/>
    <w:pPr>
      <w:ind w:left="284" w:hanging="284"/>
    </w:pPr>
    <w:rPr>
      <w:sz w:val="22"/>
      <w:szCs w:val="20"/>
    </w:rPr>
  </w:style>
  <w:style w:type="character" w:customStyle="1" w:styleId="EndnoteTextChar">
    <w:name w:val="Endnote Text Char"/>
    <w:basedOn w:val="DefaultParagraphFont"/>
    <w:link w:val="EndnoteText"/>
    <w:uiPriority w:val="99"/>
    <w:rsid w:val="006C19B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Emphasis">
    <w:name w:val="Emphasis"/>
    <w:basedOn w:val="DefaultParagraphFont"/>
    <w:uiPriority w:val="20"/>
    <w:qFormat/>
    <w:rsid w:val="00EF4052"/>
    <w:rPr>
      <w:i/>
      <w:iCs/>
    </w:rPr>
  </w:style>
  <w:style w:type="paragraph" w:styleId="CommentText">
    <w:name w:val="annotation text"/>
    <w:basedOn w:val="Normal"/>
    <w:link w:val="CommentTextChar"/>
    <w:uiPriority w:val="99"/>
    <w:unhideWhenUsed/>
    <w:rsid w:val="00A803B0"/>
    <w:pPr>
      <w:spacing w:after="120" w:line="240" w:lineRule="auto"/>
    </w:pPr>
    <w:rPr>
      <w:lang w:val="en-US" w:eastAsia="it-IT"/>
    </w:rPr>
  </w:style>
  <w:style w:type="character" w:customStyle="1" w:styleId="CommentTextChar">
    <w:name w:val="Comment Text Char"/>
    <w:basedOn w:val="DefaultParagraphFont"/>
    <w:link w:val="CommentText"/>
    <w:uiPriority w:val="99"/>
    <w:rsid w:val="00A803B0"/>
    <w:rPr>
      <w:sz w:val="24"/>
      <w:szCs w:val="24"/>
      <w:lang w:val="en-US" w:eastAsia="it-IT"/>
    </w:rPr>
  </w:style>
  <w:style w:type="paragraph" w:styleId="BalloonText">
    <w:name w:val="Balloon Text"/>
    <w:basedOn w:val="Normal"/>
    <w:link w:val="BalloonTextChar"/>
    <w:rsid w:val="00A803B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A803B0"/>
    <w:rPr>
      <w:rFonts w:ascii="Lucida Grande" w:hAnsi="Lucida Grande" w:cs="Lucida Grande"/>
      <w:sz w:val="18"/>
      <w:szCs w:val="18"/>
    </w:rPr>
  </w:style>
  <w:style w:type="character" w:styleId="Hyperlink">
    <w:name w:val="Hyperlink"/>
    <w:rsid w:val="00A803B0"/>
    <w:rPr>
      <w:color w:val="0000FF"/>
      <w:u w:val="single"/>
    </w:rPr>
  </w:style>
  <w:style w:type="character" w:styleId="PageNumber">
    <w:name w:val="page number"/>
    <w:basedOn w:val="DefaultParagraphFont"/>
    <w:rsid w:val="00A803B0"/>
  </w:style>
  <w:style w:type="paragraph" w:customStyle="1" w:styleId="EndNoteBibliographyTitle">
    <w:name w:val="EndNote Bibliography Title"/>
    <w:basedOn w:val="Normal"/>
    <w:rsid w:val="00AC132B"/>
    <w:pPr>
      <w:jc w:val="center"/>
    </w:pPr>
  </w:style>
  <w:style w:type="paragraph" w:customStyle="1" w:styleId="EndNoteBibliography">
    <w:name w:val="EndNote Bibliography"/>
    <w:basedOn w:val="Normal"/>
    <w:rsid w:val="00AC132B"/>
    <w:pPr>
      <w:spacing w:line="240" w:lineRule="auto"/>
    </w:pPr>
  </w:style>
  <w:style w:type="character" w:styleId="CommentReference">
    <w:name w:val="annotation reference"/>
    <w:basedOn w:val="DefaultParagraphFont"/>
    <w:semiHidden/>
    <w:unhideWhenUsed/>
    <w:rsid w:val="00E458E2"/>
    <w:rPr>
      <w:sz w:val="16"/>
      <w:szCs w:val="16"/>
    </w:rPr>
  </w:style>
  <w:style w:type="paragraph" w:styleId="CommentSubject">
    <w:name w:val="annotation subject"/>
    <w:basedOn w:val="CommentText"/>
    <w:next w:val="CommentText"/>
    <w:link w:val="CommentSubjectChar"/>
    <w:semiHidden/>
    <w:unhideWhenUsed/>
    <w:rsid w:val="00E458E2"/>
    <w:pPr>
      <w:spacing w:after="0"/>
    </w:pPr>
    <w:rPr>
      <w:b/>
      <w:bCs/>
      <w:sz w:val="20"/>
      <w:szCs w:val="20"/>
      <w:lang w:val="en-GB" w:eastAsia="en-GB"/>
    </w:rPr>
  </w:style>
  <w:style w:type="character" w:customStyle="1" w:styleId="CommentSubjectChar">
    <w:name w:val="Comment Subject Char"/>
    <w:basedOn w:val="CommentTextChar"/>
    <w:link w:val="CommentSubject"/>
    <w:semiHidden/>
    <w:rsid w:val="00E458E2"/>
    <w:rPr>
      <w:b/>
      <w:bCs/>
      <w:sz w:val="24"/>
      <w:szCs w:val="24"/>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6729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46374903">
      <w:bodyDiv w:val="1"/>
      <w:marLeft w:val="0"/>
      <w:marRight w:val="0"/>
      <w:marTop w:val="0"/>
      <w:marBottom w:val="0"/>
      <w:divBdr>
        <w:top w:val="none" w:sz="0" w:space="0" w:color="auto"/>
        <w:left w:val="none" w:sz="0" w:space="0" w:color="auto"/>
        <w:bottom w:val="none" w:sz="0" w:space="0" w:color="auto"/>
        <w:right w:val="none" w:sz="0" w:space="0" w:color="auto"/>
      </w:divBdr>
    </w:div>
    <w:div w:id="1703825966">
      <w:bodyDiv w:val="1"/>
      <w:marLeft w:val="0"/>
      <w:marRight w:val="0"/>
      <w:marTop w:val="0"/>
      <w:marBottom w:val="0"/>
      <w:divBdr>
        <w:top w:val="none" w:sz="0" w:space="0" w:color="auto"/>
        <w:left w:val="none" w:sz="0" w:space="0" w:color="auto"/>
        <w:bottom w:val="none" w:sz="0" w:space="0" w:color="auto"/>
        <w:right w:val="none" w:sz="0" w:space="0" w:color="auto"/>
      </w:divBdr>
    </w:div>
    <w:div w:id="20602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worlddev.2011.09.014" TargetMode="External"/><Relationship Id="rId13" Type="http://schemas.openxmlformats.org/officeDocument/2006/relationships/hyperlink" Target="http://dx.doi.org/10.1016/j.rdf.2010.10.003" TargetMode="External"/><Relationship Id="rId18" Type="http://schemas.openxmlformats.org/officeDocument/2006/relationships/hyperlink" Target="http://www.worldbank.org/en/news/infographic/2017/04/21/trends-in-migration-and-remittances-2017"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dx.doi.org/10.1016/0304-4076(94)01642-D" TargetMode="External"/><Relationship Id="rId17" Type="http://schemas.openxmlformats.org/officeDocument/2006/relationships/hyperlink" Target="http://dx.doi.org/10.1016/j.jimonfin.2008.08.007" TargetMode="External"/><Relationship Id="rId2" Type="http://schemas.openxmlformats.org/officeDocument/2006/relationships/numbering" Target="numbering.xml"/><Relationship Id="rId16" Type="http://schemas.openxmlformats.org/officeDocument/2006/relationships/hyperlink" Target="http://dx.doi.org/10.1016/j.jdeveco.2012.02.00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worlddev.2011.05.01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016/j.worlddev.2010.10.006" TargetMode="External"/><Relationship Id="rId23" Type="http://schemas.openxmlformats.org/officeDocument/2006/relationships/fontTable" Target="fontTable.xml"/><Relationship Id="rId10" Type="http://schemas.openxmlformats.org/officeDocument/2006/relationships/hyperlink" Target="http://dx.doi.org/10.1016/j.worlddev.2005.05.00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016/j.worlddev.2010.03.003" TargetMode="External"/><Relationship Id="rId14" Type="http://schemas.openxmlformats.org/officeDocument/2006/relationships/hyperlink" Target="http://dx.doi.org/10.1016/S0304-4076(98)00009-8" TargetMode="External"/><Relationship Id="rId22" Type="http://schemas.openxmlformats.org/officeDocument/2006/relationships/image" Target="media/image2.emf"/></Relationships>
</file>

<file path=word/_rels/footnotes.xml.rels><?xml version="1.0" encoding="UTF-8" standalone="yes"?>
<Relationships xmlns="http://schemas.openxmlformats.org/package/2006/relationships"><Relationship Id="rId2" Type="http://schemas.openxmlformats.org/officeDocument/2006/relationships/hyperlink" Target="http://www.cepii.fr/cepii/en/bdd_modele/presentation.asp?id=6" TargetMode="External"/><Relationship Id="rId1" Type="http://schemas.openxmlformats.org/officeDocument/2006/relationships/hyperlink" Target="http://www.un.org/en/development/desa/population/migration/data/estimates2/estimatesorigi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FCA8D-EA40-4159-8C53-7AEA8A716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17138</Words>
  <Characters>97692</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114601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Ana Carolina Garriga</dc:creator>
  <cp:keywords/>
  <dc:description/>
  <cp:lastModifiedBy>Covadonga Meseguer</cp:lastModifiedBy>
  <cp:revision>2</cp:revision>
  <cp:lastPrinted>2011-07-22T14:54:00Z</cp:lastPrinted>
  <dcterms:created xsi:type="dcterms:W3CDTF">2019-02-08T11:29:00Z</dcterms:created>
  <dcterms:modified xsi:type="dcterms:W3CDTF">2019-02-08T11:29:00Z</dcterms:modified>
  <cp:category/>
</cp:coreProperties>
</file>