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EE7" w:rsidRPr="000C0426" w:rsidRDefault="00922BA7" w:rsidP="000C0426">
      <w:pPr>
        <w:spacing w:before="100" w:beforeAutospacing="1" w:after="100" w:afterAutospacing="1" w:line="360" w:lineRule="auto"/>
        <w:jc w:val="both"/>
        <w:rPr>
          <w:rFonts w:ascii="Arial" w:hAnsi="Arial" w:cs="Arial"/>
          <w:b/>
          <w:bCs/>
        </w:rPr>
      </w:pPr>
      <w:r w:rsidRPr="000C0426">
        <w:rPr>
          <w:rFonts w:ascii="Arial" w:hAnsi="Arial" w:cs="Arial"/>
          <w:b/>
          <w:bCs/>
        </w:rPr>
        <w:t>T</w:t>
      </w:r>
      <w:r w:rsidR="001B5EE7" w:rsidRPr="000C0426">
        <w:rPr>
          <w:rFonts w:ascii="Arial" w:hAnsi="Arial" w:cs="Arial"/>
          <w:b/>
          <w:bCs/>
        </w:rPr>
        <w:t xml:space="preserve">he effects of </w:t>
      </w:r>
      <w:proofErr w:type="spellStart"/>
      <w:r w:rsidR="001B5EE7" w:rsidRPr="000C0426">
        <w:rPr>
          <w:rFonts w:ascii="Arial" w:hAnsi="Arial" w:cs="Arial"/>
          <w:b/>
          <w:bCs/>
        </w:rPr>
        <w:t>copayment</w:t>
      </w:r>
      <w:proofErr w:type="spellEnd"/>
      <w:r w:rsidR="001B5EE7" w:rsidRPr="000C0426">
        <w:rPr>
          <w:rFonts w:ascii="Arial" w:hAnsi="Arial" w:cs="Arial"/>
          <w:b/>
          <w:bCs/>
        </w:rPr>
        <w:t xml:space="preserve"> in primary health care</w:t>
      </w:r>
      <w:r w:rsidRPr="000C0426">
        <w:rPr>
          <w:rFonts w:ascii="Arial" w:hAnsi="Arial" w:cs="Arial"/>
          <w:b/>
          <w:bCs/>
        </w:rPr>
        <w:t xml:space="preserve">: evidence from a natural experiment. </w:t>
      </w:r>
    </w:p>
    <w:p w:rsidR="000C0426" w:rsidRPr="000C0426" w:rsidRDefault="000C0426" w:rsidP="000C0426">
      <w:pPr>
        <w:autoSpaceDE w:val="0"/>
        <w:autoSpaceDN w:val="0"/>
        <w:adjustRightInd w:val="0"/>
        <w:jc w:val="both"/>
        <w:rPr>
          <w:rFonts w:ascii="Arial" w:hAnsi="Arial" w:cs="Arial"/>
          <w:lang w:val="es-ES" w:eastAsia="es-ES"/>
        </w:rPr>
      </w:pPr>
      <w:r w:rsidRPr="000C0426">
        <w:rPr>
          <w:rFonts w:ascii="Arial" w:hAnsi="Arial" w:cs="Arial"/>
          <w:lang w:val="es-ES" w:eastAsia="es-ES"/>
        </w:rPr>
        <w:t>Laia Maynou</w:t>
      </w:r>
      <w:r w:rsidRPr="000C0426">
        <w:rPr>
          <w:rFonts w:ascii="Arial" w:hAnsi="Arial" w:cs="Arial"/>
          <w:vertAlign w:val="superscript"/>
          <w:lang w:val="es-ES" w:eastAsia="es-ES"/>
        </w:rPr>
        <w:t>1,2,3,4</w:t>
      </w:r>
      <w:r w:rsidRPr="000C0426">
        <w:rPr>
          <w:rFonts w:ascii="Arial" w:hAnsi="Arial" w:cs="Arial"/>
          <w:lang w:val="es-ES" w:eastAsia="es-ES"/>
        </w:rPr>
        <w:t xml:space="preserve"> </w:t>
      </w:r>
      <w:r w:rsidRPr="000C0426">
        <w:rPr>
          <w:rFonts w:ascii="Arial" w:hAnsi="Arial" w:cs="Arial"/>
          <w:lang w:val="es-ES" w:eastAsia="es-ES"/>
        </w:rPr>
        <w:t>Gabriel Coll-de-Tuero</w:t>
      </w:r>
      <w:r w:rsidRPr="000C0426">
        <w:rPr>
          <w:rFonts w:ascii="Arial" w:hAnsi="Arial" w:cs="Arial"/>
          <w:vertAlign w:val="superscript"/>
          <w:lang w:val="es-ES" w:eastAsia="es-ES"/>
        </w:rPr>
        <w:t>4,5,6</w:t>
      </w:r>
      <w:r w:rsidRPr="000C0426">
        <w:rPr>
          <w:rFonts w:ascii="Arial" w:hAnsi="Arial" w:cs="Arial"/>
          <w:lang w:val="es-ES" w:eastAsia="es-ES"/>
        </w:rPr>
        <w:t>,</w:t>
      </w:r>
      <w:r w:rsidRPr="000C0426">
        <w:rPr>
          <w:rFonts w:ascii="Arial" w:hAnsi="Arial" w:cs="Arial"/>
          <w:lang w:val="es-ES" w:eastAsia="es-ES"/>
        </w:rPr>
        <w:t xml:space="preserve"> </w:t>
      </w:r>
      <w:r w:rsidRPr="000C0426">
        <w:rPr>
          <w:rFonts w:ascii="Arial" w:hAnsi="Arial" w:cs="Arial"/>
          <w:lang w:val="es-ES" w:eastAsia="es-ES"/>
        </w:rPr>
        <w:t>Marc Saez</w:t>
      </w:r>
      <w:r w:rsidRPr="000C0426">
        <w:rPr>
          <w:rFonts w:ascii="Arial" w:hAnsi="Arial" w:cs="Arial"/>
          <w:vertAlign w:val="superscript"/>
          <w:lang w:val="es-ES" w:eastAsia="es-ES"/>
        </w:rPr>
        <w:t>2,3,</w:t>
      </w:r>
      <w:r w:rsidRPr="000C0426">
        <w:rPr>
          <w:rFonts w:ascii="Arial" w:hAnsi="Arial" w:cs="Arial"/>
          <w:vertAlign w:val="superscript"/>
          <w:lang w:val="es-ES" w:eastAsia="es-ES"/>
        </w:rPr>
        <w:t>4</w:t>
      </w:r>
    </w:p>
    <w:p w:rsidR="000C0426" w:rsidRPr="000C0426" w:rsidRDefault="000C0426" w:rsidP="000C0426">
      <w:pPr>
        <w:autoSpaceDE w:val="0"/>
        <w:autoSpaceDN w:val="0"/>
        <w:adjustRightInd w:val="0"/>
        <w:spacing w:line="360" w:lineRule="auto"/>
        <w:jc w:val="both"/>
        <w:rPr>
          <w:rFonts w:ascii="Arial" w:hAnsi="Arial" w:cs="Arial"/>
          <w:lang w:val="es-ES" w:eastAsia="es-ES"/>
        </w:rPr>
      </w:pPr>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vertAlign w:val="superscript"/>
          <w:lang w:eastAsia="es-ES"/>
        </w:rPr>
        <w:t>1</w:t>
      </w:r>
      <w:r w:rsidRPr="000C0426">
        <w:rPr>
          <w:rFonts w:ascii="Arial" w:hAnsi="Arial" w:cs="Arial"/>
          <w:lang w:eastAsia="es-ES"/>
        </w:rPr>
        <w:t>Department of Health Policy, London School of Economics and</w:t>
      </w:r>
      <w:r>
        <w:rPr>
          <w:rFonts w:ascii="Arial" w:hAnsi="Arial" w:cs="Arial"/>
          <w:lang w:eastAsia="es-ES"/>
        </w:rPr>
        <w:t xml:space="preserve"> </w:t>
      </w:r>
      <w:r w:rsidRPr="000C0426">
        <w:rPr>
          <w:rFonts w:ascii="Arial" w:hAnsi="Arial" w:cs="Arial"/>
          <w:lang w:eastAsia="es-ES"/>
        </w:rPr>
        <w:t>Political Science (LSE), London, UK</w:t>
      </w:r>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vertAlign w:val="superscript"/>
          <w:lang w:eastAsia="es-ES"/>
        </w:rPr>
        <w:t>2</w:t>
      </w:r>
      <w:r w:rsidRPr="000C0426">
        <w:rPr>
          <w:rFonts w:ascii="Arial" w:hAnsi="Arial" w:cs="Arial"/>
          <w:lang w:eastAsia="es-ES"/>
        </w:rPr>
        <w:t xml:space="preserve">Center for Research in Health and Economics (CRES), </w:t>
      </w:r>
      <w:proofErr w:type="spellStart"/>
      <w:r w:rsidRPr="000C0426">
        <w:rPr>
          <w:rFonts w:ascii="Arial" w:hAnsi="Arial" w:cs="Arial"/>
          <w:lang w:eastAsia="es-ES"/>
        </w:rPr>
        <w:t>Universitat</w:t>
      </w:r>
      <w:proofErr w:type="spellEnd"/>
      <w:r>
        <w:rPr>
          <w:rFonts w:ascii="Arial" w:hAnsi="Arial" w:cs="Arial"/>
          <w:lang w:eastAsia="es-ES"/>
        </w:rPr>
        <w:t xml:space="preserve"> </w:t>
      </w:r>
      <w:proofErr w:type="spellStart"/>
      <w:r w:rsidRPr="000C0426">
        <w:rPr>
          <w:rFonts w:ascii="Arial" w:hAnsi="Arial" w:cs="Arial"/>
          <w:lang w:eastAsia="es-ES"/>
        </w:rPr>
        <w:t>Pompeu</w:t>
      </w:r>
      <w:proofErr w:type="spellEnd"/>
      <w:r w:rsidRPr="000C0426">
        <w:rPr>
          <w:rFonts w:ascii="Arial" w:hAnsi="Arial" w:cs="Arial"/>
          <w:lang w:eastAsia="es-ES"/>
        </w:rPr>
        <w:t xml:space="preserve"> </w:t>
      </w:r>
      <w:proofErr w:type="spellStart"/>
      <w:r w:rsidRPr="000C0426">
        <w:rPr>
          <w:rFonts w:ascii="Arial" w:hAnsi="Arial" w:cs="Arial"/>
          <w:lang w:eastAsia="es-ES"/>
        </w:rPr>
        <w:t>Fabra</w:t>
      </w:r>
      <w:proofErr w:type="spellEnd"/>
      <w:r w:rsidRPr="000C0426">
        <w:rPr>
          <w:rFonts w:ascii="Arial" w:hAnsi="Arial" w:cs="Arial"/>
          <w:lang w:eastAsia="es-ES"/>
        </w:rPr>
        <w:t>, Barcelona, Spain</w:t>
      </w:r>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vertAlign w:val="superscript"/>
          <w:lang w:eastAsia="es-ES"/>
        </w:rPr>
        <w:t>3</w:t>
      </w:r>
      <w:r w:rsidRPr="000C0426">
        <w:rPr>
          <w:rFonts w:ascii="Arial" w:hAnsi="Arial" w:cs="Arial"/>
          <w:lang w:eastAsia="es-ES"/>
        </w:rPr>
        <w:t>Research Group on Statistics, Econometrics and Health</w:t>
      </w:r>
      <w:r>
        <w:rPr>
          <w:rFonts w:ascii="Arial" w:hAnsi="Arial" w:cs="Arial"/>
          <w:lang w:eastAsia="es-ES"/>
        </w:rPr>
        <w:t xml:space="preserve"> </w:t>
      </w:r>
      <w:r w:rsidRPr="000C0426">
        <w:rPr>
          <w:rFonts w:ascii="Arial" w:hAnsi="Arial" w:cs="Arial"/>
          <w:lang w:eastAsia="es-ES"/>
        </w:rPr>
        <w:t>(GRECS), University of Girona, Girona, Spain</w:t>
      </w:r>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vertAlign w:val="superscript"/>
          <w:lang w:eastAsia="es-ES"/>
        </w:rPr>
        <w:t>4</w:t>
      </w:r>
      <w:r w:rsidRPr="000C0426">
        <w:rPr>
          <w:rFonts w:ascii="Arial" w:hAnsi="Arial" w:cs="Arial"/>
          <w:lang w:eastAsia="es-ES"/>
        </w:rPr>
        <w:t>CIBER of Epidemiology and Public Health</w:t>
      </w:r>
      <w:r>
        <w:rPr>
          <w:rFonts w:ascii="Arial" w:hAnsi="Arial" w:cs="Arial"/>
          <w:lang w:eastAsia="es-ES"/>
        </w:rPr>
        <w:t xml:space="preserve"> </w:t>
      </w:r>
      <w:r w:rsidRPr="000C0426">
        <w:rPr>
          <w:rFonts w:ascii="Arial" w:hAnsi="Arial" w:cs="Arial"/>
          <w:lang w:eastAsia="es-ES"/>
        </w:rPr>
        <w:t>(CIBERESP), Barcelona, Spain</w:t>
      </w:r>
    </w:p>
    <w:p w:rsidR="000C0426" w:rsidRPr="000C0426" w:rsidRDefault="000C0426" w:rsidP="000C0426">
      <w:pPr>
        <w:autoSpaceDE w:val="0"/>
        <w:autoSpaceDN w:val="0"/>
        <w:adjustRightInd w:val="0"/>
        <w:spacing w:line="360" w:lineRule="auto"/>
        <w:jc w:val="both"/>
        <w:rPr>
          <w:rFonts w:ascii="Arial" w:hAnsi="Arial" w:cs="Arial"/>
          <w:lang w:val="es-ES" w:eastAsia="es-ES"/>
        </w:rPr>
      </w:pPr>
      <w:r w:rsidRPr="000C0426">
        <w:rPr>
          <w:rFonts w:ascii="Arial" w:hAnsi="Arial" w:cs="Arial"/>
          <w:vertAlign w:val="superscript"/>
          <w:lang w:val="es-ES" w:eastAsia="es-ES"/>
        </w:rPr>
        <w:t>5</w:t>
      </w:r>
      <w:r w:rsidRPr="000C0426">
        <w:rPr>
          <w:rFonts w:ascii="Arial" w:hAnsi="Arial" w:cs="Arial"/>
          <w:lang w:val="es-ES" w:eastAsia="es-ES"/>
        </w:rPr>
        <w:t xml:space="preserve">MEHTARISC </w:t>
      </w:r>
      <w:proofErr w:type="spellStart"/>
      <w:r w:rsidRPr="000C0426">
        <w:rPr>
          <w:rFonts w:ascii="Arial" w:hAnsi="Arial" w:cs="Arial"/>
          <w:lang w:val="es-ES" w:eastAsia="es-ES"/>
        </w:rPr>
        <w:t>Group</w:t>
      </w:r>
      <w:proofErr w:type="spellEnd"/>
      <w:r w:rsidRPr="000C0426">
        <w:rPr>
          <w:rFonts w:ascii="Arial" w:hAnsi="Arial" w:cs="Arial"/>
          <w:lang w:val="es-ES" w:eastAsia="es-ES"/>
        </w:rPr>
        <w:t xml:space="preserve">. </w:t>
      </w:r>
      <w:proofErr w:type="spellStart"/>
      <w:r w:rsidRPr="000C0426">
        <w:rPr>
          <w:rFonts w:ascii="Arial" w:hAnsi="Arial" w:cs="Arial"/>
          <w:lang w:val="es-ES" w:eastAsia="es-ES"/>
        </w:rPr>
        <w:t>Unitat</w:t>
      </w:r>
      <w:proofErr w:type="spellEnd"/>
      <w:r w:rsidRPr="000C0426">
        <w:rPr>
          <w:rFonts w:ascii="Arial" w:hAnsi="Arial" w:cs="Arial"/>
          <w:lang w:val="es-ES" w:eastAsia="es-ES"/>
        </w:rPr>
        <w:t xml:space="preserve"> de </w:t>
      </w:r>
      <w:proofErr w:type="spellStart"/>
      <w:r w:rsidRPr="000C0426">
        <w:rPr>
          <w:rFonts w:ascii="Arial" w:hAnsi="Arial" w:cs="Arial"/>
          <w:lang w:val="es-ES" w:eastAsia="es-ES"/>
        </w:rPr>
        <w:t>Suport</w:t>
      </w:r>
      <w:proofErr w:type="spellEnd"/>
      <w:r w:rsidRPr="000C0426">
        <w:rPr>
          <w:rFonts w:ascii="Arial" w:hAnsi="Arial" w:cs="Arial"/>
          <w:lang w:val="es-ES" w:eastAsia="es-ES"/>
        </w:rPr>
        <w:t xml:space="preserve"> a la Recerca</w:t>
      </w:r>
      <w:r>
        <w:rPr>
          <w:rFonts w:ascii="Arial" w:hAnsi="Arial" w:cs="Arial"/>
          <w:lang w:val="es-ES" w:eastAsia="es-ES"/>
        </w:rPr>
        <w:t xml:space="preserve"> </w:t>
      </w:r>
      <w:r w:rsidRPr="000C0426">
        <w:rPr>
          <w:rFonts w:ascii="Arial" w:hAnsi="Arial" w:cs="Arial"/>
          <w:lang w:val="es-ES" w:eastAsia="es-ES"/>
        </w:rPr>
        <w:t xml:space="preserve">Girona, </w:t>
      </w:r>
      <w:proofErr w:type="spellStart"/>
      <w:r w:rsidRPr="000C0426">
        <w:rPr>
          <w:rFonts w:ascii="Arial" w:hAnsi="Arial" w:cs="Arial"/>
          <w:lang w:val="es-ES" w:eastAsia="es-ES"/>
        </w:rPr>
        <w:t>Institut</w:t>
      </w:r>
      <w:proofErr w:type="spellEnd"/>
      <w:r w:rsidRPr="000C0426">
        <w:rPr>
          <w:rFonts w:ascii="Arial" w:hAnsi="Arial" w:cs="Arial"/>
          <w:lang w:val="es-ES" w:eastAsia="es-ES"/>
        </w:rPr>
        <w:t xml:space="preserve"> </w:t>
      </w:r>
      <w:proofErr w:type="spellStart"/>
      <w:r w:rsidRPr="000C0426">
        <w:rPr>
          <w:rFonts w:ascii="Arial" w:hAnsi="Arial" w:cs="Arial"/>
          <w:lang w:val="es-ES" w:eastAsia="es-ES"/>
        </w:rPr>
        <w:t>Universitari</w:t>
      </w:r>
      <w:proofErr w:type="spellEnd"/>
      <w:r w:rsidRPr="000C0426">
        <w:rPr>
          <w:rFonts w:ascii="Arial" w:hAnsi="Arial" w:cs="Arial"/>
          <w:lang w:val="es-ES" w:eastAsia="es-ES"/>
        </w:rPr>
        <w:t xml:space="preserve"> </w:t>
      </w:r>
      <w:proofErr w:type="spellStart"/>
      <w:r w:rsidRPr="000C0426">
        <w:rPr>
          <w:rFonts w:ascii="Arial" w:hAnsi="Arial" w:cs="Arial"/>
          <w:lang w:val="es-ES" w:eastAsia="es-ES"/>
        </w:rPr>
        <w:t>d'Investigació</w:t>
      </w:r>
      <w:proofErr w:type="spellEnd"/>
      <w:r w:rsidRPr="000C0426">
        <w:rPr>
          <w:rFonts w:ascii="Arial" w:hAnsi="Arial" w:cs="Arial"/>
          <w:lang w:val="es-ES" w:eastAsia="es-ES"/>
        </w:rPr>
        <w:t xml:space="preserve"> en </w:t>
      </w:r>
      <w:proofErr w:type="spellStart"/>
      <w:r w:rsidRPr="000C0426">
        <w:rPr>
          <w:rFonts w:ascii="Arial" w:hAnsi="Arial" w:cs="Arial"/>
          <w:lang w:val="es-ES" w:eastAsia="es-ES"/>
        </w:rPr>
        <w:t>Atenció</w:t>
      </w:r>
      <w:proofErr w:type="spellEnd"/>
      <w:r w:rsidRPr="000C0426">
        <w:rPr>
          <w:rFonts w:ascii="Arial" w:hAnsi="Arial" w:cs="Arial"/>
          <w:lang w:val="es-ES" w:eastAsia="es-ES"/>
        </w:rPr>
        <w:t xml:space="preserve"> </w:t>
      </w:r>
      <w:proofErr w:type="spellStart"/>
      <w:r w:rsidRPr="000C0426">
        <w:rPr>
          <w:rFonts w:ascii="Arial" w:hAnsi="Arial" w:cs="Arial"/>
          <w:lang w:val="es-ES" w:eastAsia="es-ES"/>
        </w:rPr>
        <w:t>Primària</w:t>
      </w:r>
      <w:proofErr w:type="spellEnd"/>
      <w:r w:rsidRPr="000C0426">
        <w:rPr>
          <w:rFonts w:ascii="Arial" w:hAnsi="Arial" w:cs="Arial"/>
          <w:lang w:val="es-ES" w:eastAsia="es-ES"/>
        </w:rPr>
        <w:t xml:space="preserve"> Jordi</w:t>
      </w:r>
      <w:r>
        <w:rPr>
          <w:rFonts w:ascii="Arial" w:hAnsi="Arial" w:cs="Arial"/>
          <w:lang w:val="es-ES" w:eastAsia="es-ES"/>
        </w:rPr>
        <w:t xml:space="preserve"> </w:t>
      </w:r>
      <w:r w:rsidRPr="000C0426">
        <w:rPr>
          <w:rFonts w:ascii="Arial" w:hAnsi="Arial" w:cs="Arial"/>
          <w:lang w:val="es-ES" w:eastAsia="es-ES"/>
        </w:rPr>
        <w:t xml:space="preserve">Gol (IDIAP Jordi Gol), Girona, </w:t>
      </w:r>
      <w:proofErr w:type="spellStart"/>
      <w:r w:rsidRPr="000C0426">
        <w:rPr>
          <w:rFonts w:ascii="Arial" w:hAnsi="Arial" w:cs="Arial"/>
          <w:lang w:val="es-ES" w:eastAsia="es-ES"/>
        </w:rPr>
        <w:t>Spain</w:t>
      </w:r>
      <w:proofErr w:type="spellEnd"/>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vertAlign w:val="superscript"/>
          <w:lang w:eastAsia="es-ES"/>
        </w:rPr>
        <w:t>6</w:t>
      </w:r>
      <w:r w:rsidRPr="000C0426">
        <w:rPr>
          <w:rFonts w:ascii="Arial" w:hAnsi="Arial" w:cs="Arial"/>
          <w:lang w:eastAsia="es-ES"/>
        </w:rPr>
        <w:t>Department of Medical Sciences, University of</w:t>
      </w:r>
      <w:r>
        <w:rPr>
          <w:rFonts w:ascii="Arial" w:hAnsi="Arial" w:cs="Arial"/>
          <w:lang w:eastAsia="es-ES"/>
        </w:rPr>
        <w:t xml:space="preserve"> </w:t>
      </w:r>
      <w:r w:rsidRPr="000C0426">
        <w:rPr>
          <w:rFonts w:ascii="Arial" w:hAnsi="Arial" w:cs="Arial"/>
          <w:lang w:eastAsia="es-ES"/>
        </w:rPr>
        <w:t>Girona, Girona, Spain</w:t>
      </w:r>
    </w:p>
    <w:p w:rsidR="000C0426" w:rsidRPr="000C0426" w:rsidRDefault="000C0426" w:rsidP="000C0426">
      <w:pPr>
        <w:autoSpaceDE w:val="0"/>
        <w:autoSpaceDN w:val="0"/>
        <w:adjustRightInd w:val="0"/>
        <w:spacing w:line="360" w:lineRule="auto"/>
        <w:jc w:val="both"/>
        <w:rPr>
          <w:rFonts w:ascii="Arial" w:hAnsi="Arial" w:cs="Arial"/>
          <w:lang w:eastAsia="es-ES"/>
        </w:rPr>
      </w:pPr>
    </w:p>
    <w:p w:rsidR="000C0426" w:rsidRPr="000C0426" w:rsidRDefault="000C0426" w:rsidP="000C0426">
      <w:pPr>
        <w:autoSpaceDE w:val="0"/>
        <w:autoSpaceDN w:val="0"/>
        <w:adjustRightInd w:val="0"/>
        <w:spacing w:line="360" w:lineRule="auto"/>
        <w:jc w:val="both"/>
        <w:rPr>
          <w:rFonts w:ascii="Arial" w:hAnsi="Arial" w:cs="Arial"/>
          <w:lang w:eastAsia="es-ES"/>
        </w:rPr>
      </w:pPr>
      <w:r w:rsidRPr="000C0426">
        <w:rPr>
          <w:rFonts w:ascii="Arial" w:hAnsi="Arial" w:cs="Arial"/>
          <w:lang w:eastAsia="es-ES"/>
        </w:rPr>
        <w:t>Received: 20 December 2018 / Accepted: 12 July 2019</w:t>
      </w: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0C0426" w:rsidRDefault="000C0426" w:rsidP="000B2DE0">
      <w:pPr>
        <w:spacing w:line="360" w:lineRule="auto"/>
        <w:jc w:val="both"/>
        <w:rPr>
          <w:rFonts w:ascii="Arial" w:hAnsi="Arial" w:cs="Arial"/>
          <w:b/>
          <w:bCs/>
        </w:rPr>
      </w:pPr>
    </w:p>
    <w:p w:rsidR="001B5EE7" w:rsidRPr="000B2DE0" w:rsidRDefault="001B5EE7" w:rsidP="000B2DE0">
      <w:pPr>
        <w:spacing w:line="360" w:lineRule="auto"/>
        <w:jc w:val="both"/>
        <w:rPr>
          <w:rFonts w:ascii="Arial" w:hAnsi="Arial" w:cs="Arial"/>
          <w:b/>
          <w:bCs/>
        </w:rPr>
      </w:pPr>
      <w:r w:rsidRPr="000B2DE0">
        <w:rPr>
          <w:rFonts w:ascii="Arial" w:hAnsi="Arial" w:cs="Arial"/>
          <w:b/>
          <w:bCs/>
        </w:rPr>
        <w:lastRenderedPageBreak/>
        <w:t>Abstract</w:t>
      </w:r>
    </w:p>
    <w:p w:rsidR="001B5EE7" w:rsidRPr="003D7B8D" w:rsidRDefault="001B5EE7" w:rsidP="003D7B8D">
      <w:pPr>
        <w:spacing w:after="100" w:line="360" w:lineRule="auto"/>
        <w:jc w:val="both"/>
        <w:rPr>
          <w:rFonts w:ascii="Arial" w:hAnsi="Arial" w:cs="Arial"/>
          <w:b/>
          <w:bCs/>
        </w:rPr>
      </w:pPr>
    </w:p>
    <w:p w:rsidR="000B2DE0" w:rsidRPr="003D7B8D" w:rsidRDefault="000D535F" w:rsidP="003D7B8D">
      <w:pPr>
        <w:widowControl w:val="0"/>
        <w:autoSpaceDE w:val="0"/>
        <w:autoSpaceDN w:val="0"/>
        <w:adjustRightInd w:val="0"/>
        <w:spacing w:after="100" w:line="360" w:lineRule="auto"/>
        <w:jc w:val="both"/>
        <w:rPr>
          <w:rFonts w:ascii="Arial" w:hAnsi="Arial" w:cs="Arial"/>
          <w:color w:val="1A1A1A"/>
          <w:lang w:eastAsia="es-ES"/>
        </w:rPr>
      </w:pPr>
      <w:r w:rsidRPr="003D7B8D">
        <w:rPr>
          <w:rFonts w:ascii="Arial" w:hAnsi="Arial" w:cs="Arial"/>
          <w:b/>
          <w:bCs/>
          <w:color w:val="1A1A1A"/>
          <w:lang w:eastAsia="es-ES"/>
        </w:rPr>
        <w:t>Objective:</w:t>
      </w:r>
      <w:r w:rsidRPr="003D7B8D">
        <w:rPr>
          <w:rFonts w:ascii="Arial" w:hAnsi="Arial" w:cs="Arial"/>
          <w:color w:val="1A1A1A"/>
          <w:lang w:eastAsia="es-ES"/>
        </w:rPr>
        <w:t xml:space="preserve"> </w:t>
      </w:r>
      <w:r w:rsidR="000B2DE0" w:rsidRPr="003D7B8D">
        <w:rPr>
          <w:rStyle w:val="hps"/>
          <w:rFonts w:ascii="Arial" w:hAnsi="Arial" w:cs="Arial"/>
        </w:rPr>
        <w:t>Evaluate the effects of the ‘euro per prescription’ on primary health care services (number of doctor visits), through a retrospective cohort study of health care users in Catalonia (Spain).</w:t>
      </w:r>
      <w:r w:rsidR="00CB67A0">
        <w:rPr>
          <w:rStyle w:val="hps"/>
          <w:rFonts w:ascii="Arial" w:hAnsi="Arial" w:cs="Arial"/>
        </w:rPr>
        <w:t xml:space="preserve"> This policy, </w:t>
      </w:r>
      <w:r w:rsidR="00CB67A0" w:rsidRPr="003D7B8D">
        <w:rPr>
          <w:rStyle w:val="hps"/>
          <w:rFonts w:ascii="Arial" w:hAnsi="Arial" w:cs="Arial"/>
        </w:rPr>
        <w:t xml:space="preserve">implemented in Catalonia on 23 June 2012, only </w:t>
      </w:r>
      <w:r w:rsidR="00CB67A0">
        <w:rPr>
          <w:rStyle w:val="hps"/>
          <w:rFonts w:ascii="Arial" w:hAnsi="Arial" w:cs="Arial"/>
        </w:rPr>
        <w:t xml:space="preserve">lasted six months. This policy was introduced to </w:t>
      </w:r>
      <w:r w:rsidR="00CB67A0" w:rsidRPr="003D7B8D">
        <w:rPr>
          <w:rStyle w:val="hps"/>
          <w:rFonts w:ascii="Arial" w:hAnsi="Arial" w:cs="Arial"/>
        </w:rPr>
        <w:t>improve budgetary imbalances in Spain and boost the regional and national governments’ budgets</w:t>
      </w:r>
      <w:r w:rsidR="00CB67A0">
        <w:rPr>
          <w:rStyle w:val="hps"/>
          <w:rFonts w:ascii="Arial" w:hAnsi="Arial" w:cs="Arial"/>
        </w:rPr>
        <w:t>.</w:t>
      </w:r>
    </w:p>
    <w:p w:rsidR="003D7B8D" w:rsidRPr="003D7B8D" w:rsidRDefault="00CB67A0" w:rsidP="003D7B8D">
      <w:pPr>
        <w:spacing w:after="100" w:line="360" w:lineRule="auto"/>
        <w:jc w:val="both"/>
        <w:rPr>
          <w:rStyle w:val="hps"/>
          <w:rFonts w:ascii="Arial" w:hAnsi="Arial" w:cs="Arial"/>
        </w:rPr>
      </w:pPr>
      <w:r>
        <w:rPr>
          <w:rFonts w:ascii="Arial" w:hAnsi="Arial" w:cs="Arial"/>
          <w:b/>
          <w:i/>
          <w:iCs/>
        </w:rPr>
        <w:t>Methods:</w:t>
      </w:r>
      <w:r w:rsidR="000D535F" w:rsidRPr="003D7B8D">
        <w:rPr>
          <w:rFonts w:ascii="Arial" w:hAnsi="Arial" w:cs="Arial"/>
          <w:b/>
          <w:color w:val="1A1A1A"/>
          <w:lang w:eastAsia="es-ES"/>
        </w:rPr>
        <w:t xml:space="preserve"> </w:t>
      </w:r>
      <w:r w:rsidR="000B2DE0" w:rsidRPr="003D7B8D">
        <w:rPr>
          <w:rStyle w:val="hps"/>
          <w:rFonts w:ascii="Arial" w:hAnsi="Arial" w:cs="Arial"/>
        </w:rPr>
        <w:t>We used a retrospective cohort, composed of individuals who had had contact with primary healthcare services between January 1, 2005 and Dece</w:t>
      </w:r>
      <w:r w:rsidR="00252F81">
        <w:rPr>
          <w:rStyle w:val="hps"/>
          <w:rFonts w:ascii="Arial" w:hAnsi="Arial" w:cs="Arial"/>
        </w:rPr>
        <w:t>mber 31, 2012</w:t>
      </w:r>
      <w:r w:rsidR="003D7B8D" w:rsidRPr="003D7B8D">
        <w:rPr>
          <w:rStyle w:val="hps"/>
          <w:rFonts w:ascii="Arial" w:hAnsi="Arial" w:cs="Arial"/>
        </w:rPr>
        <w:t xml:space="preserve">. </w:t>
      </w:r>
      <w:r>
        <w:rPr>
          <w:rStyle w:val="hps"/>
          <w:rFonts w:ascii="Arial" w:hAnsi="Arial" w:cs="Arial"/>
        </w:rPr>
        <w:t xml:space="preserve">The econometric specification followed </w:t>
      </w:r>
      <w:r w:rsidR="00252F81">
        <w:rPr>
          <w:rStyle w:val="hps"/>
          <w:rFonts w:ascii="Arial" w:hAnsi="Arial" w:cs="Arial"/>
        </w:rPr>
        <w:t>is</w:t>
      </w:r>
      <w:r>
        <w:rPr>
          <w:rStyle w:val="hps"/>
          <w:rFonts w:ascii="Arial" w:hAnsi="Arial" w:cs="Arial"/>
        </w:rPr>
        <w:t xml:space="preserve"> a hurdle model.</w:t>
      </w:r>
    </w:p>
    <w:p w:rsidR="000B2DE0" w:rsidRPr="003D7B8D" w:rsidRDefault="00CB67A0" w:rsidP="003D7B8D">
      <w:pPr>
        <w:widowControl w:val="0"/>
        <w:autoSpaceDE w:val="0"/>
        <w:autoSpaceDN w:val="0"/>
        <w:adjustRightInd w:val="0"/>
        <w:spacing w:after="100" w:line="360" w:lineRule="auto"/>
        <w:jc w:val="both"/>
        <w:rPr>
          <w:rFonts w:ascii="Arial" w:hAnsi="Arial" w:cs="Arial"/>
          <w:color w:val="1A1A1A"/>
          <w:lang w:eastAsia="es-ES"/>
        </w:rPr>
      </w:pPr>
      <w:r>
        <w:rPr>
          <w:rFonts w:ascii="Arial" w:hAnsi="Arial" w:cs="Arial"/>
          <w:b/>
          <w:bCs/>
          <w:color w:val="1A1A1A"/>
          <w:lang w:eastAsia="es-ES"/>
        </w:rPr>
        <w:t>Results</w:t>
      </w:r>
      <w:r w:rsidR="000D535F" w:rsidRPr="003D7B8D">
        <w:rPr>
          <w:rFonts w:ascii="Arial" w:hAnsi="Arial" w:cs="Arial"/>
          <w:b/>
          <w:bCs/>
          <w:color w:val="1A1A1A"/>
          <w:lang w:eastAsia="es-ES"/>
        </w:rPr>
        <w:t>:</w:t>
      </w:r>
      <w:r w:rsidR="000D535F" w:rsidRPr="003D7B8D">
        <w:rPr>
          <w:rFonts w:ascii="Arial" w:hAnsi="Arial" w:cs="Arial"/>
          <w:color w:val="1A1A1A"/>
          <w:lang w:eastAsia="es-ES"/>
        </w:rPr>
        <w:t xml:space="preserve"> </w:t>
      </w:r>
      <w:r w:rsidR="000B2DE0" w:rsidRPr="003D7B8D">
        <w:rPr>
          <w:rStyle w:val="hps"/>
          <w:rFonts w:ascii="Arial" w:hAnsi="Arial" w:cs="Arial"/>
        </w:rPr>
        <w:t xml:space="preserve">Our results show that from October 2012 onwards there was a decrease in the average number of overall visits, particularly for individuals aged 65 years or more. However, this decline cannot be entirely attributed to the introduction of the euro per prescription policy as in October of that same year the Spanish government introduced its pharmaceutical </w:t>
      </w:r>
      <w:proofErr w:type="spellStart"/>
      <w:r w:rsidR="000B2DE0" w:rsidRPr="003D7B8D">
        <w:rPr>
          <w:rStyle w:val="hps"/>
          <w:rFonts w:ascii="Arial" w:hAnsi="Arial" w:cs="Arial"/>
        </w:rPr>
        <w:t>copayment</w:t>
      </w:r>
      <w:proofErr w:type="spellEnd"/>
      <w:r w:rsidR="000B2DE0" w:rsidRPr="003D7B8D">
        <w:rPr>
          <w:rStyle w:val="hps"/>
          <w:rFonts w:ascii="Arial" w:hAnsi="Arial" w:cs="Arial"/>
        </w:rPr>
        <w:t xml:space="preserve"> for pensioners.</w:t>
      </w:r>
    </w:p>
    <w:p w:rsidR="000B2DE0" w:rsidRPr="003D7B8D" w:rsidRDefault="000D535F" w:rsidP="003D7B8D">
      <w:pPr>
        <w:spacing w:after="100" w:line="360" w:lineRule="auto"/>
        <w:jc w:val="both"/>
        <w:rPr>
          <w:rStyle w:val="hps"/>
          <w:rFonts w:ascii="Arial" w:hAnsi="Arial" w:cs="Arial"/>
        </w:rPr>
      </w:pPr>
      <w:r w:rsidRPr="003D7B8D">
        <w:rPr>
          <w:rFonts w:ascii="Arial" w:hAnsi="Arial" w:cs="Arial"/>
          <w:b/>
          <w:bCs/>
          <w:color w:val="1A1A1A"/>
          <w:lang w:eastAsia="es-ES"/>
        </w:rPr>
        <w:t>Conclusions:</w:t>
      </w:r>
      <w:r w:rsidRPr="003D7B8D">
        <w:rPr>
          <w:rFonts w:ascii="Arial" w:hAnsi="Arial" w:cs="Arial"/>
          <w:color w:val="1A1A1A"/>
          <w:lang w:eastAsia="es-ES"/>
        </w:rPr>
        <w:t xml:space="preserve"> </w:t>
      </w:r>
      <w:r w:rsidR="000B2DE0" w:rsidRPr="003D7B8D">
        <w:rPr>
          <w:rStyle w:val="hps"/>
          <w:rFonts w:ascii="Arial" w:hAnsi="Arial" w:cs="Arial"/>
        </w:rPr>
        <w:t xml:space="preserve">The policies appraised in this paper reveal a clear deterrent effect among vulnerable individuals such as those with the highest probability of being unemployed and/or those individuals with chronic conditions. </w:t>
      </w:r>
    </w:p>
    <w:p w:rsidR="000C0426" w:rsidRDefault="000C0426" w:rsidP="003D7B8D">
      <w:pPr>
        <w:widowControl w:val="0"/>
        <w:autoSpaceDE w:val="0"/>
        <w:autoSpaceDN w:val="0"/>
        <w:adjustRightInd w:val="0"/>
        <w:spacing w:after="100" w:line="360" w:lineRule="auto"/>
        <w:jc w:val="both"/>
        <w:rPr>
          <w:rFonts w:ascii="Arial" w:hAnsi="Arial" w:cs="Arial"/>
          <w:b/>
          <w:bCs/>
          <w:color w:val="1A1A1A"/>
          <w:lang w:eastAsia="es-ES"/>
        </w:rPr>
      </w:pPr>
    </w:p>
    <w:p w:rsidR="001B5EE7" w:rsidRPr="000C0426" w:rsidRDefault="000B2DE0" w:rsidP="003D7B8D">
      <w:pPr>
        <w:widowControl w:val="0"/>
        <w:autoSpaceDE w:val="0"/>
        <w:autoSpaceDN w:val="0"/>
        <w:adjustRightInd w:val="0"/>
        <w:spacing w:after="100" w:line="360" w:lineRule="auto"/>
        <w:jc w:val="both"/>
        <w:rPr>
          <w:rStyle w:val="hps"/>
          <w:rFonts w:ascii="Arial" w:hAnsi="Arial" w:cs="Arial"/>
        </w:rPr>
      </w:pPr>
      <w:r w:rsidRPr="000C0426">
        <w:rPr>
          <w:rFonts w:ascii="Arial" w:hAnsi="Arial" w:cs="Arial"/>
          <w:b/>
          <w:bCs/>
          <w:color w:val="1A1A1A"/>
          <w:lang w:eastAsia="es-ES"/>
        </w:rPr>
        <w:t>Keywords:</w:t>
      </w:r>
      <w:r w:rsidRPr="000C0426">
        <w:rPr>
          <w:rStyle w:val="hps"/>
          <w:rFonts w:ascii="Arial" w:hAnsi="Arial" w:cs="Arial"/>
        </w:rPr>
        <w:t xml:space="preserve"> </w:t>
      </w:r>
      <w:r w:rsidR="001B5EE7" w:rsidRPr="000C0426">
        <w:rPr>
          <w:rStyle w:val="hps"/>
          <w:rFonts w:ascii="Arial" w:hAnsi="Arial" w:cs="Arial"/>
        </w:rPr>
        <w:t>‘Euro per prescription’, cohorts, hurdle model, mixed models.</w:t>
      </w:r>
    </w:p>
    <w:p w:rsidR="001B5EE7" w:rsidRPr="000C0426" w:rsidRDefault="000C0426" w:rsidP="003D7B8D">
      <w:pPr>
        <w:spacing w:after="100" w:line="360" w:lineRule="auto"/>
        <w:jc w:val="both"/>
        <w:rPr>
          <w:rStyle w:val="hps"/>
          <w:rFonts w:ascii="Arial" w:hAnsi="Arial" w:cs="Arial"/>
        </w:rPr>
      </w:pPr>
      <w:r w:rsidRPr="000C0426">
        <w:rPr>
          <w:rStyle w:val="hps"/>
          <w:rFonts w:ascii="Arial" w:hAnsi="Arial" w:cs="Arial"/>
          <w:b/>
          <w:bCs/>
        </w:rPr>
        <w:t>JEL:</w:t>
      </w:r>
      <w:r w:rsidRPr="000C0426">
        <w:rPr>
          <w:rStyle w:val="hps"/>
          <w:rFonts w:ascii="Arial" w:hAnsi="Arial" w:cs="Arial"/>
        </w:rPr>
        <w:t xml:space="preserve"> </w:t>
      </w:r>
      <w:r w:rsidRPr="000C0426">
        <w:rPr>
          <w:rFonts w:ascii="Arial" w:hAnsi="Arial" w:cs="Arial"/>
          <w:lang w:eastAsia="es-ES"/>
        </w:rPr>
        <w:t>I18, C50, C11, H71</w:t>
      </w:r>
    </w:p>
    <w:p w:rsidR="001B5EE7" w:rsidRPr="0074326A" w:rsidRDefault="001B5EE7" w:rsidP="001B5EE7">
      <w:pPr>
        <w:spacing w:line="360" w:lineRule="auto"/>
        <w:jc w:val="both"/>
        <w:rPr>
          <w:rFonts w:ascii="Arial" w:hAnsi="Arial" w:cs="Arial"/>
          <w:b/>
          <w:bCs/>
          <w:sz w:val="22"/>
          <w:szCs w:val="22"/>
        </w:rPr>
      </w:pPr>
      <w:r>
        <w:rPr>
          <w:rFonts w:ascii="Arial" w:hAnsi="Arial" w:cs="Arial"/>
          <w:sz w:val="22"/>
          <w:szCs w:val="22"/>
        </w:rPr>
        <w:br w:type="page"/>
      </w:r>
      <w:r w:rsidRPr="0074326A">
        <w:rPr>
          <w:rFonts w:ascii="Arial"/>
          <w:b/>
          <w:bCs/>
          <w:sz w:val="22"/>
          <w:szCs w:val="22"/>
        </w:rPr>
        <w:lastRenderedPageBreak/>
        <w:t>1.- Introduction</w:t>
      </w:r>
    </w:p>
    <w:p w:rsidR="001B5EE7" w:rsidRPr="0074326A" w:rsidRDefault="001B5EE7" w:rsidP="001B5EE7">
      <w:pPr>
        <w:spacing w:line="360" w:lineRule="auto"/>
        <w:jc w:val="both"/>
        <w:rPr>
          <w:rFonts w:ascii="Arial" w:hAnsi="Arial" w:cs="Arial"/>
          <w:b/>
          <w:bCs/>
          <w:sz w:val="22"/>
          <w:szCs w:val="22"/>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The Spanish economy sank into recession in the first quarter of 2009 following a fall in the gross domestic product (GDP) for two consecutive quarters. Although the Spanish economy emerged from this first recession in the first quarter of 2010, when GDP showed positive growth rates, it slipped back into recession in the last quarter of 2011 (double dip) and did not move out of recession until the third quarter of 2013. During the recession both the Spanish and Catalan governments implemented fiscal adjustment policies, especially for budgetary reasons.</w:t>
      </w:r>
    </w:p>
    <w:p w:rsidR="001B5EE7" w:rsidRPr="0074326A" w:rsidRDefault="001B5EE7" w:rsidP="001B5EE7">
      <w:pPr>
        <w:spacing w:line="360" w:lineRule="auto"/>
        <w:jc w:val="both"/>
        <w:rPr>
          <w:rStyle w:val="hps"/>
          <w:rFonts w:ascii="Arial" w:hAnsi="Arial" w:cs="Arial"/>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In this paper we are interested in one of these policies in particular, colloquially known and henceforth referred to as, the ‘Euro per Prescription’</w:t>
      </w:r>
      <w:r w:rsidR="00E54023" w:rsidRPr="0074326A">
        <w:rPr>
          <w:rStyle w:val="hps"/>
          <w:rFonts w:ascii="Arial" w:hAnsi="Arial" w:cs="Arial"/>
          <w:vertAlign w:val="superscript"/>
        </w:rPr>
        <w:t xml:space="preserve"> </w:t>
      </w:r>
      <w:r w:rsidR="00E54023" w:rsidRPr="0074326A">
        <w:rPr>
          <w:rStyle w:val="hps"/>
          <w:rFonts w:ascii="Arial" w:hAnsi="Arial" w:cs="Arial"/>
        </w:rPr>
        <w:t>(</w:t>
      </w:r>
      <w:r w:rsidR="00E54023" w:rsidRPr="0074326A">
        <w:rPr>
          <w:rFonts w:ascii="Arial"/>
          <w:iCs/>
        </w:rPr>
        <w:t>Law 5/2012 of March 20</w:t>
      </w:r>
      <w:r w:rsidR="00FE2FE9">
        <w:rPr>
          <w:rFonts w:ascii="Arial"/>
          <w:iCs/>
        </w:rPr>
        <w:t xml:space="preserve"> [12]</w:t>
      </w:r>
      <w:r w:rsidR="00E54023" w:rsidRPr="0074326A">
        <w:rPr>
          <w:rFonts w:ascii="Arial"/>
          <w:iCs/>
        </w:rPr>
        <w:t xml:space="preserve">) </w:t>
      </w:r>
      <w:r w:rsidRPr="0074326A">
        <w:rPr>
          <w:rStyle w:val="hps"/>
          <w:rFonts w:ascii="Arial" w:hAnsi="Arial" w:cs="Arial"/>
        </w:rPr>
        <w:t xml:space="preserve">policy. On 23 June, 2012 the Catalan government adopted the ‘euro per prescription’ which would continue until 31 December 2012, when it was suspended after the Spanish government appealed against it in the Spanish Constitutional Court. </w:t>
      </w:r>
    </w:p>
    <w:p w:rsidR="001B5EE7" w:rsidRPr="0074326A" w:rsidRDefault="001B5EE7" w:rsidP="001B5EE7">
      <w:pPr>
        <w:spacing w:line="360" w:lineRule="auto"/>
        <w:jc w:val="both"/>
        <w:rPr>
          <w:rStyle w:val="hps"/>
          <w:rFonts w:ascii="Arial" w:hAnsi="Arial" w:cs="Arial"/>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Previous to this new policy</w:t>
      </w:r>
      <w:r w:rsidR="00F80786" w:rsidRPr="0074326A">
        <w:rPr>
          <w:rStyle w:val="hps"/>
          <w:rFonts w:ascii="Arial" w:hAnsi="Arial" w:cs="Arial"/>
        </w:rPr>
        <w:t>,</w:t>
      </w:r>
      <w:r w:rsidRPr="0074326A">
        <w:rPr>
          <w:rStyle w:val="hps"/>
          <w:rFonts w:ascii="Arial" w:hAnsi="Arial" w:cs="Arial"/>
        </w:rPr>
        <w:t xml:space="preserve"> prescriptions had always been </w:t>
      </w:r>
      <w:r w:rsidR="006F3DC0" w:rsidRPr="0074326A">
        <w:rPr>
          <w:rStyle w:val="hps"/>
          <w:rFonts w:ascii="Arial" w:hAnsi="Arial" w:cs="Arial"/>
        </w:rPr>
        <w:t>free;</w:t>
      </w:r>
      <w:r w:rsidRPr="0074326A">
        <w:rPr>
          <w:rStyle w:val="hps"/>
          <w:rFonts w:ascii="Arial" w:hAnsi="Arial" w:cs="Arial"/>
        </w:rPr>
        <w:t xml:space="preserve"> however, this new policy established and implemented a fee of one euro per prescription. The fee was applicable to all prescription-only medicines (NB: each prescription can only contain one medicine) which cost more than €1.67. An annual limit of €62 per person was set and the ‘euro per prescription’ did not apply to anyone receiving non-contributory subsidies or the minimum guaranteed income, to those in unsubsidized unemployed, to the disabled or to any treatments resulting from workplace accidents or occupational disease.</w:t>
      </w:r>
    </w:p>
    <w:p w:rsidR="001B5EE7" w:rsidRPr="0074326A" w:rsidRDefault="001B5EE7" w:rsidP="001B5EE7">
      <w:pPr>
        <w:spacing w:line="360" w:lineRule="auto"/>
        <w:jc w:val="both"/>
        <w:rPr>
          <w:rStyle w:val="hps"/>
          <w:rFonts w:ascii="Arial" w:hAnsi="Arial" w:cs="Arial"/>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 xml:space="preserve">This policy was, in fact, a ‘natural experiment’ since (1) the intervention is not undertaken for the purposes of research, and (2) the variation in exposure and outcomes is </w:t>
      </w:r>
      <w:proofErr w:type="spellStart"/>
      <w:r w:rsidRPr="0074326A">
        <w:rPr>
          <w:rStyle w:val="hps"/>
          <w:rFonts w:ascii="Arial" w:hAnsi="Arial" w:cs="Arial"/>
        </w:rPr>
        <w:t>analyzed</w:t>
      </w:r>
      <w:proofErr w:type="spellEnd"/>
      <w:r w:rsidRPr="0074326A">
        <w:rPr>
          <w:rStyle w:val="hps"/>
          <w:rFonts w:ascii="Arial" w:hAnsi="Arial" w:cs="Arial"/>
        </w:rPr>
        <w:t xml:space="preserve"> using methods that attempt to make causal inferences</w:t>
      </w:r>
      <w:r w:rsidR="00FE2FE9">
        <w:rPr>
          <w:rStyle w:val="hps"/>
          <w:rFonts w:ascii="Arial" w:hAnsi="Arial" w:cs="Arial"/>
        </w:rPr>
        <w:t xml:space="preserve"> [3]</w:t>
      </w:r>
      <w:r w:rsidRPr="0074326A">
        <w:rPr>
          <w:rStyle w:val="hps"/>
          <w:rFonts w:ascii="Arial" w:hAnsi="Arial" w:cs="Arial"/>
        </w:rPr>
        <w:t xml:space="preserve">.  </w:t>
      </w:r>
    </w:p>
    <w:p w:rsidR="00963E8E" w:rsidRPr="00FE2FE9" w:rsidRDefault="00963E8E" w:rsidP="00FE2FE9">
      <w:pPr>
        <w:spacing w:line="360" w:lineRule="auto"/>
        <w:jc w:val="both"/>
        <w:rPr>
          <w:rStyle w:val="hps"/>
          <w:rFonts w:ascii="Arial" w:hAnsi="Arial" w:cs="Arial"/>
          <w:color w:val="000000" w:themeColor="text1"/>
        </w:rPr>
      </w:pPr>
    </w:p>
    <w:p w:rsidR="006D2C6D" w:rsidRPr="00FE2FE9" w:rsidRDefault="00963E8E" w:rsidP="00FE2FE9">
      <w:pPr>
        <w:autoSpaceDE w:val="0"/>
        <w:autoSpaceDN w:val="0"/>
        <w:adjustRightInd w:val="0"/>
        <w:spacing w:line="360" w:lineRule="auto"/>
        <w:jc w:val="both"/>
        <w:rPr>
          <w:rFonts w:ascii="Arial" w:hAnsi="Arial" w:cs="Arial"/>
          <w:color w:val="000000" w:themeColor="text1"/>
        </w:rPr>
      </w:pPr>
      <w:r w:rsidRPr="00FE2FE9">
        <w:rPr>
          <w:rStyle w:val="hps"/>
          <w:rFonts w:ascii="Arial" w:hAnsi="Arial" w:cs="Arial"/>
          <w:color w:val="000000" w:themeColor="text1"/>
        </w:rPr>
        <w:t>While there is existing literature analy</w:t>
      </w:r>
      <w:r w:rsidR="009A609A" w:rsidRPr="00FE2FE9">
        <w:rPr>
          <w:rStyle w:val="hps"/>
          <w:rFonts w:ascii="Arial" w:hAnsi="Arial" w:cs="Arial"/>
          <w:color w:val="000000" w:themeColor="text1"/>
        </w:rPr>
        <w:t>s</w:t>
      </w:r>
      <w:r w:rsidRPr="00FE2FE9">
        <w:rPr>
          <w:rStyle w:val="hps"/>
          <w:rFonts w:ascii="Arial" w:hAnsi="Arial" w:cs="Arial"/>
          <w:color w:val="000000" w:themeColor="text1"/>
        </w:rPr>
        <w:t xml:space="preserve">ing the effect of </w:t>
      </w:r>
      <w:r w:rsidR="0086751E" w:rsidRPr="00FE2FE9">
        <w:rPr>
          <w:rStyle w:val="hps"/>
          <w:rFonts w:ascii="Arial" w:hAnsi="Arial" w:cs="Arial"/>
          <w:color w:val="000000" w:themeColor="text1"/>
        </w:rPr>
        <w:t xml:space="preserve">pharmaceutical </w:t>
      </w:r>
      <w:proofErr w:type="spellStart"/>
      <w:r w:rsidR="006D2C6D" w:rsidRPr="00FE2FE9">
        <w:rPr>
          <w:rStyle w:val="hps"/>
          <w:rFonts w:ascii="Arial" w:hAnsi="Arial" w:cs="Arial"/>
          <w:color w:val="000000" w:themeColor="text1"/>
        </w:rPr>
        <w:t>copayment</w:t>
      </w:r>
      <w:proofErr w:type="spellEnd"/>
      <w:r w:rsidR="006D2C6D" w:rsidRPr="00FE2FE9">
        <w:rPr>
          <w:rStyle w:val="hps"/>
          <w:rFonts w:ascii="Arial" w:hAnsi="Arial" w:cs="Arial"/>
          <w:color w:val="000000" w:themeColor="text1"/>
        </w:rPr>
        <w:t xml:space="preserve"> </w:t>
      </w:r>
      <w:r w:rsidRPr="00FE2FE9">
        <w:rPr>
          <w:rStyle w:val="hps"/>
          <w:rFonts w:ascii="Arial" w:hAnsi="Arial" w:cs="Arial"/>
          <w:color w:val="000000" w:themeColor="text1"/>
        </w:rPr>
        <w:t xml:space="preserve">on </w:t>
      </w:r>
      <w:r w:rsidR="00946D02" w:rsidRPr="00FE2FE9">
        <w:rPr>
          <w:rStyle w:val="hps"/>
          <w:rFonts w:ascii="Arial" w:hAnsi="Arial" w:cs="Arial"/>
          <w:color w:val="000000" w:themeColor="text1"/>
        </w:rPr>
        <w:t>health care demand</w:t>
      </w:r>
      <w:r w:rsidR="0086751E" w:rsidRPr="00FE2FE9">
        <w:rPr>
          <w:rStyle w:val="hps"/>
          <w:rFonts w:ascii="Arial" w:hAnsi="Arial" w:cs="Arial"/>
          <w:color w:val="000000" w:themeColor="text1"/>
        </w:rPr>
        <w:t>, i.e. consumption and prescriptions</w:t>
      </w:r>
      <w:r w:rsidRPr="00FE2FE9">
        <w:rPr>
          <w:rStyle w:val="hps"/>
          <w:rFonts w:ascii="Arial" w:hAnsi="Arial" w:cs="Arial"/>
          <w:color w:val="000000" w:themeColor="text1"/>
        </w:rPr>
        <w:t xml:space="preserve"> (</w:t>
      </w:r>
      <w:r w:rsidR="00FE2FE9" w:rsidRPr="00FE2FE9">
        <w:rPr>
          <w:rFonts w:ascii="Arial" w:hAnsi="Arial" w:cs="Arial"/>
          <w:color w:val="000000" w:themeColor="text1"/>
          <w:lang w:eastAsia="es-ES"/>
        </w:rPr>
        <w:t>for review, [11]; and e.g. [1, 6,</w:t>
      </w:r>
      <w:r w:rsidR="00FE2FE9" w:rsidRPr="00FE2FE9">
        <w:rPr>
          <w:rFonts w:ascii="Arial" w:hAnsi="Arial" w:cs="Arial"/>
          <w:color w:val="000000" w:themeColor="text1"/>
          <w:lang w:eastAsia="es-ES"/>
        </w:rPr>
        <w:t xml:space="preserve"> </w:t>
      </w:r>
      <w:r w:rsidR="00FE2FE9" w:rsidRPr="00FE2FE9">
        <w:rPr>
          <w:rFonts w:ascii="Arial" w:hAnsi="Arial" w:cs="Arial"/>
          <w:color w:val="000000" w:themeColor="text1"/>
          <w:lang w:eastAsia="es-ES"/>
        </w:rPr>
        <w:t>7,</w:t>
      </w:r>
      <w:r w:rsidR="00FE2FE9">
        <w:rPr>
          <w:rFonts w:ascii="Arial" w:hAnsi="Arial" w:cs="Arial"/>
          <w:color w:val="000000" w:themeColor="text1"/>
          <w:lang w:eastAsia="es-ES"/>
        </w:rPr>
        <w:t xml:space="preserve"> </w:t>
      </w:r>
      <w:r w:rsidR="00FE2FE9" w:rsidRPr="00FE2FE9">
        <w:rPr>
          <w:rFonts w:ascii="Arial" w:hAnsi="Arial" w:cs="Arial"/>
          <w:color w:val="000000" w:themeColor="text1"/>
          <w:lang w:eastAsia="es-ES"/>
        </w:rPr>
        <w:t>17]</w:t>
      </w:r>
      <w:r w:rsidRPr="00FE2FE9">
        <w:rPr>
          <w:rStyle w:val="hps"/>
          <w:rFonts w:ascii="Arial" w:hAnsi="Arial" w:cs="Arial"/>
          <w:color w:val="000000" w:themeColor="text1"/>
        </w:rPr>
        <w:t xml:space="preserve">), little has been done on the effect of </w:t>
      </w:r>
      <w:r w:rsidR="00285E91" w:rsidRPr="00FE2FE9">
        <w:rPr>
          <w:rStyle w:val="hps"/>
          <w:rFonts w:ascii="Arial" w:hAnsi="Arial" w:cs="Arial"/>
          <w:color w:val="000000" w:themeColor="text1"/>
        </w:rPr>
        <w:lastRenderedPageBreak/>
        <w:t xml:space="preserve">pharmaceutical </w:t>
      </w:r>
      <w:proofErr w:type="spellStart"/>
      <w:r w:rsidRPr="00FE2FE9">
        <w:rPr>
          <w:rStyle w:val="hps"/>
          <w:rFonts w:ascii="Arial" w:hAnsi="Arial" w:cs="Arial"/>
          <w:color w:val="000000" w:themeColor="text1"/>
        </w:rPr>
        <w:t>copayment</w:t>
      </w:r>
      <w:proofErr w:type="spellEnd"/>
      <w:r w:rsidRPr="00FE2FE9">
        <w:rPr>
          <w:rStyle w:val="hps"/>
          <w:rFonts w:ascii="Arial" w:hAnsi="Arial" w:cs="Arial"/>
          <w:color w:val="000000" w:themeColor="text1"/>
        </w:rPr>
        <w:t xml:space="preserve"> on </w:t>
      </w:r>
      <w:r w:rsidR="00946D02" w:rsidRPr="00FE2FE9">
        <w:rPr>
          <w:rStyle w:val="hps"/>
          <w:rFonts w:ascii="Arial" w:hAnsi="Arial" w:cs="Arial"/>
          <w:color w:val="000000" w:themeColor="text1"/>
        </w:rPr>
        <w:t xml:space="preserve">the </w:t>
      </w:r>
      <w:r w:rsidRPr="00FE2FE9">
        <w:rPr>
          <w:rStyle w:val="hps"/>
          <w:rFonts w:ascii="Arial" w:hAnsi="Arial" w:cs="Arial"/>
          <w:color w:val="000000" w:themeColor="text1"/>
        </w:rPr>
        <w:t>number of visits to primary care doctors</w:t>
      </w:r>
      <w:r w:rsidR="00946D02" w:rsidRPr="00FE2FE9">
        <w:rPr>
          <w:rStyle w:val="hps"/>
          <w:rFonts w:ascii="Arial" w:hAnsi="Arial" w:cs="Arial"/>
          <w:color w:val="000000" w:themeColor="text1"/>
        </w:rPr>
        <w:t xml:space="preserve"> (e.g. </w:t>
      </w:r>
      <w:r w:rsidR="00FE2FE9" w:rsidRPr="00FE2FE9">
        <w:rPr>
          <w:rFonts w:ascii="Arial" w:hAnsi="Arial" w:cs="Arial"/>
          <w:color w:val="000000" w:themeColor="text1"/>
        </w:rPr>
        <w:t>[28]</w:t>
      </w:r>
      <w:r w:rsidR="00946D02" w:rsidRPr="00FE2FE9">
        <w:rPr>
          <w:rFonts w:ascii="Arial" w:hAnsi="Arial" w:cs="Arial"/>
          <w:color w:val="000000" w:themeColor="text1"/>
        </w:rPr>
        <w:t>)</w:t>
      </w:r>
      <w:r w:rsidR="00946D02" w:rsidRPr="00FE2FE9">
        <w:rPr>
          <w:rStyle w:val="hps"/>
          <w:rFonts w:ascii="Arial" w:hAnsi="Arial" w:cs="Arial"/>
          <w:color w:val="000000" w:themeColor="text1"/>
        </w:rPr>
        <w:t>.</w:t>
      </w:r>
      <w:r w:rsidR="00285E91" w:rsidRPr="00FE2FE9">
        <w:rPr>
          <w:rStyle w:val="hps"/>
          <w:rFonts w:ascii="Arial" w:hAnsi="Arial" w:cs="Arial"/>
          <w:color w:val="000000" w:themeColor="text1"/>
        </w:rPr>
        <w:t xml:space="preserve"> Papers looking at number of visits, usually takes into account </w:t>
      </w:r>
      <w:proofErr w:type="spellStart"/>
      <w:r w:rsidR="00285E91" w:rsidRPr="00FE2FE9">
        <w:rPr>
          <w:rStyle w:val="hps"/>
          <w:rFonts w:ascii="Arial" w:hAnsi="Arial" w:cs="Arial"/>
          <w:color w:val="000000" w:themeColor="text1"/>
        </w:rPr>
        <w:t>copayment</w:t>
      </w:r>
      <w:proofErr w:type="spellEnd"/>
      <w:r w:rsidR="00285E91" w:rsidRPr="00FE2FE9">
        <w:rPr>
          <w:rStyle w:val="hps"/>
          <w:rFonts w:ascii="Arial" w:hAnsi="Arial" w:cs="Arial"/>
          <w:color w:val="000000" w:themeColor="text1"/>
        </w:rPr>
        <w:t xml:space="preserve"> in insurance, not only medicines </w:t>
      </w:r>
      <w:r w:rsidR="00FE2FE9" w:rsidRPr="00FE2FE9">
        <w:rPr>
          <w:rFonts w:ascii="Arial" w:hAnsi="Arial" w:cs="Arial"/>
          <w:color w:val="000000" w:themeColor="text1"/>
          <w:lang w:eastAsia="es-ES"/>
        </w:rPr>
        <w:t>(e.g. [20, 26, 27])</w:t>
      </w:r>
      <w:r w:rsidR="00285E91" w:rsidRPr="00FE2FE9">
        <w:rPr>
          <w:rFonts w:ascii="Arial" w:hAnsi="Arial" w:cs="Arial"/>
          <w:color w:val="000000" w:themeColor="text1"/>
        </w:rPr>
        <w:t xml:space="preserve">. </w:t>
      </w:r>
      <w:r w:rsidR="00946D02" w:rsidRPr="00FE2FE9">
        <w:rPr>
          <w:rStyle w:val="hps"/>
          <w:rFonts w:ascii="Arial" w:hAnsi="Arial" w:cs="Arial"/>
          <w:color w:val="000000" w:themeColor="text1"/>
        </w:rPr>
        <w:t xml:space="preserve"> A recent paper by García-Gomez et al </w:t>
      </w:r>
      <w:r w:rsidR="00FE2FE9" w:rsidRPr="00FE2FE9">
        <w:rPr>
          <w:rStyle w:val="hps"/>
          <w:rFonts w:ascii="Arial" w:hAnsi="Arial" w:cs="Arial"/>
          <w:color w:val="000000" w:themeColor="text1"/>
        </w:rPr>
        <w:t xml:space="preserve">[6] </w:t>
      </w:r>
      <w:r w:rsidR="00946D02" w:rsidRPr="00FE2FE9">
        <w:rPr>
          <w:rStyle w:val="hps"/>
          <w:rFonts w:ascii="Arial" w:hAnsi="Arial" w:cs="Arial"/>
          <w:color w:val="000000" w:themeColor="text1"/>
        </w:rPr>
        <w:t>examined the same policy as we are looking at, the ‘Euro per Prescription’, and they found that c</w:t>
      </w:r>
      <w:r w:rsidR="00946D02" w:rsidRPr="00FE2FE9">
        <w:rPr>
          <w:rFonts w:ascii="Arial" w:hAnsi="Arial" w:cs="Arial"/>
          <w:color w:val="000000" w:themeColor="text1"/>
        </w:rPr>
        <w:t>onsumption increased in the 2 months previous to the introduction of the measure, and fell with the introduction of the ‘co-payment policy. Puig-</w:t>
      </w:r>
      <w:proofErr w:type="spellStart"/>
      <w:r w:rsidR="00946D02" w:rsidRPr="00FE2FE9">
        <w:rPr>
          <w:rFonts w:ascii="Arial" w:hAnsi="Arial" w:cs="Arial"/>
          <w:color w:val="000000" w:themeColor="text1"/>
        </w:rPr>
        <w:t>Junoy</w:t>
      </w:r>
      <w:proofErr w:type="spellEnd"/>
      <w:r w:rsidR="00946D02" w:rsidRPr="00FE2FE9">
        <w:rPr>
          <w:rFonts w:ascii="Arial" w:hAnsi="Arial" w:cs="Arial"/>
          <w:color w:val="000000" w:themeColor="text1"/>
        </w:rPr>
        <w:t xml:space="preserve"> et al </w:t>
      </w:r>
      <w:r w:rsidR="00FE2FE9" w:rsidRPr="00FE2FE9">
        <w:rPr>
          <w:rFonts w:ascii="Arial" w:hAnsi="Arial" w:cs="Arial"/>
          <w:color w:val="000000" w:themeColor="text1"/>
        </w:rPr>
        <w:t>[17]</w:t>
      </w:r>
      <w:r w:rsidR="00946D02" w:rsidRPr="00FE2FE9">
        <w:rPr>
          <w:rFonts w:ascii="Arial" w:hAnsi="Arial" w:cs="Arial"/>
          <w:color w:val="000000" w:themeColor="text1"/>
        </w:rPr>
        <w:t xml:space="preserve"> found similar results, i.e. an increase in prescriptions in the short-term, but they did not use individual patient data. </w:t>
      </w:r>
      <w:r w:rsidR="006D2C6D" w:rsidRPr="00FE2FE9">
        <w:rPr>
          <w:rFonts w:ascii="Arial" w:hAnsi="Arial" w:cs="Arial"/>
          <w:color w:val="000000" w:themeColor="text1"/>
        </w:rPr>
        <w:t>Regarding visit</w:t>
      </w:r>
      <w:r w:rsidR="00285E91" w:rsidRPr="00FE2FE9">
        <w:rPr>
          <w:rFonts w:ascii="Arial" w:hAnsi="Arial" w:cs="Arial"/>
          <w:color w:val="000000" w:themeColor="text1"/>
        </w:rPr>
        <w:t>s</w:t>
      </w:r>
      <w:r w:rsidR="006D2C6D" w:rsidRPr="00FE2FE9">
        <w:rPr>
          <w:rFonts w:ascii="Arial" w:hAnsi="Arial" w:cs="Arial"/>
          <w:color w:val="000000" w:themeColor="text1"/>
        </w:rPr>
        <w:t xml:space="preserve"> to doctors, Winkelmann </w:t>
      </w:r>
      <w:r w:rsidR="00FE2FE9" w:rsidRPr="00FE2FE9">
        <w:rPr>
          <w:rFonts w:ascii="Arial" w:hAnsi="Arial" w:cs="Arial"/>
          <w:color w:val="000000" w:themeColor="text1"/>
        </w:rPr>
        <w:t>[28]</w:t>
      </w:r>
      <w:r w:rsidR="006D2C6D" w:rsidRPr="00FE2FE9">
        <w:rPr>
          <w:rFonts w:ascii="Arial" w:hAnsi="Arial" w:cs="Arial"/>
          <w:color w:val="000000" w:themeColor="text1"/>
        </w:rPr>
        <w:t xml:space="preserve"> a</w:t>
      </w:r>
      <w:proofErr w:type="spellStart"/>
      <w:r w:rsidR="006D2C6D" w:rsidRPr="00FE2FE9">
        <w:rPr>
          <w:rFonts w:ascii="Arial" w:hAnsi="Arial" w:cs="Arial"/>
          <w:color w:val="000000" w:themeColor="text1"/>
        </w:rPr>
        <w:t>nalised</w:t>
      </w:r>
      <w:proofErr w:type="spellEnd"/>
      <w:r w:rsidR="006D2C6D" w:rsidRPr="00FE2FE9">
        <w:rPr>
          <w:rFonts w:ascii="Arial" w:hAnsi="Arial" w:cs="Arial"/>
          <w:color w:val="000000" w:themeColor="text1"/>
        </w:rPr>
        <w:t xml:space="preserve"> the 1997 German health care reform and the differences-in-differences estimates indicated that increased co-payments reduced the number of doctor visits by about 10% on an average</w:t>
      </w:r>
      <w:r w:rsidR="00285E91" w:rsidRPr="00FE2FE9">
        <w:rPr>
          <w:rFonts w:ascii="Arial" w:hAnsi="Arial" w:cs="Arial"/>
          <w:color w:val="000000" w:themeColor="text1"/>
        </w:rPr>
        <w:t>.</w:t>
      </w:r>
    </w:p>
    <w:p w:rsidR="00963E8E" w:rsidRPr="0074326A" w:rsidRDefault="00963E8E" w:rsidP="001B5EE7">
      <w:pPr>
        <w:spacing w:line="360" w:lineRule="auto"/>
        <w:jc w:val="both"/>
        <w:rPr>
          <w:rStyle w:val="hps"/>
          <w:rFonts w:ascii="Arial" w:hAnsi="Arial" w:cs="Arial"/>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Our objective in this paper is to evaluate the effects of the ‘euro per prescription’ in primary health care services (number of doctor visits), through a retrospective cohort study of health care users in Catalonia (Spain).</w:t>
      </w:r>
      <w:r w:rsidR="00D8346A" w:rsidRPr="0074326A">
        <w:rPr>
          <w:rStyle w:val="hps"/>
          <w:rFonts w:ascii="Arial" w:hAnsi="Arial" w:cs="Arial"/>
        </w:rPr>
        <w:t xml:space="preserve"> Our main contribution to the existing literature is </w:t>
      </w:r>
      <w:r w:rsidR="006925A8" w:rsidRPr="0074326A">
        <w:rPr>
          <w:rStyle w:val="hps"/>
          <w:rFonts w:ascii="Arial" w:hAnsi="Arial" w:cs="Arial"/>
        </w:rPr>
        <w:t>firstly</w:t>
      </w:r>
      <w:r w:rsidR="00D8346A" w:rsidRPr="0074326A">
        <w:rPr>
          <w:rStyle w:val="hps"/>
          <w:rFonts w:ascii="Arial" w:hAnsi="Arial" w:cs="Arial"/>
        </w:rPr>
        <w:t xml:space="preserve">, the outcome of interest, i.e. number of doctor visits, as little has been done on the relationship between this outcome and pharmaceutical </w:t>
      </w:r>
      <w:proofErr w:type="spellStart"/>
      <w:r w:rsidR="00D8346A" w:rsidRPr="0074326A">
        <w:rPr>
          <w:rStyle w:val="hps"/>
          <w:rFonts w:ascii="Arial" w:hAnsi="Arial" w:cs="Arial"/>
        </w:rPr>
        <w:t>copayment</w:t>
      </w:r>
      <w:proofErr w:type="spellEnd"/>
      <w:r w:rsidR="00D8346A" w:rsidRPr="0074326A">
        <w:rPr>
          <w:rStyle w:val="hps"/>
          <w:rFonts w:ascii="Arial" w:hAnsi="Arial" w:cs="Arial"/>
        </w:rPr>
        <w:t xml:space="preserve">. Secondly, the specific </w:t>
      </w:r>
      <w:proofErr w:type="spellStart"/>
      <w:r w:rsidR="00D8346A" w:rsidRPr="0074326A">
        <w:rPr>
          <w:rStyle w:val="hps"/>
          <w:rFonts w:ascii="Arial" w:hAnsi="Arial" w:cs="Arial"/>
        </w:rPr>
        <w:t>copayment</w:t>
      </w:r>
      <w:proofErr w:type="spellEnd"/>
      <w:r w:rsidR="00D8346A" w:rsidRPr="0074326A">
        <w:rPr>
          <w:rStyle w:val="hps"/>
          <w:rFonts w:ascii="Arial" w:hAnsi="Arial" w:cs="Arial"/>
        </w:rPr>
        <w:t xml:space="preserve"> policy which we are analysing, the ‘Euro per Prescription’. Thirdly, the use of individual monthly data for January 2005 to December 2012.</w:t>
      </w:r>
    </w:p>
    <w:p w:rsidR="00700155" w:rsidRPr="0074326A" w:rsidRDefault="00700155" w:rsidP="00700155">
      <w:pPr>
        <w:spacing w:line="360" w:lineRule="auto"/>
        <w:jc w:val="both"/>
        <w:rPr>
          <w:rStyle w:val="hps"/>
          <w:rFonts w:ascii="Arial" w:hAnsi="Arial" w:cs="Arial"/>
        </w:rPr>
      </w:pPr>
    </w:p>
    <w:p w:rsidR="00700155" w:rsidRPr="0074326A" w:rsidRDefault="00700155" w:rsidP="00700155">
      <w:pPr>
        <w:autoSpaceDE w:val="0"/>
        <w:autoSpaceDN w:val="0"/>
        <w:adjustRightInd w:val="0"/>
        <w:spacing w:line="360" w:lineRule="auto"/>
        <w:jc w:val="both"/>
        <w:rPr>
          <w:rStyle w:val="hps"/>
          <w:rFonts w:ascii="Arial" w:hAnsi="Arial" w:cs="Arial"/>
        </w:rPr>
      </w:pPr>
      <w:r w:rsidRPr="0074326A">
        <w:rPr>
          <w:rFonts w:ascii="Arial" w:hAnsi="Arial" w:cs="Arial"/>
          <w:lang w:val="en-US" w:eastAsia="es-ES"/>
        </w:rPr>
        <w:t>The article is organized as follows. First, we explain the method. Then, we explain and discuss the results of the model. Finally, we present our conclusions.</w:t>
      </w:r>
    </w:p>
    <w:p w:rsidR="001B5EE7" w:rsidRPr="0074326A" w:rsidRDefault="001B5EE7" w:rsidP="001B5EE7">
      <w:pPr>
        <w:spacing w:line="360" w:lineRule="auto"/>
        <w:jc w:val="both"/>
        <w:rPr>
          <w:rFonts w:ascii="Arial"/>
          <w:b/>
          <w:bCs/>
          <w:sz w:val="22"/>
          <w:szCs w:val="22"/>
        </w:rPr>
      </w:pPr>
    </w:p>
    <w:p w:rsidR="001B5EE7" w:rsidRPr="0074326A" w:rsidRDefault="001B5EE7" w:rsidP="001B5EE7">
      <w:pPr>
        <w:spacing w:line="360" w:lineRule="auto"/>
        <w:jc w:val="both"/>
        <w:rPr>
          <w:rFonts w:ascii="Arial" w:hAnsi="Arial" w:cs="Arial"/>
          <w:b/>
          <w:bCs/>
          <w:sz w:val="22"/>
          <w:szCs w:val="22"/>
        </w:rPr>
      </w:pPr>
      <w:r w:rsidRPr="0074326A">
        <w:rPr>
          <w:rFonts w:ascii="Arial"/>
          <w:b/>
          <w:bCs/>
          <w:sz w:val="22"/>
          <w:szCs w:val="22"/>
        </w:rPr>
        <w:t>2.- Methods</w:t>
      </w:r>
    </w:p>
    <w:p w:rsidR="001B5EE7" w:rsidRPr="0074326A" w:rsidRDefault="001B5EE7" w:rsidP="001B5EE7">
      <w:pPr>
        <w:spacing w:line="360" w:lineRule="auto"/>
        <w:jc w:val="both"/>
        <w:rPr>
          <w:rFonts w:ascii="Arial" w:hAnsi="Arial" w:cs="Arial"/>
          <w:sz w:val="22"/>
          <w:szCs w:val="22"/>
        </w:rPr>
      </w:pPr>
    </w:p>
    <w:p w:rsidR="001B5EE7" w:rsidRPr="0074326A" w:rsidRDefault="001B5EE7" w:rsidP="001B5EE7">
      <w:pPr>
        <w:spacing w:line="360" w:lineRule="auto"/>
        <w:jc w:val="both"/>
        <w:rPr>
          <w:rFonts w:ascii="Arial"/>
          <w:sz w:val="22"/>
          <w:szCs w:val="22"/>
        </w:rPr>
      </w:pPr>
      <w:r w:rsidRPr="0074326A">
        <w:rPr>
          <w:rFonts w:ascii="Arial"/>
          <w:i/>
          <w:iCs/>
          <w:sz w:val="22"/>
          <w:szCs w:val="22"/>
        </w:rPr>
        <w:t>Data setting</w:t>
      </w:r>
    </w:p>
    <w:p w:rsidR="001B5EE7" w:rsidRPr="0074326A" w:rsidRDefault="001B5EE7" w:rsidP="001B5EE7">
      <w:pPr>
        <w:spacing w:line="360" w:lineRule="auto"/>
        <w:jc w:val="both"/>
        <w:rPr>
          <w:rFonts w:ascii="Arial" w:hAnsi="Arial" w:cs="Arial"/>
          <w:i/>
          <w:iCs/>
          <w:sz w:val="22"/>
          <w:szCs w:val="22"/>
        </w:rPr>
      </w:pPr>
    </w:p>
    <w:p w:rsidR="001B5EE7" w:rsidRPr="0074326A" w:rsidRDefault="001B5EE7" w:rsidP="001B5EE7">
      <w:pPr>
        <w:spacing w:line="360" w:lineRule="auto"/>
        <w:jc w:val="both"/>
        <w:rPr>
          <w:rStyle w:val="hps"/>
          <w:rFonts w:ascii="Arial" w:hAnsi="Arial" w:cs="Arial"/>
        </w:rPr>
      </w:pPr>
      <w:r w:rsidRPr="0074326A">
        <w:rPr>
          <w:rStyle w:val="hps"/>
          <w:rFonts w:ascii="Arial" w:hAnsi="Arial" w:cs="Arial"/>
        </w:rPr>
        <w:t xml:space="preserve">To evaluate the effects of the ‘euro per prescription’ we used a (general population) retrospective cohort, composed of individuals who had had contact with primary healthcare services between January 1, 2005 and December 31, 2012. The individuals were assigned to one of three Basic Areas of Health (ABS, acronym in Catalan) managed by the Institute of Health Care (IAS, </w:t>
      </w:r>
      <w:proofErr w:type="spellStart"/>
      <w:r w:rsidRPr="0074326A">
        <w:rPr>
          <w:rStyle w:val="hps"/>
          <w:rFonts w:ascii="Arial" w:hAnsi="Arial" w:cs="Arial"/>
          <w:i/>
        </w:rPr>
        <w:t>Institut</w:t>
      </w:r>
      <w:proofErr w:type="spellEnd"/>
      <w:r w:rsidRPr="0074326A">
        <w:rPr>
          <w:rStyle w:val="hps"/>
          <w:rFonts w:ascii="Arial" w:hAnsi="Arial" w:cs="Arial"/>
          <w:i/>
        </w:rPr>
        <w:t xml:space="preserve"> </w:t>
      </w:r>
      <w:proofErr w:type="spellStart"/>
      <w:r w:rsidRPr="0074326A">
        <w:rPr>
          <w:rStyle w:val="hps"/>
          <w:rFonts w:ascii="Arial" w:hAnsi="Arial" w:cs="Arial"/>
          <w:i/>
        </w:rPr>
        <w:t>d’Assistència</w:t>
      </w:r>
      <w:proofErr w:type="spellEnd"/>
      <w:r w:rsidRPr="0074326A">
        <w:rPr>
          <w:rStyle w:val="hps"/>
          <w:rFonts w:ascii="Arial" w:hAnsi="Arial" w:cs="Arial"/>
          <w:i/>
        </w:rPr>
        <w:t xml:space="preserve"> </w:t>
      </w:r>
      <w:proofErr w:type="spellStart"/>
      <w:r w:rsidRPr="0074326A">
        <w:rPr>
          <w:rStyle w:val="hps"/>
          <w:rFonts w:ascii="Arial" w:hAnsi="Arial" w:cs="Arial"/>
          <w:i/>
        </w:rPr>
        <w:t>Sanitària</w:t>
      </w:r>
      <w:proofErr w:type="spellEnd"/>
      <w:r w:rsidRPr="0074326A">
        <w:rPr>
          <w:rStyle w:val="hps"/>
          <w:rFonts w:ascii="Arial" w:hAnsi="Arial" w:cs="Arial"/>
        </w:rPr>
        <w:t xml:space="preserve"> in Catalan).</w:t>
      </w:r>
    </w:p>
    <w:p w:rsidR="001B5EE7" w:rsidRPr="0074326A" w:rsidRDefault="001B5EE7" w:rsidP="001B5EE7">
      <w:pPr>
        <w:spacing w:line="360" w:lineRule="auto"/>
        <w:jc w:val="both"/>
        <w:rPr>
          <w:rStyle w:val="hps"/>
          <w:rFonts w:ascii="Arial" w:hAnsi="Arial" w:cs="Arial"/>
        </w:rPr>
      </w:pPr>
    </w:p>
    <w:p w:rsidR="001B5EE7" w:rsidRPr="0074326A" w:rsidRDefault="001B5EE7" w:rsidP="001B5EE7">
      <w:pPr>
        <w:spacing w:line="360" w:lineRule="auto"/>
        <w:jc w:val="both"/>
        <w:rPr>
          <w:rFonts w:ascii="Arial"/>
          <w:sz w:val="22"/>
          <w:szCs w:val="22"/>
        </w:rPr>
      </w:pPr>
      <w:r w:rsidRPr="0074326A">
        <w:rPr>
          <w:rFonts w:ascii="Arial" w:hAnsi="Arial" w:cs="Arial"/>
          <w:sz w:val="22"/>
          <w:szCs w:val="22"/>
        </w:rPr>
        <w:t>T</w:t>
      </w:r>
      <w:r w:rsidRPr="0074326A">
        <w:rPr>
          <w:rStyle w:val="hps"/>
          <w:rFonts w:ascii="Arial" w:hAnsi="Arial" w:cs="Arial"/>
        </w:rPr>
        <w:t>he</w:t>
      </w:r>
      <w:r w:rsidRPr="0074326A">
        <w:rPr>
          <w:rStyle w:val="hps"/>
        </w:rPr>
        <w:t xml:space="preserve"> </w:t>
      </w:r>
      <w:r w:rsidRPr="0074326A">
        <w:rPr>
          <w:rStyle w:val="hps"/>
          <w:rFonts w:ascii="Arial" w:hAnsi="Arial" w:cs="Arial"/>
        </w:rPr>
        <w:t>Catalan public healthcare system</w:t>
      </w:r>
      <w:r w:rsidRPr="0074326A">
        <w:rPr>
          <w:rFonts w:ascii="Arial" w:hAnsi="Arial" w:cs="Arial"/>
        </w:rPr>
        <w:t xml:space="preserve"> </w:t>
      </w:r>
      <w:r w:rsidRPr="0074326A">
        <w:rPr>
          <w:rStyle w:val="hps"/>
          <w:rFonts w:ascii="Arial" w:hAnsi="Arial" w:cs="Arial"/>
        </w:rPr>
        <w:t>guarantees</w:t>
      </w:r>
      <w:r w:rsidRPr="0074326A">
        <w:rPr>
          <w:rFonts w:ascii="Arial" w:hAnsi="Arial" w:cs="Arial"/>
        </w:rPr>
        <w:t xml:space="preserve"> </w:t>
      </w:r>
      <w:r w:rsidRPr="0074326A">
        <w:rPr>
          <w:rStyle w:val="hps"/>
          <w:rFonts w:ascii="Arial" w:hAnsi="Arial" w:cs="Arial"/>
        </w:rPr>
        <w:t>universal</w:t>
      </w:r>
      <w:r w:rsidRPr="0074326A">
        <w:rPr>
          <w:rFonts w:ascii="Arial" w:hAnsi="Arial" w:cs="Arial"/>
        </w:rPr>
        <w:t xml:space="preserve"> and free </w:t>
      </w:r>
      <w:r w:rsidRPr="0074326A">
        <w:rPr>
          <w:rStyle w:val="hps"/>
          <w:rFonts w:ascii="Arial" w:hAnsi="Arial" w:cs="Arial"/>
        </w:rPr>
        <w:t>healthcare</w:t>
      </w:r>
      <w:r w:rsidRPr="0074326A">
        <w:rPr>
          <w:rFonts w:ascii="Arial" w:hAnsi="Arial" w:cs="Arial"/>
        </w:rPr>
        <w:t xml:space="preserve"> </w:t>
      </w:r>
      <w:r w:rsidRPr="0074326A">
        <w:rPr>
          <w:rStyle w:val="hps"/>
          <w:rFonts w:ascii="Arial" w:hAnsi="Arial" w:cs="Arial"/>
        </w:rPr>
        <w:t>to all</w:t>
      </w:r>
      <w:r w:rsidRPr="0074326A">
        <w:rPr>
          <w:rFonts w:ascii="Arial" w:hAnsi="Arial" w:cs="Arial"/>
        </w:rPr>
        <w:t xml:space="preserve"> the </w:t>
      </w:r>
      <w:r w:rsidRPr="0074326A">
        <w:rPr>
          <w:rStyle w:val="hps"/>
          <w:rFonts w:ascii="Arial" w:hAnsi="Arial" w:cs="Arial"/>
        </w:rPr>
        <w:t>citizens</w:t>
      </w:r>
      <w:r w:rsidRPr="0074326A">
        <w:rPr>
          <w:rFonts w:ascii="Arial" w:hAnsi="Arial" w:cs="Arial"/>
        </w:rPr>
        <w:t xml:space="preserve"> </w:t>
      </w:r>
      <w:r w:rsidRPr="0074326A">
        <w:rPr>
          <w:rStyle w:val="hps"/>
          <w:rFonts w:ascii="Arial" w:hAnsi="Arial" w:cs="Arial"/>
        </w:rPr>
        <w:t>of Catalonia</w:t>
      </w:r>
      <w:r w:rsidRPr="0074326A">
        <w:rPr>
          <w:rFonts w:ascii="Arial" w:hAnsi="Arial" w:cs="Arial"/>
        </w:rPr>
        <w:t>. The system is characterized by a separation of the funding (from the Catalan public budget) and the provision and management of healthcare services.</w:t>
      </w:r>
      <w:r w:rsidRPr="0074326A">
        <w:rPr>
          <w:rFonts w:ascii="Arial"/>
          <w:sz w:val="22"/>
          <w:szCs w:val="22"/>
        </w:rPr>
        <w:t xml:space="preserve"> </w:t>
      </w:r>
      <w:r w:rsidRPr="0074326A">
        <w:rPr>
          <w:rFonts w:ascii="Arial" w:hAnsi="Arial" w:cs="Arial"/>
        </w:rPr>
        <w:t xml:space="preserve">Catalonia is divided into seven health regions of which an ABS is a territorial division. All the residents of the area covered by the ABS are assigned to the provider responsible for that </w:t>
      </w:r>
      <w:r w:rsidRPr="0074326A">
        <w:rPr>
          <w:rStyle w:val="hps"/>
          <w:rFonts w:ascii="Arial" w:hAnsi="Arial" w:cs="Arial"/>
        </w:rPr>
        <w:t xml:space="preserve">particular ABS. </w:t>
      </w:r>
    </w:p>
    <w:p w:rsidR="001B5EE7" w:rsidRPr="0074326A" w:rsidRDefault="001B5EE7" w:rsidP="001B5EE7">
      <w:pPr>
        <w:spacing w:line="360" w:lineRule="auto"/>
        <w:jc w:val="both"/>
        <w:rPr>
          <w:rFonts w:ascii="Arial"/>
          <w:sz w:val="22"/>
          <w:szCs w:val="22"/>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The IAS manages all the ABSs that provide health care to the region of </w:t>
      </w:r>
      <w:r w:rsidRPr="0074326A">
        <w:rPr>
          <w:rFonts w:ascii="Arial" w:hAnsi="Arial" w:cs="Arial"/>
          <w:i/>
        </w:rPr>
        <w:t xml:space="preserve">‘La </w:t>
      </w:r>
      <w:proofErr w:type="spellStart"/>
      <w:r w:rsidRPr="0074326A">
        <w:rPr>
          <w:rFonts w:ascii="Arial" w:hAnsi="Arial" w:cs="Arial"/>
          <w:i/>
        </w:rPr>
        <w:t>Selva</w:t>
      </w:r>
      <w:proofErr w:type="spellEnd"/>
      <w:r w:rsidRPr="0074326A">
        <w:rPr>
          <w:rFonts w:ascii="Arial" w:hAnsi="Arial" w:cs="Arial"/>
          <w:i/>
        </w:rPr>
        <w:t xml:space="preserve"> Interior’</w:t>
      </w:r>
      <w:r w:rsidRPr="0074326A">
        <w:rPr>
          <w:rFonts w:ascii="Arial" w:hAnsi="Arial" w:cs="Arial"/>
        </w:rPr>
        <w:t xml:space="preserve">, Girona (ABS </w:t>
      </w:r>
      <w:proofErr w:type="spellStart"/>
      <w:r w:rsidRPr="0074326A">
        <w:rPr>
          <w:rFonts w:ascii="Arial" w:hAnsi="Arial" w:cs="Arial"/>
        </w:rPr>
        <w:t>Anglès</w:t>
      </w:r>
      <w:proofErr w:type="spellEnd"/>
      <w:r w:rsidRPr="0074326A">
        <w:rPr>
          <w:rFonts w:ascii="Arial" w:hAnsi="Arial" w:cs="Arial"/>
        </w:rPr>
        <w:t>; ABS Breda-</w:t>
      </w:r>
      <w:proofErr w:type="spellStart"/>
      <w:r w:rsidRPr="0074326A">
        <w:rPr>
          <w:rFonts w:ascii="Arial" w:hAnsi="Arial" w:cs="Arial"/>
        </w:rPr>
        <w:t>Hostalric</w:t>
      </w:r>
      <w:proofErr w:type="spellEnd"/>
      <w:r w:rsidRPr="0074326A">
        <w:rPr>
          <w:rFonts w:ascii="Arial" w:hAnsi="Arial" w:cs="Arial"/>
        </w:rPr>
        <w:t xml:space="preserve">; and ABS </w:t>
      </w:r>
      <w:proofErr w:type="spellStart"/>
      <w:r w:rsidRPr="0074326A">
        <w:rPr>
          <w:rFonts w:ascii="Arial" w:hAnsi="Arial" w:cs="Arial"/>
        </w:rPr>
        <w:t>Cassà</w:t>
      </w:r>
      <w:proofErr w:type="spellEnd"/>
      <w:r w:rsidRPr="0074326A">
        <w:rPr>
          <w:rFonts w:ascii="Arial" w:hAnsi="Arial" w:cs="Arial"/>
        </w:rPr>
        <w:t xml:space="preserve"> de la </w:t>
      </w:r>
      <w:proofErr w:type="spellStart"/>
      <w:r w:rsidRPr="0074326A">
        <w:rPr>
          <w:rFonts w:ascii="Arial" w:hAnsi="Arial" w:cs="Arial"/>
        </w:rPr>
        <w:t>Selva</w:t>
      </w:r>
      <w:proofErr w:type="spellEnd"/>
      <w:r w:rsidRPr="0074326A">
        <w:rPr>
          <w:rFonts w:ascii="Arial" w:hAnsi="Arial" w:cs="Arial"/>
        </w:rPr>
        <w:t>). According to the Catalan Institute of Statistics (IDESCAT</w:t>
      </w:r>
      <w:r w:rsidR="002B314A">
        <w:rPr>
          <w:rFonts w:ascii="Arial" w:hAnsi="Arial" w:cs="Arial"/>
        </w:rPr>
        <w:t xml:space="preserve"> [8]</w:t>
      </w:r>
      <w:r w:rsidRPr="0074326A">
        <w:rPr>
          <w:rFonts w:ascii="Arial" w:hAnsi="Arial" w:cs="Arial"/>
        </w:rPr>
        <w:t xml:space="preserve">), in 2012 the region’s population was made up of 32,860 men and 32,702 women (0.87% and 0.85%, respectively, of the entire Catalan population). The area is mainly rural (or semi-urban), with many towns scattered throughout the district as well as having a number of farms, estates and small far away villages. While the region has 144 municipalities (3.70% of all Catalonia), it only has 5 municipalities of more than 5,000 inhabitants and only one with a little more than 10,000. The median of the population density was 85.5 </w:t>
      </w:r>
      <w:proofErr w:type="spellStart"/>
      <w:r w:rsidRPr="0074326A">
        <w:rPr>
          <w:rFonts w:ascii="Arial" w:hAnsi="Arial" w:cs="Arial"/>
        </w:rPr>
        <w:t>hab</w:t>
      </w:r>
      <w:proofErr w:type="spellEnd"/>
      <w:r w:rsidRPr="0074326A">
        <w:rPr>
          <w:rFonts w:ascii="Arial" w:hAnsi="Arial" w:cs="Arial"/>
        </w:rPr>
        <w:t xml:space="preserve">/km2 in 2012, and the average population density 176.2 </w:t>
      </w:r>
      <w:proofErr w:type="spellStart"/>
      <w:r w:rsidRPr="0074326A">
        <w:rPr>
          <w:rFonts w:ascii="Arial" w:hAnsi="Arial" w:cs="Arial"/>
        </w:rPr>
        <w:t>hab</w:t>
      </w:r>
      <w:proofErr w:type="spellEnd"/>
      <w:r w:rsidRPr="0074326A">
        <w:rPr>
          <w:rFonts w:ascii="Arial" w:hAnsi="Arial" w:cs="Arial"/>
        </w:rPr>
        <w:t>/km2 (compare with 235.8 in in the whole of Catalonia)</w:t>
      </w:r>
      <w:r w:rsidR="00E54023" w:rsidRPr="0074326A">
        <w:rPr>
          <w:rFonts w:ascii="Arial" w:hAnsi="Arial" w:cs="Arial"/>
          <w:vertAlign w:val="superscript"/>
        </w:rPr>
        <w:t xml:space="preserve"> </w:t>
      </w:r>
      <w:r w:rsidR="00E54023" w:rsidRPr="0074326A">
        <w:rPr>
          <w:rFonts w:ascii="Arial" w:hAnsi="Arial" w:cs="Arial"/>
        </w:rPr>
        <w:t>(IDESCAT).</w:t>
      </w:r>
    </w:p>
    <w:p w:rsidR="001B5EE7" w:rsidRPr="0074326A" w:rsidRDefault="001B5EE7" w:rsidP="001B5EE7">
      <w:pPr>
        <w:spacing w:line="360" w:lineRule="auto"/>
        <w:jc w:val="both"/>
        <w:rPr>
          <w:rFonts w:ascii="Arial" w:hAnsi="Arial" w:cs="Arial"/>
          <w:i/>
          <w:iCs/>
        </w:rPr>
      </w:pPr>
      <w:r w:rsidRPr="0074326A">
        <w:rPr>
          <w:rFonts w:ascii="Arial"/>
          <w:i/>
          <w:iCs/>
        </w:rPr>
        <w:t>Statistical methods</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The methods that study natural experiments have the same validity threats that experimental methods (i.e. randomized controlled trials) do. The main difference is the absence of randomization. In fact, in natural experiment studies there is no general solution for the presence of selection bias i.e. the problem of confounding. As such, </w:t>
      </w:r>
      <w:proofErr w:type="gramStart"/>
      <w:r w:rsidR="006F3DC0" w:rsidRPr="0074326A">
        <w:rPr>
          <w:rFonts w:ascii="Arial" w:hAnsi="Arial" w:cs="Arial"/>
        </w:rPr>
        <w:t>all natural</w:t>
      </w:r>
      <w:proofErr w:type="gramEnd"/>
      <w:r w:rsidRPr="0074326A">
        <w:rPr>
          <w:rFonts w:ascii="Arial" w:hAnsi="Arial" w:cs="Arial"/>
        </w:rPr>
        <w:t xml:space="preserve"> experiments studies require a comparative group (i.e. control group or ‘counterfactual’) to provide an indication of what would have happened in the absence of the intervention</w:t>
      </w:r>
      <w:r w:rsidR="00E54023" w:rsidRPr="0074326A">
        <w:rPr>
          <w:rFonts w:ascii="Arial" w:hAnsi="Arial" w:cs="Arial"/>
          <w:vertAlign w:val="superscript"/>
        </w:rPr>
        <w:t xml:space="preserve"> </w:t>
      </w:r>
      <w:r w:rsidR="00E54023" w:rsidRPr="0074326A">
        <w:rPr>
          <w:rStyle w:val="hps"/>
          <w:rFonts w:ascii="Arial" w:hAnsi="Arial" w:cs="Arial"/>
        </w:rPr>
        <w:t xml:space="preserve">(Craig </w:t>
      </w:r>
      <w:r w:rsidR="00E54023" w:rsidRPr="0074326A">
        <w:rPr>
          <w:rStyle w:val="hps"/>
          <w:rFonts w:ascii="Arial" w:hAnsi="Arial" w:cs="Arial"/>
          <w:i/>
        </w:rPr>
        <w:t>et al</w:t>
      </w:r>
      <w:r w:rsidR="00E54023" w:rsidRPr="0074326A">
        <w:rPr>
          <w:rStyle w:val="hps"/>
          <w:rFonts w:ascii="Arial" w:hAnsi="Arial" w:cs="Arial"/>
        </w:rPr>
        <w:t>, 2011)</w:t>
      </w:r>
      <w:r w:rsidRPr="0074326A">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In our case, however, we did not have a cont</w:t>
      </w:r>
      <w:r w:rsidR="00E54023" w:rsidRPr="0074326A">
        <w:rPr>
          <w:rFonts w:ascii="Arial" w:hAnsi="Arial" w:cs="Arial"/>
        </w:rPr>
        <w:t>rol group (unlike</w:t>
      </w:r>
      <w:r w:rsidR="00160D08">
        <w:rPr>
          <w:rFonts w:ascii="Arial" w:hAnsi="Arial" w:cs="Arial"/>
        </w:rPr>
        <w:t xml:space="preserve"> [26, 28]</w:t>
      </w:r>
      <w:r w:rsidRPr="0074326A">
        <w:rPr>
          <w:rFonts w:ascii="Arial" w:hAnsi="Arial" w:cs="Arial"/>
        </w:rPr>
        <w:t xml:space="preserve">) as all the individuals in the cohorts were exposed to the intervention. For this </w:t>
      </w:r>
      <w:r w:rsidR="008F235B" w:rsidRPr="0074326A">
        <w:rPr>
          <w:rFonts w:ascii="Arial" w:hAnsi="Arial" w:cs="Arial"/>
        </w:rPr>
        <w:t>reason,</w:t>
      </w:r>
      <w:r w:rsidRPr="0074326A">
        <w:rPr>
          <w:rFonts w:ascii="Arial" w:hAnsi="Arial" w:cs="Arial"/>
        </w:rPr>
        <w:t xml:space="preserve"> we used a quasi-experimental design (time-interrupted time series) organized as a mixed design (panel data), with the individuals observed repeatedly over time. With this design, the history of each individual prior to the intervention is used to </w:t>
      </w:r>
      <w:r w:rsidRPr="0074326A">
        <w:rPr>
          <w:rFonts w:ascii="Arial" w:hAnsi="Arial" w:cs="Arial"/>
        </w:rPr>
        <w:lastRenderedPageBreak/>
        <w:t>construct the counterfactual. In other words, each individual becomes their own control. In fact, this type of design is equivalent to a difference-in-difference method</w:t>
      </w:r>
      <w:r w:rsidR="006D783B" w:rsidRPr="0074326A">
        <w:rPr>
          <w:rFonts w:ascii="Arial" w:hAnsi="Arial" w:cs="Arial"/>
          <w:vertAlign w:val="superscript"/>
        </w:rPr>
        <w:t xml:space="preserve"> </w:t>
      </w:r>
      <w:r w:rsidR="00160D08">
        <w:rPr>
          <w:rFonts w:ascii="Arial" w:hAnsi="Arial" w:cs="Arial"/>
        </w:rPr>
        <w:t>[10]</w:t>
      </w:r>
      <w:r w:rsidRPr="0074326A">
        <w:rPr>
          <w:rFonts w:ascii="Arial" w:hAnsi="Arial" w:cs="Arial"/>
        </w:rPr>
        <w:t xml:space="preserve"> (a method which deals with unobserved factors, or ‘selection on </w:t>
      </w:r>
      <w:proofErr w:type="spellStart"/>
      <w:r w:rsidRPr="0074326A">
        <w:rPr>
          <w:rFonts w:ascii="Arial" w:hAnsi="Arial" w:cs="Arial"/>
        </w:rPr>
        <w:t>unobservables</w:t>
      </w:r>
      <w:proofErr w:type="spellEnd"/>
      <w:r w:rsidRPr="0074326A">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In particular we specified the following two generalized linear models (GLM):</w:t>
      </w:r>
    </w:p>
    <w:p w:rsidR="001B5EE7" w:rsidRPr="0074326A" w:rsidRDefault="001B5EE7" w:rsidP="001B5EE7">
      <w:pPr>
        <w:spacing w:line="360" w:lineRule="auto"/>
        <w:jc w:val="both"/>
        <w:rPr>
          <w:rFonts w:ascii="Arial" w:hAnsi="Arial" w:cs="Arial"/>
        </w:rPr>
      </w:pP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42AF99DD">
            <wp:extent cx="2447290" cy="18288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290" cy="182880"/>
                    </a:xfrm>
                    <a:prstGeom prst="rect">
                      <a:avLst/>
                    </a:prstGeom>
                    <a:noFill/>
                    <a:ln>
                      <a:noFill/>
                    </a:ln>
                  </pic:spPr>
                </pic:pic>
              </a:graphicData>
            </a:graphic>
          </wp:inline>
        </w:drawing>
      </w:r>
    </w:p>
    <w:p w:rsidR="001B5EE7" w:rsidRPr="0074326A" w:rsidRDefault="001B5EE7" w:rsidP="001B5EE7">
      <w:pPr>
        <w:spacing w:line="360" w:lineRule="auto"/>
        <w:jc w:val="both"/>
        <w:rPr>
          <w:rFonts w:ascii="Arial" w:hAnsi="Arial" w:cs="Arial"/>
        </w:rPr>
      </w:pP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65AE9477">
            <wp:extent cx="5276538" cy="269875"/>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210" cy="270063"/>
                    </a:xfrm>
                    <a:prstGeom prst="rect">
                      <a:avLst/>
                    </a:prstGeom>
                    <a:noFill/>
                    <a:ln>
                      <a:noFill/>
                    </a:ln>
                  </pic:spPr>
                </pic:pic>
              </a:graphicData>
            </a:graphic>
          </wp:inline>
        </w:drawing>
      </w: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7582899F">
            <wp:extent cx="5216577" cy="24384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282" cy="244013"/>
                    </a:xfrm>
                    <a:prstGeom prst="rect">
                      <a:avLst/>
                    </a:prstGeom>
                    <a:noFill/>
                    <a:ln>
                      <a:noFill/>
                    </a:ln>
                  </pic:spPr>
                </pic:pic>
              </a:graphicData>
            </a:graphic>
          </wp:inline>
        </w:drawing>
      </w:r>
      <w:r w:rsidR="00CB069F">
        <w:rPr>
          <w:rFonts w:ascii="Arial" w:hAnsi="Arial" w:cs="Arial"/>
        </w:rPr>
        <w:t>(</w:t>
      </w:r>
      <w:r w:rsidR="001B5EE7" w:rsidRPr="0074326A">
        <w:rPr>
          <w:rFonts w:ascii="Arial" w:hAnsi="Arial" w:cs="Arial"/>
        </w:rPr>
        <w:t>1</w:t>
      </w:r>
      <w:r w:rsidR="00CB069F">
        <w:rPr>
          <w:rFonts w:ascii="Arial" w:hAnsi="Arial" w:cs="Arial"/>
        </w:rPr>
        <w:t>)</w:t>
      </w:r>
      <w:r w:rsidR="001B5EE7" w:rsidRPr="0074326A">
        <w:rPr>
          <w:rFonts w:ascii="Arial" w:hAnsi="Arial" w:cs="Arial"/>
        </w:rPr>
        <w:t xml:space="preserve"> </w:t>
      </w:r>
    </w:p>
    <w:p w:rsidR="001B5EE7" w:rsidRPr="0074326A" w:rsidRDefault="001B5EE7" w:rsidP="001B5EE7">
      <w:pPr>
        <w:spacing w:line="360" w:lineRule="auto"/>
        <w:jc w:val="right"/>
        <w:rPr>
          <w:rFonts w:ascii="Arial" w:hAnsi="Arial" w:cs="Arial"/>
        </w:rPr>
      </w:pPr>
    </w:p>
    <w:p w:rsidR="001B5EE7" w:rsidRPr="0074326A" w:rsidRDefault="001B5EE7" w:rsidP="00A2386A">
      <w:pPr>
        <w:spacing w:line="360" w:lineRule="auto"/>
        <w:jc w:val="both"/>
        <w:rPr>
          <w:rFonts w:ascii="Arial" w:hAnsi="Arial" w:cs="Arial"/>
        </w:rPr>
      </w:pPr>
      <w:r w:rsidRPr="0074326A">
        <w:rPr>
          <w:rFonts w:ascii="Arial" w:hAnsi="Arial" w:cs="Arial"/>
        </w:rPr>
        <w:t xml:space="preserve">where the subscript </w:t>
      </w:r>
      <w:proofErr w:type="spellStart"/>
      <w:r w:rsidRPr="00025E92">
        <w:rPr>
          <w:rFonts w:ascii="Arial" w:hAnsi="Arial" w:cs="Arial"/>
          <w:i/>
          <w:iCs/>
        </w:rPr>
        <w:t>i</w:t>
      </w:r>
      <w:proofErr w:type="spellEnd"/>
      <w:r w:rsidRPr="0074326A">
        <w:rPr>
          <w:rFonts w:ascii="Arial" w:hAnsi="Arial" w:cs="Arial"/>
        </w:rPr>
        <w:t xml:space="preserve"> denoted individual and t month (from January 2005 to December 2012), </w:t>
      </w:r>
      <w:r w:rsidRPr="00025E92">
        <w:rPr>
          <w:rFonts w:ascii="Arial" w:hAnsi="Arial" w:cs="Arial"/>
          <w:i/>
          <w:iCs/>
        </w:rPr>
        <w:t>Y</w:t>
      </w:r>
      <w:r w:rsidRPr="0074326A">
        <w:rPr>
          <w:rFonts w:ascii="Arial" w:hAnsi="Arial" w:cs="Arial"/>
        </w:rPr>
        <w:t xml:space="preserve"> the dependent variable (doctor visits), </w:t>
      </w:r>
      <w:r w:rsidR="00530271" w:rsidRPr="00025E92">
        <w:rPr>
          <w:rFonts w:ascii="Arial" w:hAnsi="Arial" w:cs="Arial" w:hint="eastAsia"/>
          <w:i/>
          <w:iCs/>
        </w:rPr>
        <w:sym w:font="Symbol" w:char="F06D"/>
      </w:r>
      <w:r w:rsidRPr="0074326A">
        <w:rPr>
          <w:rFonts w:ascii="Arial" w:hAnsi="Arial" w:cs="Arial"/>
        </w:rPr>
        <w:t xml:space="preserve"> the (conditional) mean, </w:t>
      </w:r>
      <w:proofErr w:type="gramStart"/>
      <w:r w:rsidRPr="00025E92">
        <w:rPr>
          <w:rFonts w:ascii="Arial" w:hAnsi="Arial" w:cs="Arial"/>
          <w:i/>
          <w:iCs/>
        </w:rPr>
        <w:t>g(</w:t>
      </w:r>
      <w:proofErr w:type="gramEnd"/>
      <w:r w:rsidRPr="00025E92">
        <w:rPr>
          <w:rFonts w:ascii="Arial" w:hAnsi="Arial" w:cs="Arial"/>
          <w:i/>
          <w:iCs/>
        </w:rPr>
        <w:t>)</w:t>
      </w:r>
      <w:r w:rsidRPr="0074326A">
        <w:rPr>
          <w:rFonts w:ascii="Arial" w:hAnsi="Arial" w:cs="Arial"/>
        </w:rPr>
        <w:t xml:space="preserve"> and </w:t>
      </w:r>
      <w:r w:rsidRPr="00025E92">
        <w:rPr>
          <w:rFonts w:ascii="Arial" w:hAnsi="Arial" w:cs="Arial"/>
          <w:i/>
          <w:iCs/>
        </w:rPr>
        <w:t>h()</w:t>
      </w:r>
      <w:r w:rsidRPr="0074326A">
        <w:rPr>
          <w:rFonts w:ascii="Arial" w:hAnsi="Arial" w:cs="Arial"/>
        </w:rPr>
        <w:t xml:space="preserve"> (appropriate) link and variance functions, respectively, and </w:t>
      </w:r>
      <w:r w:rsidR="00530271" w:rsidRPr="00025E92">
        <w:rPr>
          <w:rFonts w:ascii="Arial" w:hAnsi="Arial" w:cs="Arial" w:hint="eastAsia"/>
          <w:i/>
          <w:iCs/>
        </w:rPr>
        <w:sym w:font="Symbol" w:char="F066"/>
      </w:r>
      <w:r w:rsidRPr="0074326A">
        <w:rPr>
          <w:rFonts w:ascii="Arial" w:hAnsi="Arial" w:cs="Arial"/>
        </w:rPr>
        <w:t xml:space="preserve"> a dispersion parameter. We considered visits to both prescribers, the only potentially affected by the prescriptions</w:t>
      </w:r>
      <w:r w:rsidR="00530271" w:rsidRPr="0074326A">
        <w:rPr>
          <w:rFonts w:ascii="Arial" w:hAnsi="Arial" w:cs="Arial"/>
        </w:rPr>
        <w:t>’</w:t>
      </w:r>
      <w:r w:rsidRPr="0074326A">
        <w:rPr>
          <w:rFonts w:ascii="Arial" w:hAnsi="Arial" w:cs="Arial"/>
        </w:rPr>
        <w:t xml:space="preserve"> </w:t>
      </w:r>
      <w:proofErr w:type="spellStart"/>
      <w:r w:rsidRPr="0074326A">
        <w:rPr>
          <w:rFonts w:ascii="Arial" w:hAnsi="Arial" w:cs="Arial"/>
        </w:rPr>
        <w:t>copayment</w:t>
      </w:r>
      <w:proofErr w:type="spellEnd"/>
      <w:r w:rsidRPr="0074326A">
        <w:rPr>
          <w:rFonts w:ascii="Arial" w:hAnsi="Arial" w:cs="Arial"/>
        </w:rPr>
        <w:t xml:space="preserve">, </w:t>
      </w:r>
      <w:r w:rsidR="00530271" w:rsidRPr="0074326A">
        <w:rPr>
          <w:rFonts w:ascii="Arial" w:hAnsi="Arial" w:cs="Arial"/>
        </w:rPr>
        <w:t>and to</w:t>
      </w:r>
      <w:r w:rsidRPr="0074326A">
        <w:rPr>
          <w:rFonts w:ascii="Arial" w:hAnsi="Arial" w:cs="Arial"/>
        </w:rPr>
        <w:t xml:space="preserve"> </w:t>
      </w:r>
      <w:r w:rsidR="00530271" w:rsidRPr="0074326A">
        <w:rPr>
          <w:rFonts w:ascii="Arial" w:hAnsi="Arial" w:cs="Arial"/>
        </w:rPr>
        <w:t>non-prescribers</w:t>
      </w:r>
      <w:r w:rsidRPr="0074326A">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530271">
      <w:pPr>
        <w:spacing w:line="360" w:lineRule="auto"/>
        <w:jc w:val="both"/>
        <w:rPr>
          <w:rFonts w:ascii="Arial" w:hAnsi="Arial" w:cs="Arial"/>
        </w:rPr>
      </w:pPr>
      <w:r w:rsidRPr="0074326A">
        <w:rPr>
          <w:rFonts w:ascii="Arial" w:hAnsi="Arial" w:cs="Arial"/>
        </w:rPr>
        <w:t xml:space="preserve">With </w:t>
      </w:r>
      <w:r w:rsidR="00530271" w:rsidRPr="00025E92">
        <w:rPr>
          <w:rFonts w:ascii="Arial" w:hAnsi="Arial" w:cs="Arial"/>
          <w:i/>
          <w:iCs/>
        </w:rPr>
        <w:sym w:font="Symbol" w:char="F068"/>
      </w:r>
      <w:r w:rsidR="00530271" w:rsidRPr="0074326A">
        <w:rPr>
          <w:rFonts w:ascii="Arial" w:hAnsi="Arial" w:cs="Arial" w:hint="eastAsia"/>
        </w:rPr>
        <w:t xml:space="preserve"> </w:t>
      </w:r>
      <w:r w:rsidRPr="0074326A">
        <w:rPr>
          <w:rFonts w:ascii="Arial" w:hAnsi="Arial" w:cs="Arial"/>
        </w:rPr>
        <w:t xml:space="preserve">we denoted an additive linear predictor composed of </w:t>
      </w:r>
      <w:r w:rsidRPr="00025E92">
        <w:rPr>
          <w:rFonts w:ascii="Arial" w:hAnsi="Arial" w:cs="Arial"/>
          <w:i/>
          <w:iCs/>
        </w:rPr>
        <w:t>D</w:t>
      </w:r>
      <w:r w:rsidRPr="0074326A">
        <w:rPr>
          <w:rFonts w:ascii="Arial" w:hAnsi="Arial" w:cs="Arial"/>
        </w:rPr>
        <w:t xml:space="preserve">, a dummy variable, equal to 0 until the time of the intervention and thereafter 1; </w:t>
      </w:r>
      <w:r w:rsidR="00530271" w:rsidRPr="00025E92">
        <w:rPr>
          <w:rFonts w:ascii="Arial" w:hAnsi="Arial" w:cs="Arial" w:hint="eastAsia"/>
          <w:i/>
          <w:iCs/>
        </w:rPr>
        <w:sym w:font="Symbol" w:char="F061"/>
      </w:r>
      <w:r w:rsidRPr="0074326A">
        <w:rPr>
          <w:rFonts w:ascii="Arial" w:hAnsi="Arial" w:cs="Arial"/>
        </w:rPr>
        <w:t xml:space="preserve"> was a time effect</w:t>
      </w:r>
      <w:r w:rsidR="00530271" w:rsidRPr="0074326A">
        <w:rPr>
          <w:rFonts w:ascii="Arial" w:hAnsi="Arial" w:cs="Arial"/>
        </w:rPr>
        <w:t xml:space="preserve"> (constructed from </w:t>
      </w:r>
      <w:r w:rsidR="00530271" w:rsidRPr="00D42732">
        <w:rPr>
          <w:rFonts w:ascii="Arial" w:hAnsi="Arial" w:cs="Arial"/>
          <w:i/>
          <w:iCs/>
        </w:rPr>
        <w:t>t, t</w:t>
      </w:r>
      <w:r w:rsidR="00530271" w:rsidRPr="0074326A">
        <w:rPr>
          <w:rFonts w:ascii="Arial" w:hAnsi="Arial" w:cs="Arial"/>
        </w:rPr>
        <w:t>=</w:t>
      </w:r>
      <w:proofErr w:type="gramStart"/>
      <w:r w:rsidR="00530271" w:rsidRPr="0074326A">
        <w:rPr>
          <w:rFonts w:ascii="Arial" w:hAnsi="Arial" w:cs="Arial"/>
        </w:rPr>
        <w:t>1,…</w:t>
      </w:r>
      <w:proofErr w:type="gramEnd"/>
      <w:r w:rsidR="00530271" w:rsidRPr="0074326A">
        <w:rPr>
          <w:rFonts w:ascii="Arial" w:hAnsi="Arial" w:cs="Arial"/>
        </w:rPr>
        <w:t xml:space="preserve">,96) in order to control for a long-term trend. Month </w:t>
      </w:r>
      <w:r w:rsidR="00530271" w:rsidRPr="00025E92">
        <w:rPr>
          <w:rFonts w:ascii="Arial" w:hAnsi="Arial" w:cs="Arial"/>
          <w:i/>
          <w:iCs/>
        </w:rPr>
        <w:t>K</w:t>
      </w:r>
      <w:r w:rsidR="00530271" w:rsidRPr="0074326A">
        <w:rPr>
          <w:rFonts w:ascii="Arial" w:hAnsi="Arial" w:cs="Arial"/>
        </w:rPr>
        <w:t xml:space="preserve"> denoted</w:t>
      </w:r>
      <w:r w:rsidRPr="0074326A">
        <w:rPr>
          <w:rFonts w:ascii="Arial" w:hAnsi="Arial" w:cs="Arial"/>
        </w:rPr>
        <w:t xml:space="preserve"> </w:t>
      </w:r>
      <w:r w:rsidR="00530271" w:rsidRPr="0074326A">
        <w:rPr>
          <w:rFonts w:ascii="Arial" w:hAnsi="Arial" w:cs="Arial"/>
        </w:rPr>
        <w:t>one of eleven seasonal dummies (</w:t>
      </w:r>
      <w:r w:rsidR="00530271" w:rsidRPr="00D42732">
        <w:rPr>
          <w:rFonts w:ascii="Arial" w:hAnsi="Arial" w:cs="Arial"/>
          <w:i/>
          <w:iCs/>
        </w:rPr>
        <w:t>k</w:t>
      </w:r>
      <w:r w:rsidR="00530271" w:rsidRPr="0074326A">
        <w:rPr>
          <w:rFonts w:ascii="Arial" w:hAnsi="Arial" w:cs="Arial"/>
        </w:rPr>
        <w:t xml:space="preserve">=2,…,12 – January was taken as reference category) in </w:t>
      </w:r>
      <w:r w:rsidRPr="0074326A">
        <w:rPr>
          <w:rFonts w:ascii="Arial" w:hAnsi="Arial" w:cs="Arial"/>
        </w:rPr>
        <w:t xml:space="preserve">order to control for seasonality, and up to nine explanatory variables: </w:t>
      </w:r>
      <w:r w:rsidR="00025E92">
        <w:rPr>
          <w:rFonts w:ascii="Arial" w:hAnsi="Arial" w:cs="Arial"/>
        </w:rPr>
        <w:t>s</w:t>
      </w:r>
      <w:r w:rsidRPr="0074326A">
        <w:rPr>
          <w:rFonts w:ascii="Arial" w:hAnsi="Arial" w:cs="Arial"/>
        </w:rPr>
        <w:t xml:space="preserve">ex (men – reference category - women); </w:t>
      </w:r>
      <w:r w:rsidR="00025E92">
        <w:rPr>
          <w:rFonts w:ascii="Arial" w:hAnsi="Arial" w:cs="Arial"/>
        </w:rPr>
        <w:t>a</w:t>
      </w:r>
      <w:r w:rsidRPr="0074326A">
        <w:rPr>
          <w:rFonts w:ascii="Arial" w:hAnsi="Arial" w:cs="Arial"/>
        </w:rPr>
        <w:t xml:space="preserve">ge </w:t>
      </w:r>
      <w:r w:rsidR="00025E92">
        <w:rPr>
          <w:rFonts w:ascii="Arial" w:hAnsi="Arial" w:cs="Arial"/>
        </w:rPr>
        <w:t>g</w:t>
      </w:r>
      <w:r w:rsidRPr="0074326A">
        <w:rPr>
          <w:rFonts w:ascii="Arial" w:hAnsi="Arial" w:cs="Arial"/>
        </w:rPr>
        <w:t xml:space="preserve">roup (under 15 years of age – reference category -; 15-34 years, 35-44, 45-54, 55-64, 65-74, 75 and older); the presence of chronic conditions: hypertension, diabetes mellitus type II, obesity, </w:t>
      </w:r>
      <w:proofErr w:type="spellStart"/>
      <w:r w:rsidRPr="0074326A">
        <w:rPr>
          <w:rFonts w:ascii="Arial" w:hAnsi="Arial" w:cs="Arial"/>
        </w:rPr>
        <w:t>dyslipidemia</w:t>
      </w:r>
      <w:proofErr w:type="spellEnd"/>
      <w:r w:rsidRPr="0074326A">
        <w:rPr>
          <w:rFonts w:ascii="Arial" w:hAnsi="Arial" w:cs="Arial"/>
        </w:rPr>
        <w:t xml:space="preserve">-hypercholesterolemia and </w:t>
      </w:r>
      <w:r w:rsidR="00530271" w:rsidRPr="0074326A">
        <w:rPr>
          <w:rFonts w:ascii="Arial" w:hAnsi="Arial" w:cs="Arial"/>
        </w:rPr>
        <w:t>hypertriglyceridemia</w:t>
      </w:r>
      <w:r w:rsidRPr="0074326A">
        <w:rPr>
          <w:rFonts w:ascii="Arial" w:hAnsi="Arial" w:cs="Arial"/>
        </w:rPr>
        <w:t xml:space="preserve">, and the quintiles of the probability of being unemployed (and also of being unemployed for more than a year). </w:t>
      </w:r>
      <w:r w:rsidR="0067636E" w:rsidRPr="0074326A">
        <w:rPr>
          <w:rFonts w:ascii="Arial" w:hAnsi="Arial" w:cs="Arial"/>
        </w:rPr>
        <w:t xml:space="preserve">Chronic conditions were coded as 0 </w:t>
      </w:r>
      <w:r w:rsidR="008F235B" w:rsidRPr="0074326A">
        <w:rPr>
          <w:rFonts w:ascii="Arial" w:hAnsi="Arial" w:cs="Arial"/>
        </w:rPr>
        <w:t>w</w:t>
      </w:r>
      <w:r w:rsidR="0067636E" w:rsidRPr="0074326A">
        <w:rPr>
          <w:rFonts w:ascii="Arial" w:hAnsi="Arial" w:cs="Arial"/>
        </w:rPr>
        <w:t xml:space="preserve">ithout the chronic condition (reference category) 1 </w:t>
      </w:r>
      <w:r w:rsidR="008F235B" w:rsidRPr="0074326A">
        <w:rPr>
          <w:rFonts w:ascii="Arial" w:hAnsi="Arial" w:cs="Arial"/>
        </w:rPr>
        <w:t>w</w:t>
      </w:r>
      <w:r w:rsidR="0067636E" w:rsidRPr="0074326A">
        <w:rPr>
          <w:rFonts w:ascii="Arial" w:hAnsi="Arial" w:cs="Arial"/>
        </w:rPr>
        <w:t xml:space="preserve">ith the chronic condition. </w:t>
      </w:r>
      <w:r w:rsidR="000E20B0" w:rsidRPr="0074326A">
        <w:rPr>
          <w:rFonts w:ascii="Arial" w:hAnsi="Arial" w:cs="Arial"/>
        </w:rPr>
        <w:sym w:font="Symbol" w:char="F064"/>
      </w:r>
      <w:r w:rsidRPr="0074326A">
        <w:rPr>
          <w:rFonts w:ascii="Arial" w:hAnsi="Arial" w:cs="Arial"/>
        </w:rPr>
        <w:t>,</w:t>
      </w:r>
      <w:r w:rsidR="000E20B0" w:rsidRPr="0074326A">
        <w:rPr>
          <w:rFonts w:ascii="Arial" w:hAnsi="Arial" w:cs="Arial"/>
        </w:rPr>
        <w:t xml:space="preserve"> y</w:t>
      </w:r>
      <w:r w:rsidRPr="0074326A">
        <w:rPr>
          <w:rFonts w:ascii="Arial" w:hAnsi="Arial" w:cs="Arial"/>
        </w:rPr>
        <w:t xml:space="preserve"> and </w:t>
      </w:r>
      <w:r w:rsidR="000E20B0" w:rsidRPr="0074326A">
        <w:rPr>
          <w:rFonts w:ascii="Arial" w:hAnsi="Arial" w:cs="Arial" w:hint="eastAsia"/>
        </w:rPr>
        <w:sym w:font="Symbol" w:char="F062"/>
      </w:r>
      <w:r w:rsidRPr="0074326A">
        <w:rPr>
          <w:rFonts w:ascii="Arial" w:hAnsi="Arial" w:cs="Arial"/>
        </w:rPr>
        <w:t xml:space="preserve">’s denoted unknown parameters associated with the dummy, the seasonal dummies and the explanatory variables, respectively. </w:t>
      </w:r>
    </w:p>
    <w:p w:rsidR="001B5EE7" w:rsidRPr="0074326A" w:rsidRDefault="001B5EE7" w:rsidP="00530271">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Note that with the exception of gender, all the explanatory variables were time-varying. In addition to age, individuals can enter hypertensive status and/or develop diabetes, and may enter or exit the status of being obese, </w:t>
      </w:r>
      <w:proofErr w:type="spellStart"/>
      <w:r w:rsidRPr="0074326A">
        <w:rPr>
          <w:rFonts w:ascii="Arial" w:hAnsi="Arial" w:cs="Arial"/>
        </w:rPr>
        <w:t>dyslipidemic</w:t>
      </w:r>
      <w:proofErr w:type="spellEnd"/>
      <w:r w:rsidRPr="0074326A">
        <w:rPr>
          <w:rFonts w:ascii="Arial" w:hAnsi="Arial" w:cs="Arial"/>
        </w:rPr>
        <w:t xml:space="preserve">, etc. In addition, the probability of being unemployed varied, logically, during the study period. </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It is known that besides being modulated by sex and age, health care utilization is related not only to need variables (which ought to affect use i.e. health status), and approached here by the set chronic conditions, but also to non-need variables (which ought not to affect use i.e. socioeconomic conditions)</w:t>
      </w:r>
      <w:r w:rsidR="00CB069F">
        <w:rPr>
          <w:rFonts w:ascii="Arial" w:hAnsi="Arial" w:cs="Arial"/>
        </w:rPr>
        <w:t xml:space="preserve"> [13, 23]</w:t>
      </w:r>
      <w:r w:rsidR="00CB069F" w:rsidRPr="00CB069F">
        <w:rPr>
          <w:rFonts w:ascii="Arial" w:hAnsi="Arial" w:cs="Arial"/>
        </w:rPr>
        <w:t xml:space="preserve">. </w:t>
      </w:r>
      <w:r w:rsidRPr="0074326A">
        <w:rPr>
          <w:rFonts w:ascii="Arial" w:hAnsi="Arial" w:cs="Arial"/>
        </w:rPr>
        <w:t>For</w:t>
      </w:r>
      <w:r w:rsidR="00CB069F">
        <w:rPr>
          <w:rFonts w:ascii="Arial" w:hAnsi="Arial" w:cs="Arial"/>
        </w:rPr>
        <w:t xml:space="preserve"> </w:t>
      </w:r>
      <w:r w:rsidRPr="0074326A">
        <w:rPr>
          <w:rFonts w:ascii="Arial" w:hAnsi="Arial" w:cs="Arial"/>
        </w:rPr>
        <w:t xml:space="preserve">this reason, we included, as explanatory variable in the models </w:t>
      </w:r>
      <w:r w:rsidR="00CB069F">
        <w:rPr>
          <w:rFonts w:ascii="Arial" w:hAnsi="Arial" w:cs="Arial"/>
        </w:rPr>
        <w:t>(</w:t>
      </w:r>
      <w:r w:rsidRPr="0074326A">
        <w:rPr>
          <w:rFonts w:ascii="Arial" w:hAnsi="Arial" w:cs="Arial"/>
        </w:rPr>
        <w:t>1</w:t>
      </w:r>
      <w:r w:rsidR="00CB069F">
        <w:rPr>
          <w:rFonts w:ascii="Arial" w:hAnsi="Arial" w:cs="Arial"/>
        </w:rPr>
        <w:t>)</w:t>
      </w:r>
      <w:r w:rsidRPr="0074326A">
        <w:rPr>
          <w:rFonts w:ascii="Arial" w:hAnsi="Arial" w:cs="Arial"/>
        </w:rPr>
        <w:t xml:space="preserve">, the probability of being unemployed (and unemployed for over a year). </w:t>
      </w:r>
    </w:p>
    <w:p w:rsidR="000A404C" w:rsidRPr="0074326A" w:rsidRDefault="000A404C"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i/>
        </w:rPr>
      </w:pPr>
      <w:r w:rsidRPr="0074326A">
        <w:rPr>
          <w:rFonts w:ascii="Arial" w:hAnsi="Arial" w:cs="Arial"/>
          <w:i/>
        </w:rPr>
        <w:t>Estimation of the probabilities of being unemployed</w:t>
      </w:r>
    </w:p>
    <w:p w:rsidR="001B5EE7" w:rsidRPr="0074326A" w:rsidRDefault="001B5EE7" w:rsidP="001B5EE7">
      <w:pPr>
        <w:spacing w:line="360" w:lineRule="auto"/>
        <w:jc w:val="both"/>
        <w:rPr>
          <w:rFonts w:ascii="Arial" w:hAnsi="Arial" w:cs="Arial"/>
        </w:rPr>
      </w:pPr>
      <w:r w:rsidRPr="0074326A">
        <w:rPr>
          <w:rFonts w:ascii="Arial" w:hAnsi="Arial" w:cs="Arial"/>
        </w:rPr>
        <w:t>Using data from the Spanish and the Catalan Health Surveys (ENSE and ESCA, respectively) corresponding to 2006 and 2011</w:t>
      </w:r>
      <w:r w:rsidR="00CB069F">
        <w:rPr>
          <w:rStyle w:val="FootnoteReference"/>
          <w:rFonts w:ascii="Arial" w:hAnsi="Arial" w:cs="Arial"/>
        </w:rPr>
        <w:footnoteReference w:id="1"/>
      </w:r>
      <w:r w:rsidR="00CB069F">
        <w:rPr>
          <w:rFonts w:ascii="Arial" w:hAnsi="Arial" w:cs="Arial"/>
        </w:rPr>
        <w:t>,</w:t>
      </w:r>
      <w:r w:rsidRPr="0074326A">
        <w:rPr>
          <w:rFonts w:ascii="Arial" w:hAnsi="Arial" w:cs="Arial"/>
        </w:rPr>
        <w:t xml:space="preserve"> the probability for an individual of being unemployed (or unemployed for over a year) was estimated using the following GLM with a binomial response (i.e. logistic regression):</w:t>
      </w:r>
      <w:r w:rsidR="000E20B0" w:rsidRPr="0074326A">
        <w:rPr>
          <w:rFonts w:ascii="Arial" w:hAnsi="Arial" w:cs="Arial"/>
        </w:rPr>
        <w:t xml:space="preserve"> </w:t>
      </w: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2BE68449">
            <wp:extent cx="1489075" cy="226695"/>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9075" cy="226695"/>
                    </a:xfrm>
                    <a:prstGeom prst="rect">
                      <a:avLst/>
                    </a:prstGeom>
                    <a:noFill/>
                    <a:ln>
                      <a:noFill/>
                    </a:ln>
                  </pic:spPr>
                </pic:pic>
              </a:graphicData>
            </a:graphic>
          </wp:inline>
        </w:drawing>
      </w:r>
    </w:p>
    <w:p w:rsidR="001B5EE7" w:rsidRPr="0074326A" w:rsidRDefault="001B5EE7" w:rsidP="001B5EE7">
      <w:pPr>
        <w:spacing w:line="360" w:lineRule="auto"/>
        <w:jc w:val="both"/>
        <w:rPr>
          <w:rFonts w:ascii="Arial" w:hAnsi="Arial" w:cs="Arial"/>
        </w:rPr>
      </w:pP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456DB12C">
            <wp:extent cx="4772025" cy="592455"/>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592455"/>
                    </a:xfrm>
                    <a:prstGeom prst="rect">
                      <a:avLst/>
                    </a:prstGeom>
                    <a:noFill/>
                    <a:ln>
                      <a:noFill/>
                    </a:ln>
                  </pic:spPr>
                </pic:pic>
              </a:graphicData>
            </a:graphic>
          </wp:inline>
        </w:drawing>
      </w:r>
      <w:r w:rsidR="001B5EE7" w:rsidRPr="0074326A">
        <w:rPr>
          <w:rFonts w:ascii="Arial" w:hAnsi="Arial" w:cs="Arial"/>
        </w:rPr>
        <w:tab/>
      </w:r>
    </w:p>
    <w:p w:rsidR="001B5EE7" w:rsidRPr="0074326A" w:rsidRDefault="00025E92" w:rsidP="001B5EE7">
      <w:pPr>
        <w:spacing w:line="360" w:lineRule="auto"/>
        <w:jc w:val="right"/>
        <w:rPr>
          <w:rFonts w:ascii="Arial" w:hAnsi="Arial" w:cs="Arial"/>
        </w:rPr>
      </w:pPr>
      <w:r>
        <w:rPr>
          <w:rFonts w:ascii="Arial" w:hAnsi="Arial" w:cs="Arial"/>
        </w:rPr>
        <w:t>(</w:t>
      </w:r>
      <w:r w:rsidR="001B5EE7" w:rsidRPr="0074326A">
        <w:rPr>
          <w:rFonts w:ascii="Arial" w:hAnsi="Arial" w:cs="Arial"/>
        </w:rPr>
        <w:t>2</w:t>
      </w:r>
      <w:r>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where Y denoted the event of being unemployed (or unemployed for over a year). </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Model </w:t>
      </w:r>
      <w:r w:rsidR="00025E92">
        <w:rPr>
          <w:rFonts w:ascii="Arial" w:hAnsi="Arial" w:cs="Arial"/>
        </w:rPr>
        <w:t>(</w:t>
      </w:r>
      <w:r w:rsidRPr="0074326A">
        <w:rPr>
          <w:rFonts w:ascii="Arial" w:hAnsi="Arial" w:cs="Arial"/>
        </w:rPr>
        <w:t>2</w:t>
      </w:r>
      <w:r w:rsidR="00025E92">
        <w:rPr>
          <w:rFonts w:ascii="Arial" w:hAnsi="Arial" w:cs="Arial"/>
        </w:rPr>
        <w:t>)</w:t>
      </w:r>
      <w:r w:rsidRPr="0074326A">
        <w:rPr>
          <w:rFonts w:ascii="Arial" w:hAnsi="Arial" w:cs="Arial"/>
        </w:rPr>
        <w:t xml:space="preserve"> included the same explanatory variables as the previous model (with the exception of age introduced here as a continuous variable) along with four more variables: the number of doctor visits (Visits) made by an individual in the past twelve months (in the ESCA) or in the past three months (in the ENSE), the </w:t>
      </w:r>
      <w:r w:rsidRPr="0074326A">
        <w:rPr>
          <w:rFonts w:ascii="Arial" w:hAnsi="Arial" w:cs="Arial"/>
        </w:rPr>
        <w:lastRenderedPageBreak/>
        <w:t>country of birth of the individual (Country), the ‘county’ of residence (Region) (only in the ESCA), and the size of the municipality of residence (Stratum) (only in the ENSE).</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Following the previous approach, we estimated two vectors of probabilities for each of the periods considered (2006 and 2011) one corresponding to ESCA and another one corresponding to ENSE and assumed that an individual, with the characteristics defined by the explanatory variables in </w:t>
      </w:r>
      <w:r w:rsidR="00025E92">
        <w:rPr>
          <w:rFonts w:ascii="Arial" w:hAnsi="Arial" w:cs="Arial"/>
        </w:rPr>
        <w:t>(</w:t>
      </w:r>
      <w:r w:rsidRPr="0074326A">
        <w:rPr>
          <w:rFonts w:ascii="Arial" w:hAnsi="Arial" w:cs="Arial"/>
        </w:rPr>
        <w:t>2</w:t>
      </w:r>
      <w:r w:rsidR="00025E92">
        <w:rPr>
          <w:rFonts w:ascii="Arial" w:hAnsi="Arial" w:cs="Arial"/>
        </w:rPr>
        <w:t>)</w:t>
      </w:r>
      <w:r w:rsidRPr="0074326A">
        <w:rPr>
          <w:rFonts w:ascii="Arial" w:hAnsi="Arial" w:cs="Arial"/>
        </w:rPr>
        <w:t>, was unemployed (or unemployed for over a year).</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Then, using the linear predictor estimated in </w:t>
      </w:r>
      <w:r w:rsidR="00025E92">
        <w:rPr>
          <w:rFonts w:ascii="Arial" w:hAnsi="Arial" w:cs="Arial"/>
        </w:rPr>
        <w:t>(</w:t>
      </w:r>
      <w:r w:rsidRPr="0074326A">
        <w:rPr>
          <w:rFonts w:ascii="Arial" w:hAnsi="Arial" w:cs="Arial"/>
        </w:rPr>
        <w:t>2</w:t>
      </w:r>
      <w:r w:rsidR="00025E92">
        <w:rPr>
          <w:rFonts w:ascii="Arial" w:hAnsi="Arial" w:cs="Arial"/>
        </w:rPr>
        <w:t>)</w:t>
      </w:r>
      <w:r w:rsidRPr="0074326A">
        <w:rPr>
          <w:rFonts w:ascii="Arial" w:hAnsi="Arial" w:cs="Arial"/>
        </w:rPr>
        <w:t xml:space="preserve"> (i.e. the </w:t>
      </w:r>
      <w:r w:rsidR="00A2386A" w:rsidRPr="0074326A">
        <w:rPr>
          <w:rFonts w:ascii="Arial" w:hAnsi="Arial" w:cs="Arial"/>
        </w:rPr>
        <w:t>right-hand</w:t>
      </w:r>
      <w:r w:rsidRPr="0074326A">
        <w:rPr>
          <w:rFonts w:ascii="Arial" w:hAnsi="Arial" w:cs="Arial"/>
        </w:rPr>
        <w:t xml:space="preserve"> side of </w:t>
      </w:r>
      <w:r w:rsidR="00025E92">
        <w:rPr>
          <w:rFonts w:ascii="Arial" w:hAnsi="Arial" w:cs="Arial"/>
        </w:rPr>
        <w:t>(</w:t>
      </w:r>
      <w:r w:rsidRPr="0074326A">
        <w:rPr>
          <w:rFonts w:ascii="Arial" w:hAnsi="Arial" w:cs="Arial"/>
        </w:rPr>
        <w:t>2</w:t>
      </w:r>
      <w:r w:rsidR="00025E92">
        <w:rPr>
          <w:rFonts w:ascii="Arial" w:hAnsi="Arial" w:cs="Arial"/>
        </w:rPr>
        <w:t>)</w:t>
      </w:r>
      <w:r w:rsidRPr="0074326A">
        <w:rPr>
          <w:rFonts w:ascii="Arial" w:hAnsi="Arial" w:cs="Arial"/>
        </w:rPr>
        <w:t>), we predicted these two sets of probabilities (for being unemployed and for being unemployed for over a year) that would correspond to the individuals in the IAS cohort. To do this, we first divided the cohort into two sub-periods: 2005-2009 and 2010-2012. We used the first sub-period to predict the probabilities associated with the ESCA and ENSE 2006 and the second to predict those associated with the ESCA and ENSE 2011. We assigned a zero probability to individuals under 16 and to those over 65 or to those who were over 65 during the study period. Then we stacked the probabilities corresponding to the two sub-periods and estimated the following GLM with Gaussian response (i.e. a linear regression):</w:t>
      </w:r>
    </w:p>
    <w:p w:rsidR="001B5EE7" w:rsidRPr="0074326A" w:rsidRDefault="001B5EE7" w:rsidP="001B5EE7">
      <w:pPr>
        <w:spacing w:line="360" w:lineRule="auto"/>
        <w:jc w:val="both"/>
        <w:rPr>
          <w:rFonts w:ascii="Arial" w:hAnsi="Arial" w:cs="Arial"/>
        </w:rPr>
      </w:pP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1C32B7DC">
            <wp:extent cx="3709670" cy="226695"/>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9670" cy="226695"/>
                    </a:xfrm>
                    <a:prstGeom prst="rect">
                      <a:avLst/>
                    </a:prstGeom>
                    <a:noFill/>
                    <a:ln>
                      <a:noFill/>
                    </a:ln>
                  </pic:spPr>
                </pic:pic>
              </a:graphicData>
            </a:graphic>
          </wp:inline>
        </w:drawing>
      </w:r>
    </w:p>
    <w:p w:rsidR="001B5EE7" w:rsidRPr="0074326A" w:rsidRDefault="00025E92" w:rsidP="001B5EE7">
      <w:pPr>
        <w:spacing w:line="360" w:lineRule="auto"/>
        <w:jc w:val="right"/>
        <w:rPr>
          <w:rFonts w:ascii="Arial" w:hAnsi="Arial" w:cs="Arial"/>
        </w:rPr>
      </w:pPr>
      <w:r>
        <w:rPr>
          <w:rFonts w:ascii="Arial" w:hAnsi="Arial" w:cs="Arial"/>
        </w:rPr>
        <w:t>(</w:t>
      </w:r>
      <w:r w:rsidR="001B5EE7" w:rsidRPr="0074326A">
        <w:rPr>
          <w:rFonts w:ascii="Arial" w:hAnsi="Arial" w:cs="Arial"/>
        </w:rPr>
        <w:t>3</w:t>
      </w:r>
      <w:r>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where </w:t>
      </w:r>
      <w:proofErr w:type="spellStart"/>
      <w:r w:rsidRPr="0074326A">
        <w:rPr>
          <w:rFonts w:ascii="Arial" w:hAnsi="Arial" w:cs="Arial"/>
        </w:rPr>
        <w:t>Prob_ESCA</w:t>
      </w:r>
      <w:proofErr w:type="spellEnd"/>
      <w:r w:rsidRPr="0074326A">
        <w:rPr>
          <w:rFonts w:ascii="Arial" w:hAnsi="Arial" w:cs="Arial"/>
        </w:rPr>
        <w:t xml:space="preserve"> denoted the predicted probability of being unemployed (or unemployed for over a year) corresponding to ESCA for the individual </w:t>
      </w:r>
      <w:proofErr w:type="spellStart"/>
      <w:r w:rsidRPr="00025E92">
        <w:rPr>
          <w:rFonts w:ascii="Arial" w:hAnsi="Arial" w:cs="Arial"/>
          <w:i/>
          <w:iCs/>
        </w:rPr>
        <w:t>i</w:t>
      </w:r>
      <w:proofErr w:type="spellEnd"/>
      <w:r w:rsidRPr="0074326A">
        <w:rPr>
          <w:rFonts w:ascii="Arial" w:hAnsi="Arial" w:cs="Arial"/>
        </w:rPr>
        <w:t xml:space="preserve"> in the month </w:t>
      </w:r>
      <w:r w:rsidRPr="00025E92">
        <w:rPr>
          <w:rFonts w:ascii="Arial" w:hAnsi="Arial" w:cs="Arial"/>
          <w:i/>
          <w:iCs/>
        </w:rPr>
        <w:t>t</w:t>
      </w:r>
      <w:r w:rsidRPr="0074326A">
        <w:rPr>
          <w:rFonts w:ascii="Arial" w:hAnsi="Arial" w:cs="Arial"/>
        </w:rPr>
        <w:t xml:space="preserve">. </w:t>
      </w:r>
      <w:proofErr w:type="spellStart"/>
      <w:r w:rsidRPr="0074326A">
        <w:rPr>
          <w:rFonts w:ascii="Arial" w:hAnsi="Arial" w:cs="Arial"/>
        </w:rPr>
        <w:t>Prob_ENSE</w:t>
      </w:r>
      <w:proofErr w:type="spellEnd"/>
      <w:r w:rsidRPr="0074326A">
        <w:rPr>
          <w:rFonts w:ascii="Arial" w:hAnsi="Arial" w:cs="Arial"/>
        </w:rPr>
        <w:t xml:space="preserve"> denoted the predicted probability corresponding to ENSE and </w:t>
      </w:r>
      <w:proofErr w:type="spellStart"/>
      <w:r w:rsidRPr="0074326A">
        <w:rPr>
          <w:rFonts w:ascii="Arial" w:hAnsi="Arial" w:cs="Arial"/>
        </w:rPr>
        <w:t>Unempl_rate</w:t>
      </w:r>
      <w:proofErr w:type="spellEnd"/>
      <w:r w:rsidRPr="0074326A">
        <w:rPr>
          <w:rFonts w:ascii="Arial" w:hAnsi="Arial" w:cs="Arial"/>
        </w:rPr>
        <w:t xml:space="preserve"> the unemployment rate of the municipality where the individual </w:t>
      </w:r>
      <w:proofErr w:type="spellStart"/>
      <w:r w:rsidRPr="00025E92">
        <w:rPr>
          <w:rFonts w:ascii="Arial" w:hAnsi="Arial" w:cs="Arial"/>
          <w:i/>
          <w:iCs/>
        </w:rPr>
        <w:t>i</w:t>
      </w:r>
      <w:proofErr w:type="spellEnd"/>
      <w:r w:rsidRPr="00025E92">
        <w:rPr>
          <w:rFonts w:ascii="Arial" w:hAnsi="Arial" w:cs="Arial"/>
          <w:i/>
          <w:iCs/>
        </w:rPr>
        <w:t xml:space="preserve"> </w:t>
      </w:r>
      <w:r w:rsidRPr="0074326A">
        <w:rPr>
          <w:rFonts w:ascii="Arial" w:hAnsi="Arial" w:cs="Arial"/>
        </w:rPr>
        <w:t xml:space="preserve">resided, for the sex of the individual </w:t>
      </w:r>
      <w:proofErr w:type="spellStart"/>
      <w:r w:rsidRPr="00025E92">
        <w:rPr>
          <w:rFonts w:ascii="Arial" w:hAnsi="Arial" w:cs="Arial"/>
          <w:i/>
          <w:iCs/>
        </w:rPr>
        <w:t>i</w:t>
      </w:r>
      <w:proofErr w:type="spellEnd"/>
      <w:r w:rsidRPr="0074326A">
        <w:rPr>
          <w:rFonts w:ascii="Arial" w:hAnsi="Arial" w:cs="Arial"/>
        </w:rPr>
        <w:t>, and for the year corresponding to the month</w:t>
      </w:r>
      <w:r w:rsidRPr="00025E92">
        <w:rPr>
          <w:rFonts w:ascii="Arial" w:hAnsi="Arial" w:cs="Arial"/>
          <w:i/>
          <w:iCs/>
        </w:rPr>
        <w:t xml:space="preserve"> t</w:t>
      </w:r>
      <w:r w:rsidRPr="0074326A">
        <w:rPr>
          <w:rFonts w:ascii="Arial" w:hAnsi="Arial" w:cs="Arial"/>
        </w:rPr>
        <w:t xml:space="preserve"> (these rates were obtained from IDESCAT).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lastRenderedPageBreak/>
        <w:t>Thus, we lastly calibrated the probability of being unemployed (and unemployed for over a year), obtaining a single time-varying variable per individual.</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i/>
        </w:rPr>
      </w:pPr>
      <w:r w:rsidRPr="0074326A">
        <w:rPr>
          <w:rFonts w:ascii="Arial" w:hAnsi="Arial" w:cs="Arial"/>
          <w:i/>
        </w:rPr>
        <w:t>Hurdle model</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In fact, the use of medical care involves a twofold decision process</w:t>
      </w:r>
      <w:r w:rsidR="00D42732">
        <w:rPr>
          <w:rFonts w:ascii="Arial" w:hAnsi="Arial" w:cs="Arial"/>
        </w:rPr>
        <w:t xml:space="preserve"> [4]</w:t>
      </w:r>
      <w:r w:rsidR="009873B6" w:rsidRPr="0074326A">
        <w:rPr>
          <w:rFonts w:ascii="Arial" w:hAnsi="Arial" w:cs="Arial"/>
          <w:vertAlign w:val="superscript"/>
        </w:rPr>
        <w:t xml:space="preserve"> </w:t>
      </w:r>
      <w:r w:rsidRPr="0074326A">
        <w:rPr>
          <w:rFonts w:ascii="Arial" w:hAnsi="Arial" w:cs="Arial"/>
        </w:rPr>
        <w:t xml:space="preserve">i.e. the decision to seek care (made by the individual or the ‘principal’, in a principal agent framework) and the frequency of visits (determined by the physician; the ‘agent’, in a principal agent </w:t>
      </w:r>
      <w:r w:rsidRPr="00D42732">
        <w:rPr>
          <w:rFonts w:ascii="Arial" w:hAnsi="Arial" w:cs="Arial"/>
          <w:color w:val="000000" w:themeColor="text1"/>
        </w:rPr>
        <w:t>framework</w:t>
      </w:r>
      <w:r w:rsidR="009873B6" w:rsidRPr="00D42732">
        <w:rPr>
          <w:rFonts w:ascii="Arial" w:hAnsi="Arial" w:cs="Arial"/>
          <w:color w:val="000000" w:themeColor="text1"/>
          <w:vertAlign w:val="superscript"/>
        </w:rPr>
        <w:t xml:space="preserve"> </w:t>
      </w:r>
      <w:r w:rsidR="00D42732" w:rsidRPr="00D42732">
        <w:rPr>
          <w:rFonts w:ascii="Arial" w:hAnsi="Arial" w:cs="Arial"/>
          <w:color w:val="000000" w:themeColor="text1"/>
          <w:lang w:eastAsia="es-ES"/>
        </w:rPr>
        <w:t>[4,</w:t>
      </w:r>
      <w:r w:rsidR="00D42732">
        <w:rPr>
          <w:rFonts w:ascii="Arial" w:hAnsi="Arial" w:cs="Arial"/>
          <w:color w:val="000000" w:themeColor="text1"/>
          <w:lang w:eastAsia="es-ES"/>
        </w:rPr>
        <w:t xml:space="preserve"> </w:t>
      </w:r>
      <w:r w:rsidR="00D42732" w:rsidRPr="00D42732">
        <w:rPr>
          <w:rFonts w:ascii="Arial" w:hAnsi="Arial" w:cs="Arial"/>
          <w:color w:val="000000" w:themeColor="text1"/>
          <w:lang w:eastAsia="es-ES"/>
        </w:rPr>
        <w:t>9, 15,</w:t>
      </w:r>
      <w:r w:rsidR="00D42732">
        <w:rPr>
          <w:rFonts w:ascii="Arial" w:hAnsi="Arial" w:cs="Arial"/>
          <w:color w:val="000000" w:themeColor="text1"/>
          <w:lang w:eastAsia="es-ES"/>
        </w:rPr>
        <w:t xml:space="preserve"> </w:t>
      </w:r>
      <w:r w:rsidR="00D42732" w:rsidRPr="00D42732">
        <w:rPr>
          <w:rFonts w:ascii="Arial" w:hAnsi="Arial" w:cs="Arial"/>
          <w:color w:val="000000" w:themeColor="text1"/>
          <w:lang w:eastAsia="es-ES"/>
        </w:rPr>
        <w:t>25]).</w:t>
      </w:r>
    </w:p>
    <w:p w:rsidR="001B5EE7" w:rsidRPr="00D42732" w:rsidRDefault="001B5EE7" w:rsidP="001B5EE7">
      <w:pPr>
        <w:spacing w:line="360" w:lineRule="auto"/>
        <w:jc w:val="both"/>
        <w:rPr>
          <w:rFonts w:ascii="Arial" w:hAnsi="Arial" w:cs="Arial"/>
        </w:rPr>
      </w:pPr>
    </w:p>
    <w:p w:rsidR="001B5EE7" w:rsidRPr="00D42732" w:rsidRDefault="001B5EE7" w:rsidP="00D42732">
      <w:pPr>
        <w:autoSpaceDE w:val="0"/>
        <w:autoSpaceDN w:val="0"/>
        <w:adjustRightInd w:val="0"/>
        <w:spacing w:line="360" w:lineRule="auto"/>
        <w:jc w:val="both"/>
        <w:rPr>
          <w:rFonts w:ascii="Arial" w:hAnsi="Arial" w:cs="Arial"/>
          <w:color w:val="000000" w:themeColor="text1"/>
        </w:rPr>
      </w:pPr>
      <w:r w:rsidRPr="00D42732">
        <w:rPr>
          <w:rFonts w:ascii="Arial" w:hAnsi="Arial" w:cs="Arial"/>
          <w:color w:val="000000" w:themeColor="text1"/>
        </w:rPr>
        <w:t xml:space="preserve">For these reasons, model </w:t>
      </w:r>
      <w:r w:rsidR="00D42732" w:rsidRPr="00D42732">
        <w:rPr>
          <w:rFonts w:ascii="Arial" w:hAnsi="Arial" w:cs="Arial"/>
          <w:color w:val="000000" w:themeColor="text1"/>
        </w:rPr>
        <w:t>(</w:t>
      </w:r>
      <w:r w:rsidRPr="00D42732">
        <w:rPr>
          <w:rFonts w:ascii="Arial" w:hAnsi="Arial" w:cs="Arial"/>
          <w:color w:val="000000" w:themeColor="text1"/>
        </w:rPr>
        <w:t>1</w:t>
      </w:r>
      <w:r w:rsidR="00D42732" w:rsidRPr="00D42732">
        <w:rPr>
          <w:rFonts w:ascii="Arial" w:hAnsi="Arial" w:cs="Arial"/>
          <w:color w:val="000000" w:themeColor="text1"/>
        </w:rPr>
        <w:t>)</w:t>
      </w:r>
      <w:r w:rsidRPr="00D42732">
        <w:rPr>
          <w:rFonts w:ascii="Arial" w:hAnsi="Arial" w:cs="Arial"/>
          <w:color w:val="000000" w:themeColor="text1"/>
        </w:rPr>
        <w:t xml:space="preserve"> was estimated using a two-part econometric model, known as a hurdle model</w:t>
      </w:r>
      <w:r w:rsidR="00280FBB" w:rsidRPr="00D42732">
        <w:rPr>
          <w:rFonts w:ascii="Arial" w:hAnsi="Arial" w:cs="Arial"/>
          <w:color w:val="000000" w:themeColor="text1"/>
          <w:vertAlign w:val="superscript"/>
        </w:rPr>
        <w:t xml:space="preserve"> </w:t>
      </w:r>
      <w:r w:rsidR="00D42732" w:rsidRPr="00D42732">
        <w:rPr>
          <w:rFonts w:ascii="Arial" w:hAnsi="Arial" w:cs="Arial"/>
          <w:color w:val="000000" w:themeColor="text1"/>
          <w:lang w:eastAsia="es-ES"/>
        </w:rPr>
        <w:t>[4 ,15 ,25]</w:t>
      </w:r>
      <w:r w:rsidRPr="00D42732">
        <w:rPr>
          <w:rFonts w:ascii="Arial" w:hAnsi="Arial" w:cs="Arial"/>
          <w:color w:val="000000" w:themeColor="text1"/>
        </w:rPr>
        <w:t>, specified in such a way as to gather together the two decision processes theoretically involved in the use of medical care.</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The first part of the decision process was </w:t>
      </w:r>
      <w:proofErr w:type="spellStart"/>
      <w:r w:rsidRPr="0074326A">
        <w:rPr>
          <w:rFonts w:ascii="Arial" w:hAnsi="Arial" w:cs="Arial"/>
        </w:rPr>
        <w:t>modeled</w:t>
      </w:r>
      <w:proofErr w:type="spellEnd"/>
      <w:r w:rsidRPr="0074326A">
        <w:rPr>
          <w:rFonts w:ascii="Arial" w:hAnsi="Arial" w:cs="Arial"/>
        </w:rPr>
        <w:t xml:space="preserve"> using a binomial link (a logistic regression, in particular):</w:t>
      </w:r>
    </w:p>
    <w:p w:rsidR="001B5EE7" w:rsidRPr="0074326A" w:rsidRDefault="001B5EE7" w:rsidP="001B5EE7">
      <w:pPr>
        <w:spacing w:line="360" w:lineRule="auto"/>
        <w:jc w:val="both"/>
        <w:rPr>
          <w:rFonts w:ascii="Arial" w:hAnsi="Arial" w:cs="Arial"/>
        </w:rPr>
      </w:pPr>
    </w:p>
    <w:p w:rsidR="001B5EE7" w:rsidRPr="0074326A" w:rsidRDefault="00775618" w:rsidP="001B5EE7">
      <w:pPr>
        <w:spacing w:line="360" w:lineRule="auto"/>
        <w:jc w:val="both"/>
        <w:rPr>
          <w:rFonts w:ascii="Arial" w:hAnsi="Arial" w:cs="Arial"/>
        </w:rPr>
      </w:pPr>
      <w:r w:rsidRPr="0074326A">
        <w:rPr>
          <w:rFonts w:ascii="Arial" w:hAnsi="Arial" w:cs="Arial"/>
          <w:noProof/>
        </w:rPr>
        <w:drawing>
          <wp:inline distT="0" distB="0" distL="0" distR="0" wp14:anchorId="4C10D192">
            <wp:extent cx="3256915" cy="766445"/>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6915" cy="766445"/>
                    </a:xfrm>
                    <a:prstGeom prst="rect">
                      <a:avLst/>
                    </a:prstGeom>
                    <a:noFill/>
                    <a:ln>
                      <a:noFill/>
                    </a:ln>
                  </pic:spPr>
                </pic:pic>
              </a:graphicData>
            </a:graphic>
          </wp:inline>
        </w:drawing>
      </w:r>
      <w:r w:rsidR="001B5EE7" w:rsidRPr="0074326A">
        <w:rPr>
          <w:rFonts w:ascii="Arial" w:hAnsi="Arial" w:cs="Arial"/>
        </w:rPr>
        <w:tab/>
      </w:r>
      <w:r w:rsidR="001B5EE7" w:rsidRPr="0074326A">
        <w:rPr>
          <w:rFonts w:ascii="Arial" w:hAnsi="Arial" w:cs="Arial"/>
        </w:rPr>
        <w:tab/>
      </w:r>
      <w:r w:rsidR="001B5EE7" w:rsidRPr="0074326A">
        <w:rPr>
          <w:rFonts w:ascii="Arial" w:hAnsi="Arial" w:cs="Arial"/>
        </w:rPr>
        <w:tab/>
      </w:r>
      <w:r w:rsidR="001B5EE7" w:rsidRPr="0074326A">
        <w:rPr>
          <w:rFonts w:ascii="Arial" w:hAnsi="Arial" w:cs="Arial"/>
        </w:rPr>
        <w:tab/>
      </w:r>
      <w:r w:rsidR="00D42732">
        <w:rPr>
          <w:rFonts w:ascii="Arial" w:hAnsi="Arial" w:cs="Arial"/>
        </w:rPr>
        <w:t>(</w:t>
      </w:r>
      <w:r w:rsidR="001B5EE7" w:rsidRPr="0074326A">
        <w:rPr>
          <w:rFonts w:ascii="Arial" w:hAnsi="Arial" w:cs="Arial"/>
        </w:rPr>
        <w:t>4a</w:t>
      </w:r>
      <w:r w:rsidR="00D42732">
        <w:rPr>
          <w:rFonts w:ascii="Arial" w:hAnsi="Arial" w:cs="Arial"/>
        </w:rPr>
        <w: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where the subscript </w:t>
      </w:r>
      <w:proofErr w:type="spellStart"/>
      <w:r w:rsidRPr="00D42732">
        <w:rPr>
          <w:rFonts w:ascii="Arial" w:hAnsi="Arial" w:cs="Arial"/>
          <w:i/>
          <w:iCs/>
        </w:rPr>
        <w:t>i</w:t>
      </w:r>
      <w:proofErr w:type="spellEnd"/>
      <w:r w:rsidRPr="0074326A">
        <w:rPr>
          <w:rFonts w:ascii="Arial" w:hAnsi="Arial" w:cs="Arial"/>
        </w:rPr>
        <w:t xml:space="preserve"> denoted individual and </w:t>
      </w:r>
      <w:r w:rsidRPr="00D42732">
        <w:rPr>
          <w:rFonts w:ascii="Arial" w:hAnsi="Arial" w:cs="Arial"/>
          <w:i/>
          <w:iCs/>
        </w:rPr>
        <w:t>t</w:t>
      </w:r>
      <w:r w:rsidRPr="0074326A">
        <w:rPr>
          <w:rFonts w:ascii="Arial" w:hAnsi="Arial" w:cs="Arial"/>
        </w:rPr>
        <w:t xml:space="preserve"> month, </w:t>
      </w:r>
      <w:r w:rsidR="000A404C" w:rsidRPr="00D42732">
        <w:rPr>
          <w:rFonts w:ascii="Arial" w:hAnsi="Arial" w:cs="Arial" w:hint="eastAsia"/>
          <w:i/>
          <w:iCs/>
        </w:rPr>
        <w:sym w:font="Symbol" w:char="F06D"/>
      </w:r>
      <w:r w:rsidRPr="0074326A">
        <w:rPr>
          <w:rFonts w:ascii="Arial" w:hAnsi="Arial" w:cs="Arial"/>
        </w:rPr>
        <w:t xml:space="preserve"> denoted the (conditional) mean, the subscript 1 denoted the first part of the decision process, </w:t>
      </w:r>
      <w:r w:rsidR="000A404C" w:rsidRPr="0074326A">
        <w:rPr>
          <w:rFonts w:ascii="Arial" w:hAnsi="Arial" w:cs="Arial"/>
        </w:rPr>
        <w:t>Y</w:t>
      </w:r>
      <w:r w:rsidRPr="0074326A">
        <w:rPr>
          <w:rFonts w:ascii="Arial" w:hAnsi="Arial" w:cs="Arial"/>
        </w:rPr>
        <w:t xml:space="preserve"> the dependent variable,</w:t>
      </w:r>
      <w:r w:rsidR="000A404C" w:rsidRPr="00D42732">
        <w:rPr>
          <w:rFonts w:ascii="Arial" w:hAnsi="Arial" w:cs="Arial" w:hint="eastAsia"/>
          <w:i/>
          <w:iCs/>
        </w:rPr>
        <w:t xml:space="preserve"> </w:t>
      </w:r>
      <w:r w:rsidR="000A404C" w:rsidRPr="00D42732">
        <w:rPr>
          <w:rFonts w:ascii="Arial" w:hAnsi="Arial" w:cs="Arial"/>
          <w:i/>
          <w:iCs/>
        </w:rPr>
        <w:sym w:font="Symbol" w:char="F066"/>
      </w:r>
      <w:r w:rsidRPr="00D42732">
        <w:rPr>
          <w:rFonts w:ascii="Arial" w:hAnsi="Arial" w:cs="Arial"/>
          <w:i/>
          <w:iCs/>
        </w:rPr>
        <w:t xml:space="preserve"> </w:t>
      </w:r>
      <w:r w:rsidRPr="0074326A">
        <w:rPr>
          <w:rFonts w:ascii="Arial" w:hAnsi="Arial" w:cs="Arial"/>
        </w:rPr>
        <w:t xml:space="preserve">was a dispersion parameter and </w:t>
      </w:r>
      <w:r w:rsidR="000A404C" w:rsidRPr="00D42732">
        <w:rPr>
          <w:rFonts w:ascii="Arial" w:hAnsi="Arial" w:cs="Arial"/>
          <w:i/>
          <w:iCs/>
        </w:rPr>
        <w:sym w:font="Symbol" w:char="F068"/>
      </w:r>
      <w:r w:rsidRPr="0074326A">
        <w:rPr>
          <w:rFonts w:ascii="Arial" w:hAnsi="Arial" w:cs="Arial"/>
        </w:rPr>
        <w:t xml:space="preserve"> denoted the additive linear predictor of </w:t>
      </w:r>
      <w:r w:rsidR="00D42732">
        <w:rPr>
          <w:rFonts w:ascii="Arial" w:hAnsi="Arial" w:cs="Arial"/>
        </w:rPr>
        <w:t>(</w:t>
      </w:r>
      <w:r w:rsidRPr="0074326A">
        <w:rPr>
          <w:rFonts w:ascii="Arial" w:hAnsi="Arial" w:cs="Arial"/>
        </w:rPr>
        <w:t>1</w:t>
      </w:r>
      <w:r w:rsidR="00D42732">
        <w:rPr>
          <w:rFonts w:ascii="Arial" w:hAnsi="Arial" w:cs="Arial"/>
        </w:rPr>
        <w:t>)</w:t>
      </w:r>
      <w:r w:rsidRPr="0074326A">
        <w:rPr>
          <w:rFonts w:ascii="Arial" w:hAnsi="Arial" w:cs="Arial"/>
        </w:rPr>
        <w:t>.</w:t>
      </w:r>
    </w:p>
    <w:p w:rsidR="001B5EE7" w:rsidRPr="0074326A" w:rsidRDefault="001B5EE7" w:rsidP="001B5EE7">
      <w:pPr>
        <w:spacing w:line="360" w:lineRule="auto"/>
        <w:jc w:val="both"/>
        <w:rPr>
          <w:rFonts w:ascii="Arial" w:hAnsi="Arial" w:cs="Arial"/>
        </w:rPr>
      </w:pPr>
    </w:p>
    <w:p w:rsidR="001B5EE7" w:rsidRPr="00690EDC" w:rsidRDefault="001B5EE7" w:rsidP="001B5EE7">
      <w:pPr>
        <w:spacing w:line="360" w:lineRule="auto"/>
        <w:jc w:val="both"/>
        <w:rPr>
          <w:rFonts w:ascii="Arial" w:hAnsi="Arial" w:cs="Arial"/>
        </w:rPr>
      </w:pPr>
      <w:r w:rsidRPr="0074326A">
        <w:rPr>
          <w:rFonts w:ascii="Arial" w:hAnsi="Arial" w:cs="Arial"/>
        </w:rPr>
        <w:t>Note that we assumed that the dispersion parameter was equal to the unit. This assumption was made because the information available in this first part did not allow the simultaneous identification of the parameters associated to the conditional mean and the parameters associated to the conditional variance</w:t>
      </w:r>
      <w:r w:rsidR="00834D92" w:rsidRPr="0074326A">
        <w:rPr>
          <w:rFonts w:ascii="Arial" w:hAnsi="Arial" w:cs="Arial"/>
          <w:vertAlign w:val="superscript"/>
        </w:rPr>
        <w:t xml:space="preserve"> </w:t>
      </w:r>
      <w:r w:rsidR="00690EDC">
        <w:rPr>
          <w:rFonts w:ascii="Arial" w:hAnsi="Arial" w:cs="Arial"/>
        </w:rPr>
        <w:t>[4].</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In the second part, the distribution of use (conditional to some use) was </w:t>
      </w:r>
      <w:proofErr w:type="spellStart"/>
      <w:r w:rsidRPr="0074326A">
        <w:rPr>
          <w:rFonts w:ascii="Arial" w:hAnsi="Arial" w:cs="Arial"/>
        </w:rPr>
        <w:t>modeled</w:t>
      </w:r>
      <w:proofErr w:type="spellEnd"/>
      <w:r w:rsidRPr="0074326A">
        <w:rPr>
          <w:rFonts w:ascii="Arial" w:hAnsi="Arial" w:cs="Arial"/>
        </w:rPr>
        <w:t xml:space="preserve"> as a truncated negative binomial:</w:t>
      </w:r>
    </w:p>
    <w:p w:rsidR="001B5EE7" w:rsidRPr="0074326A" w:rsidRDefault="00775618" w:rsidP="001B5EE7">
      <w:pPr>
        <w:spacing w:line="360" w:lineRule="auto"/>
        <w:jc w:val="right"/>
        <w:rPr>
          <w:rFonts w:ascii="Arial" w:hAnsi="Arial" w:cs="Arial"/>
        </w:rPr>
      </w:pPr>
      <w:r w:rsidRPr="0074326A">
        <w:rPr>
          <w:rFonts w:ascii="Arial" w:hAnsi="Arial" w:cs="Arial"/>
          <w:noProof/>
        </w:rPr>
        <w:lastRenderedPageBreak/>
        <w:drawing>
          <wp:inline distT="0" distB="0" distL="0" distR="0" wp14:anchorId="3C44AACD">
            <wp:extent cx="4389120" cy="1202055"/>
            <wp:effectExtent l="0" t="0" r="0"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1202055"/>
                    </a:xfrm>
                    <a:prstGeom prst="rect">
                      <a:avLst/>
                    </a:prstGeom>
                    <a:noFill/>
                    <a:ln>
                      <a:noFill/>
                    </a:ln>
                  </pic:spPr>
                </pic:pic>
              </a:graphicData>
            </a:graphic>
          </wp:inline>
        </w:drawing>
      </w:r>
      <w:r w:rsidR="001B5EE7" w:rsidRPr="0074326A">
        <w:rPr>
          <w:rFonts w:ascii="Arial" w:hAnsi="Arial" w:cs="Arial"/>
        </w:rPr>
        <w:tab/>
      </w:r>
      <w:r w:rsidR="001B5EE7" w:rsidRPr="0074326A">
        <w:rPr>
          <w:rFonts w:ascii="Arial" w:hAnsi="Arial" w:cs="Arial"/>
        </w:rPr>
        <w:tab/>
      </w:r>
    </w:p>
    <w:p w:rsidR="001B5EE7" w:rsidRPr="0074326A" w:rsidRDefault="001B5EE7" w:rsidP="001B5EE7">
      <w:pPr>
        <w:spacing w:line="360" w:lineRule="auto"/>
        <w:jc w:val="right"/>
        <w:rPr>
          <w:rFonts w:ascii="Arial" w:hAnsi="Arial" w:cs="Arial"/>
        </w:rPr>
      </w:pPr>
      <w:r w:rsidRPr="0074326A">
        <w:rPr>
          <w:rFonts w:ascii="Arial" w:hAnsi="Arial" w:cs="Arial"/>
        </w:rPr>
        <w:tab/>
      </w:r>
      <w:r w:rsidRPr="0074326A">
        <w:rPr>
          <w:rFonts w:ascii="Arial" w:hAnsi="Arial" w:cs="Arial"/>
        </w:rPr>
        <w:tab/>
      </w:r>
      <w:r w:rsidR="00690EDC">
        <w:rPr>
          <w:rFonts w:ascii="Arial" w:hAnsi="Arial" w:cs="Arial"/>
        </w:rPr>
        <w:t>(</w:t>
      </w:r>
      <w:r w:rsidRPr="0074326A">
        <w:rPr>
          <w:rFonts w:ascii="Arial" w:hAnsi="Arial" w:cs="Arial"/>
        </w:rPr>
        <w:t>4b</w:t>
      </w:r>
      <w:r w:rsidR="00690EDC">
        <w:rPr>
          <w:rFonts w:ascii="Arial" w:hAnsi="Arial" w:cs="Arial"/>
        </w:rPr>
        <w:t>)</w:t>
      </w:r>
    </w:p>
    <w:p w:rsidR="001B5EE7" w:rsidRPr="0074326A" w:rsidRDefault="001B5EE7" w:rsidP="001B5EE7">
      <w:pPr>
        <w:spacing w:line="360" w:lineRule="auto"/>
        <w:jc w:val="right"/>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where </w:t>
      </w:r>
      <w:r w:rsidR="000A404C" w:rsidRPr="00690EDC">
        <w:rPr>
          <w:rFonts w:ascii="Arial" w:hAnsi="Arial" w:cs="Arial"/>
          <w:i/>
          <w:iCs/>
        </w:rPr>
        <w:sym w:font="Symbol" w:char="F047"/>
      </w:r>
      <w:r w:rsidR="000A404C" w:rsidRPr="00690EDC">
        <w:rPr>
          <w:rFonts w:ascii="Arial" w:hAnsi="Arial" w:cs="Arial"/>
          <w:i/>
          <w:iCs/>
        </w:rPr>
        <w:t>(.)</w:t>
      </w:r>
      <w:r w:rsidRPr="0074326A">
        <w:rPr>
          <w:rFonts w:ascii="Arial" w:hAnsi="Arial" w:cs="Arial"/>
        </w:rPr>
        <w:t xml:space="preserve"> denoted the gamma function and the subscript 2 denoted the second part of the decision-making process.</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It is important to point out that although we specified model </w:t>
      </w:r>
      <w:r w:rsidR="00690EDC">
        <w:rPr>
          <w:rFonts w:ascii="Arial" w:hAnsi="Arial" w:cs="Arial"/>
        </w:rPr>
        <w:t>(</w:t>
      </w:r>
      <w:r w:rsidRPr="0074326A">
        <w:rPr>
          <w:rFonts w:ascii="Arial" w:hAnsi="Arial" w:cs="Arial"/>
        </w:rPr>
        <w:t>4</w:t>
      </w:r>
      <w:r w:rsidR="00690EDC">
        <w:rPr>
          <w:rFonts w:ascii="Arial" w:hAnsi="Arial" w:cs="Arial"/>
        </w:rPr>
        <w:t>)</w:t>
      </w:r>
      <w:r w:rsidRPr="0074326A">
        <w:rPr>
          <w:rFonts w:ascii="Arial" w:hAnsi="Arial" w:cs="Arial"/>
        </w:rPr>
        <w:t xml:space="preserve"> into two parts, these entered the likelihood function multiplicatively and, therefore, we estimated the two parts jointly.</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i/>
        </w:rPr>
      </w:pPr>
      <w:r w:rsidRPr="0074326A">
        <w:rPr>
          <w:rFonts w:ascii="Arial" w:hAnsi="Arial" w:cs="Arial"/>
          <w:i/>
        </w:rPr>
        <w:t>Random effects</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Note that some of the coefficients in </w:t>
      </w:r>
      <w:r w:rsidR="00503649">
        <w:rPr>
          <w:rFonts w:ascii="Arial" w:hAnsi="Arial" w:cs="Arial"/>
        </w:rPr>
        <w:t>(</w:t>
      </w:r>
      <w:r w:rsidRPr="0074326A">
        <w:rPr>
          <w:rFonts w:ascii="Arial" w:hAnsi="Arial" w:cs="Arial"/>
        </w:rPr>
        <w:t>1</w:t>
      </w:r>
      <w:r w:rsidR="00503649">
        <w:rPr>
          <w:rFonts w:ascii="Arial" w:hAnsi="Arial" w:cs="Arial"/>
        </w:rPr>
        <w:t>)</w:t>
      </w:r>
      <w:r w:rsidRPr="0074326A">
        <w:rPr>
          <w:rFonts w:ascii="Arial" w:hAnsi="Arial" w:cs="Arial"/>
        </w:rPr>
        <w:t xml:space="preserve">, </w:t>
      </w:r>
      <w:r w:rsidR="00503649">
        <w:rPr>
          <w:rFonts w:ascii="Arial" w:hAnsi="Arial" w:cs="Arial"/>
        </w:rPr>
        <w:t>(</w:t>
      </w:r>
      <w:r w:rsidRPr="0074326A">
        <w:rPr>
          <w:rFonts w:ascii="Arial" w:hAnsi="Arial" w:cs="Arial"/>
        </w:rPr>
        <w:t>2</w:t>
      </w:r>
      <w:r w:rsidR="00503649">
        <w:rPr>
          <w:rFonts w:ascii="Arial" w:hAnsi="Arial" w:cs="Arial"/>
        </w:rPr>
        <w:t>)</w:t>
      </w:r>
      <w:r w:rsidRPr="0074326A">
        <w:rPr>
          <w:rFonts w:ascii="Arial" w:hAnsi="Arial" w:cs="Arial"/>
        </w:rPr>
        <w:t xml:space="preserve"> and </w:t>
      </w:r>
      <w:r w:rsidR="00503649">
        <w:rPr>
          <w:rFonts w:ascii="Arial" w:hAnsi="Arial" w:cs="Arial"/>
        </w:rPr>
        <w:t>(</w:t>
      </w:r>
      <w:r w:rsidRPr="0074326A">
        <w:rPr>
          <w:rFonts w:ascii="Arial" w:hAnsi="Arial" w:cs="Arial"/>
        </w:rPr>
        <w:t>3</w:t>
      </w:r>
      <w:r w:rsidR="00503649">
        <w:rPr>
          <w:rFonts w:ascii="Arial" w:hAnsi="Arial" w:cs="Arial"/>
        </w:rPr>
        <w:t xml:space="preserve">) </w:t>
      </w:r>
      <w:r w:rsidRPr="0074326A">
        <w:rPr>
          <w:rFonts w:ascii="Arial" w:hAnsi="Arial" w:cs="Arial"/>
        </w:rPr>
        <w:t xml:space="preserve">had subscripts. In fact, we specified a random coefficient panel data </w:t>
      </w:r>
      <w:proofErr w:type="gramStart"/>
      <w:r w:rsidRPr="0074326A">
        <w:rPr>
          <w:rFonts w:ascii="Arial" w:hAnsi="Arial" w:cs="Arial"/>
        </w:rPr>
        <w:t>models</w:t>
      </w:r>
      <w:proofErr w:type="gramEnd"/>
      <w:r w:rsidRPr="0074326A">
        <w:rPr>
          <w:rFonts w:ascii="Arial" w:hAnsi="Arial" w:cs="Arial"/>
        </w:rPr>
        <w:t>. In mixed</w:t>
      </w:r>
      <w:r w:rsidR="002E3713" w:rsidRPr="0074326A">
        <w:rPr>
          <w:rFonts w:ascii="Arial" w:hAnsi="Arial" w:cs="Arial"/>
        </w:rPr>
        <w:t>-</w:t>
      </w:r>
      <w:r w:rsidRPr="0074326A">
        <w:rPr>
          <w:rFonts w:ascii="Arial" w:hAnsi="Arial" w:cs="Arial"/>
        </w:rPr>
        <w:t>models terminology, we allowed (some of the) coefficients to be random effects</w:t>
      </w:r>
      <w:r w:rsidR="00503649">
        <w:rPr>
          <w:rFonts w:ascii="Arial" w:hAnsi="Arial" w:cs="Arial"/>
        </w:rPr>
        <w:t xml:space="preserve"> [14]</w:t>
      </w:r>
      <w:r w:rsidR="00834D92" w:rsidRPr="0074326A">
        <w:rPr>
          <w:rFonts w:ascii="Arial" w:hAnsi="Arial" w:cs="Arial"/>
          <w:vertAlign w:val="superscript"/>
        </w:rPr>
        <w:t xml:space="preserve"> </w:t>
      </w:r>
      <w:r w:rsidRPr="0074326A">
        <w:rPr>
          <w:rFonts w:ascii="Arial" w:hAnsi="Arial" w:cs="Arial"/>
        </w:rPr>
        <w:t>i.e. to be different for the various levels we have considered. Thus, we allowed the intercept to be different for each individual,</w:t>
      </w:r>
      <w:r w:rsidR="002E3713" w:rsidRPr="0074326A">
        <w:rPr>
          <w:rFonts w:ascii="Arial" w:hAnsi="Arial" w:cs="Arial"/>
        </w:rPr>
        <w:t xml:space="preserve"> </w:t>
      </w:r>
      <w:r w:rsidR="002E3713" w:rsidRPr="00503649">
        <w:rPr>
          <w:rFonts w:ascii="Arial" w:hAnsi="Arial" w:cs="Arial" w:hint="eastAsia"/>
          <w:i/>
          <w:iCs/>
        </w:rPr>
        <w:sym w:font="Symbol" w:char="F062"/>
      </w:r>
      <w:r w:rsidRPr="00503649">
        <w:rPr>
          <w:rFonts w:ascii="Arial" w:hAnsi="Arial" w:cs="Arial"/>
          <w:i/>
          <w:iCs/>
          <w:vertAlign w:val="subscript"/>
        </w:rPr>
        <w:t>0i</w:t>
      </w:r>
      <w:r w:rsidRPr="00503649">
        <w:rPr>
          <w:rFonts w:ascii="Arial" w:hAnsi="Arial" w:cs="Arial"/>
          <w:i/>
          <w:iCs/>
        </w:rPr>
        <w:t>,</w:t>
      </w:r>
      <w:r w:rsidRPr="0074326A">
        <w:rPr>
          <w:rFonts w:ascii="Arial" w:hAnsi="Arial" w:cs="Arial"/>
        </w:rPr>
        <w:t xml:space="preserve"> capturing characteristics that were individual specific (i.e. individual heterogeneity). In this case, we assumed random effects were identical and independent Gaussian random variables with constant variance. The time effect varied by year-month, assuming a random walk of order 1 (i.e. independent increments) for the Gaussian random effects vector (although we also assumed a constant variance)</w:t>
      </w:r>
      <w:r w:rsidR="005662AB" w:rsidRPr="0074326A">
        <w:rPr>
          <w:rFonts w:ascii="Arial" w:hAnsi="Arial" w:cs="Arial"/>
          <w:vertAlign w:val="superscript"/>
        </w:rPr>
        <w:t xml:space="preserve"> </w:t>
      </w:r>
      <w:r w:rsidR="005662AB" w:rsidRPr="0074326A">
        <w:rPr>
          <w:rFonts w:ascii="Arial" w:hAnsi="Arial" w:cs="Arial"/>
        </w:rPr>
        <w:t>(R-INLA project</w:t>
      </w:r>
      <w:r w:rsidR="00503649">
        <w:rPr>
          <w:rFonts w:ascii="Arial" w:hAnsi="Arial" w:cs="Arial"/>
        </w:rPr>
        <w:t xml:space="preserve"> [19]</w:t>
      </w:r>
      <w:r w:rsidR="005662AB" w:rsidRPr="0074326A">
        <w:rPr>
          <w:rFonts w:ascii="Arial" w:hAnsi="Arial" w:cs="Arial"/>
        </w:rPr>
        <w:t>)</w:t>
      </w:r>
      <w:r w:rsidRPr="0074326A">
        <w:rPr>
          <w:rFonts w:ascii="Arial" w:hAnsi="Arial" w:cs="Arial"/>
        </w:rPr>
        <w:t>. Finally, the coefficient of interest, i.e. the effect of the intervention, varied per month and also per sex, age group, chronic conditions and quintiles of probability of being unemployed. Here, we also assumed identical and independent Gaussian random effects with constant variance.</w:t>
      </w:r>
    </w:p>
    <w:p w:rsidR="001B5EE7" w:rsidRPr="0074326A" w:rsidRDefault="001B5EE7" w:rsidP="001B5EE7">
      <w:pPr>
        <w:spacing w:line="360" w:lineRule="auto"/>
        <w:jc w:val="both"/>
        <w:rPr>
          <w:rFonts w:ascii="Arial" w:hAnsi="Arial" w:cs="Arial"/>
        </w:rPr>
      </w:pPr>
    </w:p>
    <w:p w:rsidR="001B5EE7" w:rsidRPr="0074326A" w:rsidRDefault="001B5EE7" w:rsidP="001B5EE7">
      <w:pPr>
        <w:spacing w:after="300" w:line="360" w:lineRule="auto"/>
        <w:jc w:val="both"/>
        <w:rPr>
          <w:rFonts w:ascii="Arial" w:hAnsi="Arial" w:cs="Arial"/>
        </w:rPr>
      </w:pPr>
      <w:r w:rsidRPr="0074326A">
        <w:rPr>
          <w:rFonts w:ascii="Arial" w:hAnsi="Arial" w:cs="Arial"/>
        </w:rPr>
        <w:t>For the estimation of the models, we followed the Integrated Nested Laplace Approximation (INLA) approach</w:t>
      </w:r>
      <w:r w:rsidR="005662AB" w:rsidRPr="0074326A">
        <w:rPr>
          <w:rFonts w:ascii="Arial" w:hAnsi="Arial" w:cs="Arial"/>
          <w:vertAlign w:val="superscript"/>
        </w:rPr>
        <w:t xml:space="preserve"> </w:t>
      </w:r>
      <w:r w:rsidR="005662AB" w:rsidRPr="0074326A">
        <w:rPr>
          <w:rFonts w:ascii="Arial" w:hAnsi="Arial" w:cs="Arial"/>
        </w:rPr>
        <w:t>(Rue</w:t>
      </w:r>
      <w:r w:rsidR="00503649">
        <w:rPr>
          <w:rFonts w:ascii="Arial" w:hAnsi="Arial" w:cs="Arial"/>
        </w:rPr>
        <w:t xml:space="preserve"> et al. [22]</w:t>
      </w:r>
      <w:r w:rsidR="005662AB" w:rsidRPr="0074326A">
        <w:rPr>
          <w:rFonts w:ascii="Arial" w:hAnsi="Arial" w:cs="Arial"/>
        </w:rPr>
        <w:t>)</w:t>
      </w:r>
      <w:r w:rsidRPr="0074326A">
        <w:rPr>
          <w:rFonts w:ascii="Arial" w:hAnsi="Arial" w:cs="Arial"/>
        </w:rPr>
        <w:t xml:space="preserve"> within a (pure) Bayesian </w:t>
      </w:r>
      <w:r w:rsidRPr="0074326A">
        <w:rPr>
          <w:rFonts w:ascii="Arial" w:hAnsi="Arial" w:cs="Arial"/>
        </w:rPr>
        <w:lastRenderedPageBreak/>
        <w:t>framework. All analyses have been made with the free software R (version 3.0.2)</w:t>
      </w:r>
      <w:r w:rsidR="005662AB" w:rsidRPr="0074326A">
        <w:rPr>
          <w:rFonts w:ascii="Arial" w:hAnsi="Arial" w:cs="Arial"/>
          <w:vertAlign w:val="superscript"/>
        </w:rPr>
        <w:t xml:space="preserve"> </w:t>
      </w:r>
      <w:r w:rsidR="00503649">
        <w:rPr>
          <w:rFonts w:ascii="Arial" w:hAnsi="Arial" w:cs="Arial"/>
        </w:rPr>
        <w:t>[18],</w:t>
      </w:r>
      <w:r w:rsidRPr="0074326A">
        <w:rPr>
          <w:rFonts w:ascii="Arial" w:hAnsi="Arial" w:cs="Arial"/>
        </w:rPr>
        <w:t xml:space="preserve"> available through the INLA library</w:t>
      </w:r>
      <w:r w:rsidR="005662AB" w:rsidRPr="0074326A">
        <w:rPr>
          <w:rFonts w:ascii="Arial" w:hAnsi="Arial" w:cs="Arial"/>
          <w:vertAlign w:val="superscript"/>
        </w:rPr>
        <w:t xml:space="preserve"> </w:t>
      </w:r>
      <w:r w:rsidR="005662AB" w:rsidRPr="0074326A">
        <w:rPr>
          <w:rFonts w:ascii="Arial" w:hAnsi="Arial" w:cs="Arial"/>
        </w:rPr>
        <w:t>(R-INLA project</w:t>
      </w:r>
      <w:r w:rsidR="00503649">
        <w:rPr>
          <w:rFonts w:ascii="Arial" w:hAnsi="Arial" w:cs="Arial"/>
        </w:rPr>
        <w:t xml:space="preserve"> [22]</w:t>
      </w:r>
      <w:r w:rsidR="005662AB" w:rsidRPr="0074326A">
        <w:rPr>
          <w:rFonts w:ascii="Arial" w:hAnsi="Arial" w:cs="Arial"/>
        </w:rPr>
        <w:t>)</w:t>
      </w:r>
      <w:r w:rsidRPr="0074326A">
        <w:rPr>
          <w:rFonts w:ascii="Arial" w:hAnsi="Arial" w:cs="Arial"/>
        </w:rPr>
        <w:t>.</w:t>
      </w:r>
    </w:p>
    <w:p w:rsidR="001B5EE7" w:rsidRPr="0074326A" w:rsidRDefault="001B5EE7" w:rsidP="001B5EE7">
      <w:pPr>
        <w:spacing w:line="360" w:lineRule="auto"/>
        <w:jc w:val="both"/>
        <w:rPr>
          <w:rFonts w:ascii="Arial" w:hAnsi="Arial" w:cs="Arial"/>
          <w:b/>
        </w:rPr>
      </w:pPr>
      <w:r w:rsidRPr="0074326A">
        <w:rPr>
          <w:rFonts w:ascii="Arial" w:hAnsi="Arial" w:cs="Arial"/>
          <w:b/>
        </w:rPr>
        <w:t>3.- Results</w:t>
      </w:r>
    </w:p>
    <w:p w:rsidR="001B5EE7" w:rsidRPr="0074326A" w:rsidRDefault="001B5EE7" w:rsidP="001B5EE7">
      <w:pPr>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In Fig</w:t>
      </w:r>
      <w:r w:rsidR="002122D9">
        <w:rPr>
          <w:rFonts w:ascii="Arial" w:hAnsi="Arial" w:cs="Arial"/>
        </w:rPr>
        <w:t>.</w:t>
      </w:r>
      <w:r w:rsidRPr="0074326A">
        <w:rPr>
          <w:rFonts w:ascii="Arial" w:hAnsi="Arial" w:cs="Arial"/>
        </w:rPr>
        <w:t xml:space="preserve"> 1 we show the temporal evolution of the total visits to prescribers in the IAS cohort (Fig</w:t>
      </w:r>
      <w:r w:rsidR="002122D9">
        <w:rPr>
          <w:rFonts w:ascii="Arial" w:hAnsi="Arial" w:cs="Arial"/>
        </w:rPr>
        <w:t>.</w:t>
      </w:r>
      <w:r w:rsidRPr="0074326A">
        <w:rPr>
          <w:rFonts w:ascii="Arial" w:hAnsi="Arial" w:cs="Arial"/>
        </w:rPr>
        <w:t xml:space="preserve"> 1). Note that the decrease in the number of visits began in March 2009 (maximum 27,973 visits March 2009, and 23,865 June 2012), long before the introduction of the euro per prescription policy.</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This decline actually occurred as a result of the implementation of the ‘electronic prescription’, a rationalizing measure for primary health care utilization and, therefore, for health expenditure. This rationalizing measure had been introduced throughout 2009. There had been an increase in the number of visits a few months earlier, in May 2012, following a reduction in April 2012 (22,951 visits). </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Since the evolution of the number of individuals who received health care (by prescribers) was very similar to the (total) visits (19,291 in March 2009, and 16,755 in April 2012), the evolution of the average number of visits to prescribers is also very similar (Fi</w:t>
      </w:r>
      <w:r w:rsidR="00775274">
        <w:rPr>
          <w:rFonts w:ascii="Arial" w:hAnsi="Arial" w:cs="Arial"/>
        </w:rPr>
        <w:t>.</w:t>
      </w:r>
      <w:r w:rsidRPr="0074326A">
        <w:rPr>
          <w:rFonts w:ascii="Arial" w:hAnsi="Arial" w:cs="Arial"/>
        </w:rPr>
        <w:t xml:space="preserve"> 2).</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The results of estimating the effect of the intervention are shown in Table 1 (visits to prescribers) and 2 (visits to </w:t>
      </w:r>
      <w:r w:rsidR="00011F65" w:rsidRPr="0074326A">
        <w:rPr>
          <w:rFonts w:ascii="Arial" w:hAnsi="Arial" w:cs="Arial"/>
        </w:rPr>
        <w:t>non-prescribers</w:t>
      </w:r>
      <w:r w:rsidRPr="0074326A">
        <w:rPr>
          <w:rFonts w:ascii="Arial" w:hAnsi="Arial" w:cs="Arial"/>
        </w:rPr>
        <w:t xml:space="preserve">). In the case of the visits to prescribers, the implementation of the ‘euro per prescription’ showed a 4.44% reduction in the average number of visits per individual, although it was not statistically significant until December 2012. Note that, in fact the effect was only statistically significant for women, with a reduction in the range of 2.81%-4.67% between July and September 2012, and with a sharper reduction from November 2012 (a 5.49% drop in November and 7.52% in December). We found differences among the age groups. In particular, the effect was only significant for those individuals over 55 years of age. Individuals who were 65 years or more experienced the greatest reduction, largely in October and November 2012. In December of 2012 the reduction was significant only for the 55 to </w:t>
      </w:r>
      <w:r w:rsidR="00011F65" w:rsidRPr="0074326A">
        <w:rPr>
          <w:rFonts w:ascii="Arial" w:hAnsi="Arial" w:cs="Arial"/>
        </w:rPr>
        <w:t>64-year-old</w:t>
      </w:r>
      <w:r w:rsidRPr="0074326A">
        <w:rPr>
          <w:rFonts w:ascii="Arial" w:hAnsi="Arial" w:cs="Arial"/>
        </w:rPr>
        <w:t xml:space="preserve"> age </w:t>
      </w:r>
      <w:r w:rsidRPr="0074326A">
        <w:rPr>
          <w:rFonts w:ascii="Arial" w:hAnsi="Arial" w:cs="Arial"/>
        </w:rPr>
        <w:lastRenderedPageBreak/>
        <w:t>group. In individuals under the age of 55 the effect was not statistically significant (Table 1).</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It seems that the reduction in the average number of visits per individual occurred only in those with chronic conditions, with October 2012 being the exception although not statistically significant (Table 1). Note that while for hypertensive individuals the decline in visits occurred mainly from July (4.15%) to September 2012 (4.69%), for the remainder of those with chronic conditions it had remained about the same from July 2012 onwards, albeit with peaks in September 2012, but was also much more moderated than that of  hypertension (maximum of 3.08% for obese). </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When stratifying by quintiles for the probability of being unemployed (Table 1), only for individuals located in the fifth quintile, (i.e. those who were more likely to be unemployed), was there a statistically significant reduction in the average number of visits. Nevertheless, this was only from July to September 2012 and the decline was very similar in that </w:t>
      </w:r>
      <w:r w:rsidR="00011F65" w:rsidRPr="0074326A">
        <w:rPr>
          <w:rFonts w:ascii="Arial" w:hAnsi="Arial" w:cs="Arial"/>
        </w:rPr>
        <w:t>three-month</w:t>
      </w:r>
      <w:r w:rsidRPr="0074326A">
        <w:rPr>
          <w:rFonts w:ascii="Arial" w:hAnsi="Arial" w:cs="Arial"/>
        </w:rPr>
        <w:t xml:space="preserve"> period. We also found that the decrease was very similar for the fifth quintile of the probability of being unemployed for over a year.</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With respect to the visits to </w:t>
      </w:r>
      <w:r w:rsidR="00011F65" w:rsidRPr="0074326A">
        <w:rPr>
          <w:rFonts w:ascii="Arial" w:hAnsi="Arial" w:cs="Arial"/>
        </w:rPr>
        <w:t>non-prescribers</w:t>
      </w:r>
      <w:r w:rsidRPr="0074326A">
        <w:rPr>
          <w:rFonts w:ascii="Arial" w:hAnsi="Arial" w:cs="Arial"/>
        </w:rPr>
        <w:t xml:space="preserve"> (Table 2), the implementation of the ‘euro per prescription’ significantly reduced the average number of visits per individual, in September (10.43%) and again in December (14.12%) 2012 (Table 2). This reduction is greater than the average visits by individual to the prescriber. Note that, in fact, the effect was only statistically significant for women in September 2012 (14.42%), whereas in December 2012 it was statistically significant for both males and females (12.85% and 15.81%, respectively). However, there was a significant increase in individual visits (both male and female) to the </w:t>
      </w:r>
      <w:r w:rsidR="00011F65" w:rsidRPr="0074326A">
        <w:rPr>
          <w:rFonts w:ascii="Arial" w:hAnsi="Arial" w:cs="Arial"/>
        </w:rPr>
        <w:t>non-prescriber</w:t>
      </w:r>
      <w:r w:rsidRPr="0074326A">
        <w:rPr>
          <w:rFonts w:ascii="Arial" w:hAnsi="Arial" w:cs="Arial"/>
        </w:rPr>
        <w:t xml:space="preserve"> in October 2012 (19.13%). We also found differences among the age groups. In particular, the effect was significant for those individuals between 15 to 34 years old who reduced their visits by 29.05% in September 2012 and 35.32% in December 2012. On the other hand, there was a significant increase (32.37%) in the number of visits in October 2012 mainly coming from the 65 to </w:t>
      </w:r>
      <w:r w:rsidR="00011F65" w:rsidRPr="0074326A">
        <w:rPr>
          <w:rFonts w:ascii="Arial" w:hAnsi="Arial" w:cs="Arial"/>
        </w:rPr>
        <w:t>74-year-old</w:t>
      </w:r>
      <w:r w:rsidRPr="0074326A">
        <w:rPr>
          <w:rFonts w:ascii="Arial" w:hAnsi="Arial" w:cs="Arial"/>
        </w:rPr>
        <w:t xml:space="preserve"> age group </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011F65">
      <w:pPr>
        <w:tabs>
          <w:tab w:val="left" w:pos="2880"/>
        </w:tabs>
        <w:spacing w:line="360" w:lineRule="auto"/>
        <w:ind w:right="-7"/>
        <w:jc w:val="both"/>
        <w:rPr>
          <w:rFonts w:ascii="Arial" w:hAnsi="Arial" w:cs="Arial"/>
        </w:rPr>
      </w:pPr>
      <w:r w:rsidRPr="0074326A">
        <w:rPr>
          <w:rFonts w:ascii="Arial" w:hAnsi="Arial" w:cs="Arial"/>
        </w:rPr>
        <w:t>Disaggregating the results by condition, we find a different pattern with visits to the prescriber. In this case, the decrease in the average number of visits per individual occurred only for those suffering from chronic conditions in September and December 2012 (10.39% and 13.73%, respectively (Table 2), although in October 2012, there was actually a significant increase in the number of visits by those with chronic conditions (19.79%). In September 2012, the significant reduction was noted in the hypertensive non-diabetes mellitus type</w:t>
      </w:r>
      <w:r w:rsidR="00011F65" w:rsidRPr="0074326A">
        <w:rPr>
          <w:rFonts w:ascii="Arial" w:hAnsi="Arial" w:cs="Arial"/>
        </w:rPr>
        <w:t xml:space="preserve"> II </w:t>
      </w:r>
      <w:r w:rsidRPr="0074326A">
        <w:rPr>
          <w:rFonts w:ascii="Arial" w:hAnsi="Arial" w:cs="Arial"/>
        </w:rPr>
        <w:t>gr</w:t>
      </w:r>
      <w:r w:rsidR="00011F65" w:rsidRPr="0074326A">
        <w:rPr>
          <w:rFonts w:ascii="Arial" w:hAnsi="Arial" w:cs="Arial"/>
        </w:rPr>
        <w:t>oups.</w:t>
      </w:r>
      <w:r w:rsidRPr="0074326A">
        <w:rPr>
          <w:rFonts w:ascii="Arial" w:hAnsi="Arial" w:cs="Arial"/>
        </w:rPr>
        <w:t xml:space="preserve"> Finally, in October an increase in the number of visits can be attributed to all of the chronic condition groups and to a lesser extent the non-diabetes mellitus type II group.</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tabs>
          <w:tab w:val="left" w:pos="2880"/>
        </w:tabs>
        <w:spacing w:line="360" w:lineRule="auto"/>
        <w:jc w:val="both"/>
        <w:rPr>
          <w:rFonts w:ascii="Arial" w:hAnsi="Arial" w:cs="Arial"/>
        </w:rPr>
      </w:pPr>
      <w:r w:rsidRPr="0074326A">
        <w:rPr>
          <w:rFonts w:ascii="Arial" w:hAnsi="Arial" w:cs="Arial"/>
        </w:rPr>
        <w:t xml:space="preserve">When stratifying by quintiles for the probability of being unemployed (Table 2), for individuals located in the fifth quintile (i.e. those who were more likely to be unemployed) there was a statistically significant reduction in the average number of visits in September and December 2012 (25.53% and 26.65%, respectively). However, for the individuals located in the third quintile, there was a significant reduction of 24.99% in December 2012. In terms of the probability of being unemployed for over a year, in October 2012, there was a significant increase in the number of visits by individuals located in the fourth and fifth quintile (28.03% and 20.40%, respectively). Moreover, in this last probability, there was an increase in the number of visits in November 2012 (29.66%) for individuals located on the third quintile.  </w:t>
      </w:r>
    </w:p>
    <w:p w:rsidR="001B5EE7" w:rsidRPr="0074326A" w:rsidRDefault="001B5EE7" w:rsidP="001B5EE7">
      <w:pPr>
        <w:tabs>
          <w:tab w:val="left" w:pos="2880"/>
        </w:tabs>
        <w:spacing w:line="360" w:lineRule="auto"/>
        <w:jc w:val="both"/>
        <w:rPr>
          <w:rFonts w:ascii="Arial" w:hAnsi="Arial" w:cs="Arial"/>
        </w:rPr>
      </w:pPr>
    </w:p>
    <w:p w:rsidR="006C0F0C" w:rsidRPr="0074326A" w:rsidRDefault="006C0F0C" w:rsidP="001B5EE7">
      <w:pPr>
        <w:tabs>
          <w:tab w:val="left" w:pos="2880"/>
        </w:tabs>
        <w:spacing w:line="360" w:lineRule="auto"/>
        <w:jc w:val="both"/>
        <w:rPr>
          <w:rFonts w:ascii="Arial" w:hAnsi="Arial" w:cs="Arial"/>
          <w:b/>
        </w:rPr>
      </w:pPr>
    </w:p>
    <w:p w:rsidR="006C0F0C" w:rsidRPr="0074326A" w:rsidRDefault="006C0F0C" w:rsidP="001B5EE7">
      <w:pPr>
        <w:tabs>
          <w:tab w:val="left" w:pos="2880"/>
        </w:tabs>
        <w:spacing w:line="360" w:lineRule="auto"/>
        <w:jc w:val="both"/>
        <w:rPr>
          <w:rFonts w:ascii="Arial" w:hAnsi="Arial" w:cs="Arial"/>
          <w:b/>
        </w:rPr>
      </w:pPr>
    </w:p>
    <w:p w:rsidR="001B5EE7" w:rsidRPr="0074326A" w:rsidRDefault="001B5EE7" w:rsidP="001B5EE7">
      <w:pPr>
        <w:tabs>
          <w:tab w:val="left" w:pos="2880"/>
        </w:tabs>
        <w:spacing w:line="360" w:lineRule="auto"/>
        <w:jc w:val="both"/>
        <w:rPr>
          <w:rFonts w:ascii="Arial" w:hAnsi="Arial" w:cs="Arial"/>
          <w:b/>
        </w:rPr>
      </w:pPr>
      <w:r w:rsidRPr="0074326A">
        <w:rPr>
          <w:rFonts w:ascii="Arial" w:hAnsi="Arial" w:cs="Arial"/>
          <w:b/>
        </w:rPr>
        <w:t>4.- Discussion</w:t>
      </w:r>
    </w:p>
    <w:p w:rsidR="001B5EE7" w:rsidRPr="0074326A" w:rsidRDefault="001B5EE7" w:rsidP="001B5EE7">
      <w:pPr>
        <w:tabs>
          <w:tab w:val="left" w:pos="2880"/>
        </w:tabs>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Taking all the results into consideration, it would seem that the 'euro per prescription' had no obvious effect. Despite the average number of visits dropping in July 2012 just after the policy’s introduction, this seems to have been a short-term effect which lasted for up to three months and was then replaced by another effect (maybe the effect of the </w:t>
      </w:r>
      <w:proofErr w:type="spellStart"/>
      <w:r w:rsidRPr="0074326A">
        <w:rPr>
          <w:rFonts w:ascii="Arial" w:hAnsi="Arial" w:cs="Arial"/>
        </w:rPr>
        <w:t>copayment</w:t>
      </w:r>
      <w:proofErr w:type="spellEnd"/>
      <w:r w:rsidRPr="0074326A">
        <w:rPr>
          <w:rFonts w:ascii="Arial" w:hAnsi="Arial" w:cs="Arial"/>
        </w:rPr>
        <w:t xml:space="preserve"> promulgated by the Spanish </w:t>
      </w:r>
      <w:r w:rsidRPr="0074326A">
        <w:rPr>
          <w:rFonts w:ascii="Arial" w:hAnsi="Arial" w:cs="Arial"/>
        </w:rPr>
        <w:lastRenderedPageBreak/>
        <w:t>government) with greater reductions from October 2012 and was most evident in individuals 65 years or more.</w:t>
      </w:r>
    </w:p>
    <w:p w:rsidR="001B5EE7" w:rsidRPr="0074326A" w:rsidRDefault="001B5EE7" w:rsidP="001B5EE7">
      <w:pPr>
        <w:spacing w:line="360" w:lineRule="auto"/>
        <w:jc w:val="both"/>
        <w:rPr>
          <w:rFonts w:ascii="Arial" w:hAnsi="Arial" w:cs="Arial"/>
        </w:rPr>
      </w:pPr>
    </w:p>
    <w:p w:rsidR="001B5EE7" w:rsidRPr="0074326A" w:rsidRDefault="00285E91" w:rsidP="001B5EE7">
      <w:pPr>
        <w:spacing w:line="360" w:lineRule="auto"/>
        <w:jc w:val="both"/>
        <w:rPr>
          <w:rFonts w:ascii="Arial" w:hAnsi="Arial" w:cs="Arial"/>
        </w:rPr>
      </w:pPr>
      <w:r w:rsidRPr="0074326A">
        <w:rPr>
          <w:rFonts w:ascii="Arial" w:hAnsi="Arial" w:cs="Arial"/>
        </w:rPr>
        <w:t>Our results are in line with Winkelmann</w:t>
      </w:r>
      <w:r w:rsidR="003B7AC9">
        <w:rPr>
          <w:rFonts w:ascii="Arial" w:hAnsi="Arial" w:cs="Arial"/>
        </w:rPr>
        <w:t xml:space="preserve"> [28], </w:t>
      </w:r>
      <w:r w:rsidRPr="0074326A">
        <w:rPr>
          <w:rFonts w:ascii="Arial" w:hAnsi="Arial" w:cs="Arial"/>
        </w:rPr>
        <w:t xml:space="preserve">as he found that increased pharmaceutical co-payments reduced the number of doctor visits. </w:t>
      </w:r>
      <w:r w:rsidR="001B5EE7" w:rsidRPr="0074326A">
        <w:rPr>
          <w:rFonts w:ascii="Arial" w:hAnsi="Arial" w:cs="Arial"/>
        </w:rPr>
        <w:t xml:space="preserve">As in our case, in Roemer </w:t>
      </w:r>
      <w:r w:rsidR="001B5EE7" w:rsidRPr="003B7AC9">
        <w:rPr>
          <w:rFonts w:ascii="Arial" w:hAnsi="Arial" w:cs="Arial"/>
          <w:iCs/>
        </w:rPr>
        <w:t>et al.</w:t>
      </w:r>
      <w:r w:rsidR="001B5EE7" w:rsidRPr="0074326A">
        <w:rPr>
          <w:rFonts w:ascii="Arial" w:hAnsi="Arial" w:cs="Arial"/>
        </w:rPr>
        <w:t xml:space="preserve"> </w:t>
      </w:r>
      <w:r w:rsidR="003B7AC9">
        <w:rPr>
          <w:rFonts w:ascii="Arial" w:hAnsi="Arial" w:cs="Arial"/>
        </w:rPr>
        <w:t>[20]</w:t>
      </w:r>
      <w:r w:rsidR="000F616A" w:rsidRPr="0074326A">
        <w:rPr>
          <w:rFonts w:ascii="Arial" w:hAnsi="Arial" w:cs="Arial"/>
        </w:rPr>
        <w:t xml:space="preserve"> </w:t>
      </w:r>
      <w:r w:rsidR="001B5EE7" w:rsidRPr="0074326A">
        <w:rPr>
          <w:rFonts w:ascii="Arial" w:hAnsi="Arial" w:cs="Arial"/>
        </w:rPr>
        <w:t xml:space="preserve">only short-term effects could be observed. According to </w:t>
      </w:r>
      <w:proofErr w:type="spellStart"/>
      <w:r w:rsidR="001B5EE7" w:rsidRPr="0074326A">
        <w:rPr>
          <w:rFonts w:ascii="Arial" w:hAnsi="Arial" w:cs="Arial"/>
        </w:rPr>
        <w:t>Schreyoegg</w:t>
      </w:r>
      <w:proofErr w:type="spellEnd"/>
      <w:r w:rsidR="001B5EE7" w:rsidRPr="0074326A">
        <w:rPr>
          <w:rFonts w:ascii="Arial" w:hAnsi="Arial" w:cs="Arial"/>
        </w:rPr>
        <w:t xml:space="preserve"> and </w:t>
      </w:r>
      <w:proofErr w:type="spellStart"/>
      <w:r w:rsidR="001B5EE7" w:rsidRPr="0074326A">
        <w:rPr>
          <w:rFonts w:ascii="Arial" w:hAnsi="Arial" w:cs="Arial"/>
        </w:rPr>
        <w:t>Grabka</w:t>
      </w:r>
      <w:proofErr w:type="spellEnd"/>
      <w:r w:rsidR="003B7AC9">
        <w:rPr>
          <w:rFonts w:ascii="Arial" w:hAnsi="Arial" w:cs="Arial"/>
        </w:rPr>
        <w:t xml:space="preserve"> [26]</w:t>
      </w:r>
      <w:r w:rsidR="001B5EE7" w:rsidRPr="0074326A">
        <w:rPr>
          <w:rFonts w:ascii="Arial" w:hAnsi="Arial" w:cs="Arial"/>
        </w:rPr>
        <w:t xml:space="preserve">, imposing user charges of approximately USD$1 for the first two doctor’s visits initially reduced the demand for physician’s services, but over the long-term led to levels higher than those observed in the control group, thus offsetting any savings. Likewise, </w:t>
      </w:r>
      <w:proofErr w:type="spellStart"/>
      <w:r w:rsidR="001B5EE7" w:rsidRPr="0074326A">
        <w:rPr>
          <w:rFonts w:ascii="Arial" w:hAnsi="Arial" w:cs="Arial"/>
        </w:rPr>
        <w:t>Scitovsky</w:t>
      </w:r>
      <w:proofErr w:type="spellEnd"/>
      <w:r w:rsidR="001B5EE7" w:rsidRPr="0074326A">
        <w:rPr>
          <w:rFonts w:ascii="Arial" w:hAnsi="Arial" w:cs="Arial"/>
        </w:rPr>
        <w:t xml:space="preserve"> and McCall</w:t>
      </w:r>
      <w:r w:rsidR="000F616A" w:rsidRPr="0074326A">
        <w:rPr>
          <w:rFonts w:ascii="Arial" w:hAnsi="Arial" w:cs="Arial"/>
          <w:vertAlign w:val="superscript"/>
        </w:rPr>
        <w:t xml:space="preserve"> </w:t>
      </w:r>
      <w:r w:rsidR="003B7AC9">
        <w:rPr>
          <w:rFonts w:ascii="Arial" w:hAnsi="Arial" w:cs="Arial"/>
        </w:rPr>
        <w:t>[27]</w:t>
      </w:r>
      <w:r w:rsidR="001B5EE7" w:rsidRPr="0074326A">
        <w:rPr>
          <w:rFonts w:ascii="Arial" w:hAnsi="Arial" w:cs="Arial"/>
        </w:rPr>
        <w:t xml:space="preserve"> also found that the reduction in visits to a physician (as a consequence of the introduction of a coinsurance provision) was potentially a transitory effect that would diminish over time. </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We believe that the most significant reductions from October 2012 were a consequence of the policies of the Spanish Government which were almost simultaneously implemented</w:t>
      </w:r>
      <w:r w:rsidR="006D7168" w:rsidRPr="0074326A">
        <w:rPr>
          <w:rFonts w:ascii="Arial" w:hAnsi="Arial" w:cs="Arial"/>
          <w:vertAlign w:val="superscript"/>
        </w:rPr>
        <w:t xml:space="preserve"> </w:t>
      </w:r>
      <w:r w:rsidR="006D7168" w:rsidRPr="0074326A">
        <w:rPr>
          <w:rFonts w:ascii="Arial" w:hAnsi="Arial" w:cs="Arial"/>
        </w:rPr>
        <w:t>(</w:t>
      </w:r>
      <w:r w:rsidR="006D7168" w:rsidRPr="0074326A">
        <w:rPr>
          <w:rFonts w:ascii="Arial"/>
          <w:iCs/>
        </w:rPr>
        <w:t>Royal Decree-Law 16/2012,</w:t>
      </w:r>
      <w:r w:rsidR="003B7AC9">
        <w:rPr>
          <w:rFonts w:ascii="Arial"/>
          <w:iCs/>
        </w:rPr>
        <w:t xml:space="preserve"> [21]</w:t>
      </w:r>
      <w:r w:rsidR="006D7168" w:rsidRPr="0074326A">
        <w:rPr>
          <w:rFonts w:ascii="Arial"/>
          <w:iCs/>
        </w:rPr>
        <w:t xml:space="preserve"> of 20 April)</w:t>
      </w:r>
      <w:r w:rsidRPr="0074326A">
        <w:rPr>
          <w:rFonts w:ascii="Arial" w:hAnsi="Arial" w:cs="Arial"/>
        </w:rPr>
        <w:t xml:space="preserve">, in particular those pertinent to pharmaceutical </w:t>
      </w:r>
      <w:proofErr w:type="spellStart"/>
      <w:r w:rsidRPr="0074326A">
        <w:rPr>
          <w:rFonts w:ascii="Arial" w:hAnsi="Arial" w:cs="Arial"/>
        </w:rPr>
        <w:t>copayment</w:t>
      </w:r>
      <w:proofErr w:type="spellEnd"/>
      <w:r w:rsidRPr="0074326A">
        <w:rPr>
          <w:rFonts w:ascii="Arial" w:hAnsi="Arial" w:cs="Arial"/>
        </w:rPr>
        <w:t xml:space="preserve">, and which came into force for pensioners (individuals 65 years or over) in September 2012 (NB: This was later than for the rest of the population who had begun paying in July 2012). Pensioners, who previously paid no medication fees (except for civil servant retirees) had to pay 10% of the cost of their medication, with ceilings set at €8.00  per month for those with earnings less than €18,000per year, €18 per month for those with earnings between €18,000 and €100,000, and €60 per month for those with earnings more than €100,000per year. </w:t>
      </w:r>
    </w:p>
    <w:p w:rsidR="001B5EE7" w:rsidRPr="0074326A" w:rsidRDefault="001B5EE7" w:rsidP="001B5EE7">
      <w:pPr>
        <w:spacing w:line="360" w:lineRule="auto"/>
        <w:jc w:val="both"/>
        <w:rPr>
          <w:rFonts w:ascii="Arial" w:hAnsi="Arial" w:cs="Arial"/>
        </w:rPr>
      </w:pPr>
    </w:p>
    <w:p w:rsidR="004568E6" w:rsidRPr="0074326A" w:rsidRDefault="001B5EE7" w:rsidP="00E74072">
      <w:pPr>
        <w:spacing w:line="360" w:lineRule="auto"/>
        <w:jc w:val="both"/>
        <w:rPr>
          <w:rFonts w:ascii="Arial" w:hAnsi="Arial" w:cs="Arial"/>
        </w:rPr>
      </w:pPr>
      <w:r w:rsidRPr="0074326A">
        <w:rPr>
          <w:rFonts w:ascii="Arial" w:hAnsi="Arial" w:cs="Arial"/>
        </w:rPr>
        <w:t>In fact, according to figures from the Catalan Government thanks to the application of the ‘</w:t>
      </w:r>
      <w:r w:rsidR="00F80786" w:rsidRPr="0074326A">
        <w:rPr>
          <w:rFonts w:ascii="Arial" w:hAnsi="Arial" w:cs="Arial"/>
        </w:rPr>
        <w:t>E</w:t>
      </w:r>
      <w:r w:rsidRPr="0074326A">
        <w:rPr>
          <w:rFonts w:ascii="Arial" w:hAnsi="Arial" w:cs="Arial"/>
        </w:rPr>
        <w:t xml:space="preserve">uro per </w:t>
      </w:r>
      <w:r w:rsidR="00F80786" w:rsidRPr="0074326A">
        <w:rPr>
          <w:rFonts w:ascii="Arial" w:hAnsi="Arial" w:cs="Arial"/>
        </w:rPr>
        <w:t>P</w:t>
      </w:r>
      <w:r w:rsidRPr="0074326A">
        <w:rPr>
          <w:rFonts w:ascii="Arial" w:hAnsi="Arial" w:cs="Arial"/>
        </w:rPr>
        <w:t xml:space="preserve">rescription’ in just six months the Government had earned EUR 45.7m and reduced expenditure on drugs by 5.9%. </w:t>
      </w:r>
      <w:r w:rsidR="00700D86" w:rsidRPr="0074326A">
        <w:rPr>
          <w:rFonts w:ascii="Arial" w:hAnsi="Arial" w:cs="Arial"/>
        </w:rPr>
        <w:t xml:space="preserve">More in detail, </w:t>
      </w:r>
      <w:r w:rsidR="004568E6" w:rsidRPr="0074326A">
        <w:rPr>
          <w:rFonts w:ascii="Arial" w:hAnsi="Arial" w:cs="Arial"/>
        </w:rPr>
        <w:t xml:space="preserve">while during </w:t>
      </w:r>
      <w:r w:rsidR="00700D86" w:rsidRPr="0074326A">
        <w:rPr>
          <w:rFonts w:ascii="Arial" w:hAnsi="Arial" w:cs="Arial"/>
        </w:rPr>
        <w:t>the two months before the</w:t>
      </w:r>
      <w:r w:rsidR="00C501C1" w:rsidRPr="0074326A">
        <w:rPr>
          <w:rFonts w:ascii="Arial" w:hAnsi="Arial" w:cs="Arial"/>
        </w:rPr>
        <w:t xml:space="preserve"> policy</w:t>
      </w:r>
      <w:r w:rsidR="00700D86" w:rsidRPr="0074326A">
        <w:rPr>
          <w:rFonts w:ascii="Arial" w:hAnsi="Arial" w:cs="Arial"/>
        </w:rPr>
        <w:t xml:space="preserve"> implementation there </w:t>
      </w:r>
      <w:r w:rsidR="004568E6" w:rsidRPr="0074326A">
        <w:rPr>
          <w:rFonts w:ascii="Arial" w:hAnsi="Arial" w:cs="Arial"/>
        </w:rPr>
        <w:t>was</w:t>
      </w:r>
      <w:r w:rsidR="00700D86" w:rsidRPr="0074326A">
        <w:rPr>
          <w:rFonts w:ascii="Arial" w:hAnsi="Arial" w:cs="Arial"/>
        </w:rPr>
        <w:t xml:space="preserve"> a</w:t>
      </w:r>
      <w:r w:rsidR="004568E6" w:rsidRPr="0074326A">
        <w:rPr>
          <w:rFonts w:ascii="Arial" w:hAnsi="Arial" w:cs="Arial"/>
        </w:rPr>
        <w:t xml:space="preserve"> monthly</w:t>
      </w:r>
      <w:r w:rsidR="00700D86" w:rsidRPr="0074326A">
        <w:rPr>
          <w:rFonts w:ascii="Arial" w:hAnsi="Arial" w:cs="Arial"/>
        </w:rPr>
        <w:t xml:space="preserve"> increase of 7.79€ </w:t>
      </w:r>
      <w:r w:rsidR="004568E6" w:rsidRPr="0074326A">
        <w:rPr>
          <w:rFonts w:ascii="Arial" w:hAnsi="Arial" w:cs="Arial"/>
        </w:rPr>
        <w:t>daily doses, once the policy was introduced there was a significant monthly reduction of 7.54</w:t>
      </w:r>
      <w:r w:rsidR="00C501C1" w:rsidRPr="0074326A">
        <w:rPr>
          <w:rFonts w:ascii="Arial" w:hAnsi="Arial" w:cs="Arial"/>
        </w:rPr>
        <w:t>€</w:t>
      </w:r>
      <w:r w:rsidR="004568E6" w:rsidRPr="0074326A">
        <w:rPr>
          <w:rFonts w:ascii="Arial" w:hAnsi="Arial" w:cs="Arial"/>
        </w:rPr>
        <w:t xml:space="preserve"> daily doses</w:t>
      </w:r>
      <w:r w:rsidR="00C501C1" w:rsidRPr="0074326A">
        <w:rPr>
          <w:rFonts w:ascii="Arial" w:hAnsi="Arial" w:cs="Arial"/>
        </w:rPr>
        <w:t xml:space="preserve"> for the 7 months that was in place</w:t>
      </w:r>
      <w:r w:rsidR="003B7AC9">
        <w:rPr>
          <w:rFonts w:ascii="Arial" w:hAnsi="Arial" w:cs="Arial"/>
        </w:rPr>
        <w:t xml:space="preserve"> [16]. </w:t>
      </w:r>
    </w:p>
    <w:p w:rsidR="00700D86" w:rsidRPr="0074326A" w:rsidRDefault="00700D86" w:rsidP="00E74072">
      <w:pPr>
        <w:spacing w:line="360" w:lineRule="auto"/>
        <w:jc w:val="both"/>
        <w:rPr>
          <w:rFonts w:ascii="Arial" w:hAnsi="Arial" w:cs="Arial"/>
        </w:rPr>
      </w:pPr>
      <w:r w:rsidRPr="0074326A">
        <w:rPr>
          <w:rFonts w:ascii="Arial" w:hAnsi="Arial" w:cs="Arial"/>
        </w:rPr>
        <w:t xml:space="preserve"> </w:t>
      </w:r>
    </w:p>
    <w:p w:rsidR="001B5EE7" w:rsidRPr="0074326A" w:rsidRDefault="001B5EE7" w:rsidP="004568E6">
      <w:pPr>
        <w:spacing w:line="360" w:lineRule="auto"/>
        <w:jc w:val="both"/>
        <w:rPr>
          <w:rFonts w:ascii="Arial" w:hAnsi="Arial" w:cs="Arial"/>
        </w:rPr>
      </w:pPr>
      <w:r w:rsidRPr="0074326A">
        <w:rPr>
          <w:rFonts w:ascii="Arial" w:hAnsi="Arial" w:cs="Arial"/>
        </w:rPr>
        <w:lastRenderedPageBreak/>
        <w:t>However, official data from the Government of Spain’s Ministry of Health show that Catalonia’s decrease in pharmaceutical expenditure was in fact less than other communities despite the</w:t>
      </w:r>
      <w:r w:rsidR="006D7168" w:rsidRPr="0074326A">
        <w:rPr>
          <w:rFonts w:ascii="Arial" w:hAnsi="Arial" w:cs="Arial"/>
        </w:rPr>
        <w:t xml:space="preserve"> supposed moderating effect of </w:t>
      </w:r>
      <w:r w:rsidRPr="0074326A">
        <w:rPr>
          <w:rFonts w:ascii="Arial" w:hAnsi="Arial" w:cs="Arial"/>
        </w:rPr>
        <w:t>the ‘</w:t>
      </w:r>
      <w:r w:rsidR="00F80786" w:rsidRPr="0074326A">
        <w:rPr>
          <w:rFonts w:ascii="Arial" w:hAnsi="Arial" w:cs="Arial"/>
        </w:rPr>
        <w:t>E</w:t>
      </w:r>
      <w:r w:rsidRPr="0074326A">
        <w:rPr>
          <w:rFonts w:ascii="Arial" w:hAnsi="Arial" w:cs="Arial"/>
        </w:rPr>
        <w:t xml:space="preserve">uro per </w:t>
      </w:r>
      <w:r w:rsidR="00F80786" w:rsidRPr="0074326A">
        <w:rPr>
          <w:rFonts w:ascii="Arial" w:hAnsi="Arial" w:cs="Arial"/>
        </w:rPr>
        <w:t>P</w:t>
      </w:r>
      <w:r w:rsidRPr="0074326A">
        <w:rPr>
          <w:rFonts w:ascii="Arial" w:hAnsi="Arial" w:cs="Arial"/>
        </w:rPr>
        <w:t xml:space="preserve">rescription’. </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Catalonia managed to save 23.82% but only ranked fifth in savings after the communities of Galicia, Murcia, Madrid and Castilla-La Mancha (in that order). The Spanish Ministry of Health believes that the widespread savings (21.6% on average) were due to domestic action and policies and that the Catalan measure not only had no impact but created 'inequality' between regions. In fact, the order from the Constitutional Court to temporarily suspend the '</w:t>
      </w:r>
      <w:r w:rsidR="00F80786" w:rsidRPr="0074326A">
        <w:rPr>
          <w:rFonts w:ascii="Arial" w:hAnsi="Arial" w:cs="Arial"/>
        </w:rPr>
        <w:t>E</w:t>
      </w:r>
      <w:r w:rsidRPr="0074326A">
        <w:rPr>
          <w:rFonts w:ascii="Arial" w:hAnsi="Arial" w:cs="Arial"/>
        </w:rPr>
        <w:t xml:space="preserve">uro per </w:t>
      </w:r>
      <w:r w:rsidR="00F80786" w:rsidRPr="0074326A">
        <w:rPr>
          <w:rFonts w:ascii="Arial" w:hAnsi="Arial" w:cs="Arial"/>
        </w:rPr>
        <w:t>P</w:t>
      </w:r>
      <w:r w:rsidRPr="0074326A">
        <w:rPr>
          <w:rFonts w:ascii="Arial" w:hAnsi="Arial" w:cs="Arial"/>
        </w:rPr>
        <w:t>rescription' argued that 'by adding the euro contribution to the national sales price of medicine in Spain, a citizen resident in Catalonia would be exceeded out cheaper to buy it without prescription'.</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It is worth noting that the other significant policy, which came into force in April 2012, was the exclusion of the provision of those drugs indicated for the treatment of minor symptoms which included mucolytics, antitussives, decongestants, antidiarrheal drugs and artificial tears and that the introduction of this measure coincides in time with the most significant decrease observed in April 2012 in both cohorts.</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In our case, it seems that we have found a deterrent effect among vulnerable individuals, those with the highest probability of being unemployed and/or those individuals suffering chronic conditions. </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Between 1968 and 1971, the Province of Saskatchewan, Canada, imposed user charges of approximately 33% for members of a universal public medical care and hospital insurance program. Although this reduced the number of doctor visits, Beck and Horne</w:t>
      </w:r>
      <w:r w:rsidR="006D7168" w:rsidRPr="0074326A">
        <w:rPr>
          <w:rFonts w:ascii="Arial" w:hAnsi="Arial" w:cs="Arial"/>
          <w:vertAlign w:val="superscript"/>
        </w:rPr>
        <w:t xml:space="preserve"> </w:t>
      </w:r>
      <w:r w:rsidR="003B7AC9">
        <w:rPr>
          <w:rFonts w:ascii="Arial" w:hAnsi="Arial" w:cs="Arial"/>
        </w:rPr>
        <w:t xml:space="preserve">[2] </w:t>
      </w:r>
      <w:r w:rsidRPr="0074326A">
        <w:rPr>
          <w:rFonts w:ascii="Arial" w:hAnsi="Arial" w:cs="Arial"/>
        </w:rPr>
        <w:t>point out that it was primarily the elderly and low-income individuals who were affected.</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Taking into account it was a randomized controlled trial, in a Swedish study </w:t>
      </w:r>
      <w:proofErr w:type="spellStart"/>
      <w:r w:rsidRPr="0074326A">
        <w:rPr>
          <w:rFonts w:ascii="Arial" w:hAnsi="Arial" w:cs="Arial"/>
        </w:rPr>
        <w:t>Elofsson</w:t>
      </w:r>
      <w:proofErr w:type="spellEnd"/>
      <w:r w:rsidRPr="0074326A">
        <w:rPr>
          <w:rFonts w:ascii="Arial" w:hAnsi="Arial" w:cs="Arial"/>
        </w:rPr>
        <w:t xml:space="preserve"> </w:t>
      </w:r>
      <w:r w:rsidRPr="003B7AC9">
        <w:rPr>
          <w:rFonts w:ascii="Arial" w:hAnsi="Arial" w:cs="Arial"/>
          <w:iCs/>
        </w:rPr>
        <w:t>et al.</w:t>
      </w:r>
      <w:r w:rsidR="006D7168" w:rsidRPr="0074326A">
        <w:rPr>
          <w:rFonts w:ascii="Arial" w:hAnsi="Arial" w:cs="Arial"/>
          <w:vertAlign w:val="superscript"/>
        </w:rPr>
        <w:t xml:space="preserve"> </w:t>
      </w:r>
      <w:r w:rsidR="003B7AC9">
        <w:rPr>
          <w:rFonts w:ascii="Arial" w:hAnsi="Arial" w:cs="Arial"/>
        </w:rPr>
        <w:t>[5]</w:t>
      </w:r>
      <w:r w:rsidRPr="0074326A">
        <w:rPr>
          <w:rFonts w:ascii="Arial" w:hAnsi="Arial" w:cs="Arial"/>
        </w:rPr>
        <w:t xml:space="preserve"> found that for those who assessed their financial situation to be </w:t>
      </w:r>
      <w:r w:rsidRPr="0074326A">
        <w:rPr>
          <w:rFonts w:ascii="Arial" w:hAnsi="Arial" w:cs="Arial"/>
        </w:rPr>
        <w:lastRenderedPageBreak/>
        <w:t xml:space="preserve">poor, the probability of foregoing care was 10 times greater than among those who assessed their financial situation to be fair or good. However, among women avoiding physician visits was also associated with chronic disease. </w:t>
      </w:r>
    </w:p>
    <w:p w:rsidR="00775618" w:rsidRPr="0074326A" w:rsidRDefault="00775618" w:rsidP="001B5EE7">
      <w:pPr>
        <w:spacing w:line="360" w:lineRule="auto"/>
        <w:jc w:val="both"/>
        <w:rPr>
          <w:rFonts w:ascii="Arial" w:hAnsi="Arial" w:cs="Arial"/>
        </w:rPr>
      </w:pPr>
    </w:p>
    <w:p w:rsidR="00775618" w:rsidRPr="0074326A" w:rsidRDefault="00775618" w:rsidP="001B5EE7">
      <w:pPr>
        <w:spacing w:line="360" w:lineRule="auto"/>
        <w:jc w:val="both"/>
        <w:rPr>
          <w:rFonts w:ascii="Arial" w:hAnsi="Arial" w:cs="Arial"/>
          <w:color w:val="000000" w:themeColor="text1"/>
        </w:rPr>
      </w:pPr>
      <w:r w:rsidRPr="0074326A">
        <w:rPr>
          <w:rFonts w:ascii="Arial" w:hAnsi="Arial" w:cs="Arial"/>
        </w:rPr>
        <w:t xml:space="preserve">This paper could have several limitations. First, </w:t>
      </w:r>
      <w:r w:rsidR="000A1683" w:rsidRPr="0074326A">
        <w:rPr>
          <w:rFonts w:ascii="Arial" w:hAnsi="Arial" w:cs="Arial"/>
        </w:rPr>
        <w:t>as explained above, s</w:t>
      </w:r>
      <w:r w:rsidR="000A1683" w:rsidRPr="0074326A">
        <w:rPr>
          <w:rFonts w:ascii="Arial" w:hAnsi="Arial" w:cs="Arial"/>
          <w:color w:val="000000" w:themeColor="text1"/>
        </w:rPr>
        <w:t xml:space="preserve">everal political measures coincide over time, so it is difficult to attribute the effects we have found to only one of them. However, we believe that by allowing the time effect to vary by year-month, it allowed us to identify in which month the measures took effect. This could make it possible to attribute the effect to those policies that are temporarily closest to it. </w:t>
      </w:r>
    </w:p>
    <w:p w:rsidR="00462D64" w:rsidRPr="0074326A" w:rsidRDefault="00462D64" w:rsidP="001B5EE7">
      <w:pPr>
        <w:spacing w:line="360" w:lineRule="auto"/>
        <w:jc w:val="both"/>
        <w:rPr>
          <w:rFonts w:ascii="Arial" w:hAnsi="Arial" w:cs="Arial"/>
        </w:rPr>
      </w:pPr>
    </w:p>
    <w:p w:rsidR="00942A9D" w:rsidRPr="0074326A" w:rsidRDefault="001A0D84" w:rsidP="00942A9D">
      <w:pPr>
        <w:spacing w:line="360" w:lineRule="auto"/>
        <w:jc w:val="both"/>
        <w:rPr>
          <w:rFonts w:ascii="Arial" w:hAnsi="Arial" w:cs="Arial"/>
        </w:rPr>
      </w:pPr>
      <w:r w:rsidRPr="0074326A">
        <w:rPr>
          <w:rFonts w:ascii="Arial" w:hAnsi="Arial" w:cs="Arial"/>
        </w:rPr>
        <w:t>A second limitation was a threat of selection bias. Some individuals could have a higher probability of having used primary health care, implying that the potential result, 'contact registration', was overrepresented in the sample observed</w:t>
      </w:r>
      <w:r w:rsidR="003B7AC9">
        <w:rPr>
          <w:rFonts w:ascii="Arial" w:hAnsi="Arial" w:cs="Arial"/>
        </w:rPr>
        <w:t xml:space="preserve"> [24]</w:t>
      </w:r>
      <w:r w:rsidRPr="0074326A">
        <w:rPr>
          <w:rFonts w:ascii="Arial" w:hAnsi="Arial" w:cs="Arial"/>
        </w:rPr>
        <w:t xml:space="preserve">. However, in the first three years of the follow-up of the cohort, 78.33% of the assigned adult population (15 years and older), had contact with primary care services managed by the IAS, and throughout the entire follow-up (2005-2012) 94.41% of the population had contact with these services. In addition, in fact, the Hurdle model we have used already corrects this possible selection bias (see </w:t>
      </w:r>
      <w:r w:rsidR="003B7AC9">
        <w:rPr>
          <w:rFonts w:ascii="Arial" w:hAnsi="Arial" w:cs="Arial"/>
        </w:rPr>
        <w:t>[24]</w:t>
      </w:r>
      <w:r w:rsidRPr="0074326A">
        <w:rPr>
          <w:rFonts w:ascii="Arial" w:hAnsi="Arial" w:cs="Arial"/>
        </w:rPr>
        <w:t xml:space="preserve"> for details).</w:t>
      </w:r>
    </w:p>
    <w:p w:rsidR="00942A9D" w:rsidRPr="0074326A" w:rsidRDefault="00942A9D" w:rsidP="00942A9D">
      <w:pPr>
        <w:spacing w:line="360" w:lineRule="auto"/>
        <w:jc w:val="both"/>
        <w:rPr>
          <w:rFonts w:ascii="Arial" w:hAnsi="Arial" w:cs="Arial"/>
        </w:rPr>
      </w:pPr>
    </w:p>
    <w:p w:rsidR="00942A9D" w:rsidRPr="0074326A" w:rsidRDefault="00942A9D" w:rsidP="00942A9D">
      <w:pPr>
        <w:spacing w:line="360" w:lineRule="auto"/>
        <w:jc w:val="both"/>
        <w:rPr>
          <w:rFonts w:ascii="Arial" w:hAnsi="Arial" w:cs="Arial"/>
        </w:rPr>
      </w:pPr>
      <w:r w:rsidRPr="0074326A">
        <w:rPr>
          <w:rFonts w:ascii="Arial" w:hAnsi="Arial" w:cs="Arial"/>
          <w:bCs/>
        </w:rPr>
        <w:t>A third limitation is related to data availability. The study is performed on a region of Girona province as, at that time, it was the only population-based cohort (i.e. constituted by the entire population) that existed in Catalonia. Moreover, post-policy data was not available as the cohort was closed in 2012. The IAS was absorbed by another health provider (the ICS) and the database feed was discontinued.</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b/>
        </w:rPr>
      </w:pPr>
      <w:r w:rsidRPr="0074326A">
        <w:rPr>
          <w:rFonts w:ascii="Arial" w:hAnsi="Arial" w:cs="Arial"/>
        </w:rPr>
        <w:br w:type="page"/>
      </w:r>
      <w:r w:rsidRPr="0074326A">
        <w:rPr>
          <w:rFonts w:ascii="Arial" w:hAnsi="Arial" w:cs="Arial"/>
          <w:b/>
        </w:rPr>
        <w:lastRenderedPageBreak/>
        <w:t>Conflicts of Interest</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There are no conflicts of interest for any of the authors. All authors freely disclose any actual or potential conflict of interest including any financial, personal or other relationships with other people or organizations within three years of beginning the submitted work that could inappropriately influence, or be perceived to influence, their work.</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b/>
        </w:rPr>
      </w:pPr>
      <w:r w:rsidRPr="0074326A">
        <w:rPr>
          <w:rFonts w:ascii="Arial" w:hAnsi="Arial" w:cs="Arial"/>
          <w:b/>
        </w:rPr>
        <w:t>Acknowledgements</w:t>
      </w:r>
    </w:p>
    <w:p w:rsidR="001B5EE7" w:rsidRPr="0074326A" w:rsidRDefault="001B5EE7" w:rsidP="001B5EE7">
      <w:pPr>
        <w:spacing w:line="360" w:lineRule="auto"/>
        <w:jc w:val="both"/>
        <w:rPr>
          <w:rFonts w:ascii="Arial" w:hAnsi="Arial" w:cs="Arial"/>
        </w:rPr>
      </w:pPr>
    </w:p>
    <w:p w:rsidR="001B5EE7" w:rsidRPr="0074326A" w:rsidRDefault="001B5EE7" w:rsidP="001B5EE7">
      <w:pPr>
        <w:spacing w:line="360" w:lineRule="auto"/>
        <w:jc w:val="both"/>
        <w:rPr>
          <w:rFonts w:ascii="Arial" w:hAnsi="Arial" w:cs="Arial"/>
        </w:rPr>
      </w:pPr>
      <w:r w:rsidRPr="0074326A">
        <w:rPr>
          <w:rFonts w:ascii="Arial" w:hAnsi="Arial" w:cs="Arial"/>
        </w:rPr>
        <w:t xml:space="preserve">The authors would like to thank </w:t>
      </w:r>
      <w:proofErr w:type="spellStart"/>
      <w:r w:rsidRPr="0074326A">
        <w:rPr>
          <w:rFonts w:ascii="Arial" w:hAnsi="Arial" w:cs="Arial"/>
        </w:rPr>
        <w:t>Josep</w:t>
      </w:r>
      <w:proofErr w:type="spellEnd"/>
      <w:r w:rsidRPr="0074326A">
        <w:rPr>
          <w:rFonts w:ascii="Arial" w:hAnsi="Arial" w:cs="Arial"/>
        </w:rPr>
        <w:t xml:space="preserve"> Maria Roca (Computing Service, IAS) for providing the IAS data; and Anna </w:t>
      </w:r>
      <w:proofErr w:type="spellStart"/>
      <w:r w:rsidRPr="0074326A">
        <w:rPr>
          <w:rFonts w:ascii="Arial" w:hAnsi="Arial" w:cs="Arial"/>
        </w:rPr>
        <w:t>Mompart</w:t>
      </w:r>
      <w:proofErr w:type="spellEnd"/>
      <w:r w:rsidRPr="0074326A">
        <w:rPr>
          <w:rFonts w:ascii="Arial" w:hAnsi="Arial" w:cs="Arial"/>
        </w:rPr>
        <w:t>, of the ‘</w:t>
      </w:r>
      <w:proofErr w:type="spellStart"/>
      <w:r w:rsidRPr="0074326A">
        <w:rPr>
          <w:rFonts w:ascii="Arial" w:hAnsi="Arial" w:cs="Arial"/>
        </w:rPr>
        <w:t>Servei</w:t>
      </w:r>
      <w:proofErr w:type="spellEnd"/>
      <w:r w:rsidRPr="0074326A">
        <w:rPr>
          <w:rFonts w:ascii="Arial" w:hAnsi="Arial" w:cs="Arial"/>
        </w:rPr>
        <w:t xml:space="preserve"> del </w:t>
      </w:r>
      <w:proofErr w:type="spellStart"/>
      <w:r w:rsidRPr="0074326A">
        <w:rPr>
          <w:rFonts w:ascii="Arial" w:hAnsi="Arial" w:cs="Arial"/>
        </w:rPr>
        <w:t>Pla</w:t>
      </w:r>
      <w:proofErr w:type="spellEnd"/>
      <w:r w:rsidRPr="0074326A">
        <w:rPr>
          <w:rFonts w:ascii="Arial" w:hAnsi="Arial" w:cs="Arial"/>
        </w:rPr>
        <w:t xml:space="preserve"> de Salut’, ‘</w:t>
      </w:r>
      <w:proofErr w:type="spellStart"/>
      <w:r w:rsidRPr="0074326A">
        <w:rPr>
          <w:rFonts w:ascii="Arial" w:hAnsi="Arial" w:cs="Arial"/>
        </w:rPr>
        <w:t>Subdirecci</w:t>
      </w:r>
      <w:r w:rsidRPr="0074326A">
        <w:rPr>
          <w:rFonts w:ascii="Arial" w:hAnsi="Arial" w:cs="Arial" w:hint="eastAsia"/>
        </w:rPr>
        <w:t>ó</w:t>
      </w:r>
      <w:proofErr w:type="spellEnd"/>
      <w:r w:rsidRPr="0074326A">
        <w:rPr>
          <w:rFonts w:ascii="Arial" w:hAnsi="Arial" w:cs="Arial"/>
        </w:rPr>
        <w:t xml:space="preserve"> General de </w:t>
      </w:r>
      <w:proofErr w:type="spellStart"/>
      <w:r w:rsidRPr="0074326A">
        <w:rPr>
          <w:rFonts w:ascii="Arial" w:hAnsi="Arial" w:cs="Arial"/>
        </w:rPr>
        <w:t>Planificaci</w:t>
      </w:r>
      <w:r w:rsidRPr="0074326A">
        <w:rPr>
          <w:rFonts w:ascii="Arial" w:hAnsi="Arial" w:cs="Arial" w:hint="eastAsia"/>
        </w:rPr>
        <w:t>ó</w:t>
      </w:r>
      <w:proofErr w:type="spellEnd"/>
      <w:r w:rsidRPr="0074326A">
        <w:rPr>
          <w:rFonts w:ascii="Arial" w:hAnsi="Arial" w:cs="Arial"/>
        </w:rPr>
        <w:t xml:space="preserve"> </w:t>
      </w:r>
      <w:proofErr w:type="spellStart"/>
      <w:r w:rsidRPr="0074326A">
        <w:rPr>
          <w:rFonts w:ascii="Arial" w:hAnsi="Arial" w:cs="Arial"/>
        </w:rPr>
        <w:t>Sanit</w:t>
      </w:r>
      <w:r w:rsidRPr="0074326A">
        <w:rPr>
          <w:rFonts w:ascii="Arial" w:hAnsi="Arial" w:cs="Arial" w:hint="eastAsia"/>
        </w:rPr>
        <w:t>à</w:t>
      </w:r>
      <w:r w:rsidRPr="0074326A">
        <w:rPr>
          <w:rFonts w:ascii="Arial" w:hAnsi="Arial" w:cs="Arial"/>
        </w:rPr>
        <w:t>ria</w:t>
      </w:r>
      <w:proofErr w:type="spellEnd"/>
      <w:r w:rsidRPr="0074326A">
        <w:rPr>
          <w:rFonts w:ascii="Arial" w:hAnsi="Arial" w:cs="Arial"/>
        </w:rPr>
        <w:t>’, ‘</w:t>
      </w:r>
      <w:proofErr w:type="spellStart"/>
      <w:r w:rsidRPr="0074326A">
        <w:rPr>
          <w:rFonts w:ascii="Arial" w:hAnsi="Arial" w:cs="Arial"/>
        </w:rPr>
        <w:t>Direcci</w:t>
      </w:r>
      <w:r w:rsidRPr="0074326A">
        <w:rPr>
          <w:rFonts w:ascii="Arial" w:hAnsi="Arial" w:cs="Arial" w:hint="eastAsia"/>
        </w:rPr>
        <w:t>ó</w:t>
      </w:r>
      <w:proofErr w:type="spellEnd"/>
      <w:r w:rsidRPr="0074326A">
        <w:rPr>
          <w:rFonts w:ascii="Arial" w:hAnsi="Arial" w:cs="Arial"/>
        </w:rPr>
        <w:t xml:space="preserve"> General de </w:t>
      </w:r>
      <w:proofErr w:type="spellStart"/>
      <w:r w:rsidRPr="0074326A">
        <w:rPr>
          <w:rFonts w:ascii="Arial" w:hAnsi="Arial" w:cs="Arial"/>
        </w:rPr>
        <w:t>Planificaci</w:t>
      </w:r>
      <w:r w:rsidRPr="0074326A">
        <w:rPr>
          <w:rFonts w:ascii="Arial" w:hAnsi="Arial" w:cs="Arial" w:hint="eastAsia"/>
        </w:rPr>
        <w:t>ó</w:t>
      </w:r>
      <w:proofErr w:type="spellEnd"/>
      <w:r w:rsidRPr="0074326A">
        <w:rPr>
          <w:rFonts w:ascii="Arial" w:hAnsi="Arial" w:cs="Arial"/>
        </w:rPr>
        <w:t xml:space="preserve"> i </w:t>
      </w:r>
      <w:proofErr w:type="spellStart"/>
      <w:r w:rsidRPr="0074326A">
        <w:rPr>
          <w:rFonts w:ascii="Arial" w:hAnsi="Arial" w:cs="Arial"/>
        </w:rPr>
        <w:t>Avaluaci</w:t>
      </w:r>
      <w:r w:rsidRPr="0074326A">
        <w:rPr>
          <w:rFonts w:ascii="Arial" w:hAnsi="Arial" w:cs="Arial" w:hint="eastAsia"/>
        </w:rPr>
        <w:t>ó</w:t>
      </w:r>
      <w:proofErr w:type="spellEnd"/>
      <w:r w:rsidRPr="0074326A">
        <w:rPr>
          <w:rFonts w:ascii="Arial" w:hAnsi="Arial" w:cs="Arial"/>
        </w:rPr>
        <w:t>’, ‘</w:t>
      </w:r>
      <w:proofErr w:type="spellStart"/>
      <w:r w:rsidRPr="0074326A">
        <w:rPr>
          <w:rFonts w:ascii="Arial" w:hAnsi="Arial" w:cs="Arial"/>
        </w:rPr>
        <w:t>Departament</w:t>
      </w:r>
      <w:proofErr w:type="spellEnd"/>
      <w:r w:rsidRPr="0074326A">
        <w:rPr>
          <w:rFonts w:ascii="Arial" w:hAnsi="Arial" w:cs="Arial"/>
        </w:rPr>
        <w:t xml:space="preserve"> de Salut’, ‘</w:t>
      </w:r>
      <w:proofErr w:type="spellStart"/>
      <w:r w:rsidRPr="0074326A">
        <w:rPr>
          <w:rFonts w:ascii="Arial" w:hAnsi="Arial" w:cs="Arial"/>
        </w:rPr>
        <w:t>Generalitat</w:t>
      </w:r>
      <w:proofErr w:type="spellEnd"/>
      <w:r w:rsidRPr="0074326A">
        <w:rPr>
          <w:rFonts w:ascii="Arial" w:hAnsi="Arial" w:cs="Arial"/>
        </w:rPr>
        <w:t xml:space="preserve"> de Catalunya’, for having facilitated the information of the Catalan Health Survey, ESCA 2006 and 2011. We appreciate the comments of the attendees at the XXXIII Conference on Health Economics (AES) 2013, June 18-21, 2013, in Santander, Spain and at the III Research Workshop on Policy Evaluation and Health Services, the </w:t>
      </w:r>
      <w:proofErr w:type="spellStart"/>
      <w:r w:rsidRPr="0074326A">
        <w:rPr>
          <w:rFonts w:ascii="Arial" w:hAnsi="Arial" w:cs="Arial"/>
        </w:rPr>
        <w:t>EvaluAES</w:t>
      </w:r>
      <w:proofErr w:type="spellEnd"/>
      <w:r w:rsidRPr="0074326A">
        <w:rPr>
          <w:rFonts w:ascii="Arial" w:hAnsi="Arial" w:cs="Arial"/>
        </w:rPr>
        <w:t xml:space="preserve"> Group, where a very preliminary version of this work was presented. We thank the comments of Ricard </w:t>
      </w:r>
      <w:proofErr w:type="spellStart"/>
      <w:r w:rsidRPr="0074326A">
        <w:rPr>
          <w:rFonts w:ascii="Arial" w:hAnsi="Arial" w:cs="Arial"/>
        </w:rPr>
        <w:t>Meneu</w:t>
      </w:r>
      <w:proofErr w:type="spellEnd"/>
      <w:r w:rsidRPr="0074326A">
        <w:rPr>
          <w:rFonts w:ascii="Arial" w:hAnsi="Arial" w:cs="Arial"/>
        </w:rPr>
        <w:t xml:space="preserve"> that undoubtedly helped us to improve our work.</w:t>
      </w:r>
      <w:r w:rsidR="000A1683" w:rsidRPr="0074326A">
        <w:rPr>
          <w:rFonts w:ascii="Arial" w:hAnsi="Arial" w:cs="Arial"/>
        </w:rPr>
        <w:t xml:space="preserve"> Finally, we would like to thank the comments of two anonymous reviewers of a previous version of this paper who, without doubt, helped us to improve our work.</w:t>
      </w:r>
    </w:p>
    <w:p w:rsidR="001B5EE7" w:rsidRPr="0074326A" w:rsidRDefault="001B5EE7" w:rsidP="001B5EE7">
      <w:pPr>
        <w:spacing w:after="300" w:line="360" w:lineRule="auto"/>
        <w:jc w:val="both"/>
      </w:pPr>
    </w:p>
    <w:p w:rsidR="001B5EE7" w:rsidRPr="0074326A" w:rsidRDefault="001B5EE7" w:rsidP="001B5EE7">
      <w:pPr>
        <w:spacing w:line="360" w:lineRule="auto"/>
        <w:jc w:val="both"/>
        <w:rPr>
          <w:rFonts w:ascii="Arial" w:hAnsi="Arial" w:cs="Arial"/>
          <w:b/>
          <w:bCs/>
          <w:lang w:val="es-ES"/>
        </w:rPr>
      </w:pPr>
      <w:r w:rsidRPr="000C0426">
        <w:rPr>
          <w:rFonts w:ascii="Arial" w:hAnsi="Arial" w:cs="Arial"/>
          <w:lang w:val="es-ES"/>
        </w:rPr>
        <w:br w:type="page"/>
      </w:r>
      <w:proofErr w:type="spellStart"/>
      <w:r w:rsidR="006E5667" w:rsidRPr="0074326A">
        <w:rPr>
          <w:rFonts w:ascii="Arial"/>
          <w:b/>
          <w:bCs/>
          <w:lang w:val="es-ES"/>
        </w:rPr>
        <w:lastRenderedPageBreak/>
        <w:t>R</w:t>
      </w:r>
      <w:r w:rsidRPr="0074326A">
        <w:rPr>
          <w:rFonts w:ascii="Arial"/>
          <w:b/>
          <w:bCs/>
          <w:lang w:val="es-ES"/>
        </w:rPr>
        <w:t>eferences</w:t>
      </w:r>
      <w:proofErr w:type="spellEnd"/>
    </w:p>
    <w:p w:rsidR="002748EB" w:rsidRPr="003B7AC9" w:rsidRDefault="002748EB" w:rsidP="003B7AC9">
      <w:pPr>
        <w:spacing w:line="360" w:lineRule="auto"/>
        <w:jc w:val="both"/>
        <w:rPr>
          <w:rStyle w:val="hps"/>
          <w:rFonts w:ascii="Arial" w:hAnsi="Arial" w:cs="Arial"/>
          <w:lang w:val="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lang w:eastAsia="es-ES"/>
        </w:rPr>
        <w:t xml:space="preserve">Aznar-Lou, I., </w:t>
      </w:r>
      <w:proofErr w:type="spellStart"/>
      <w:r w:rsidRPr="003B7AC9">
        <w:rPr>
          <w:rFonts w:ascii="Arial" w:hAnsi="Arial" w:cs="Arial"/>
          <w:lang w:eastAsia="es-ES"/>
        </w:rPr>
        <w:t>Pottegård</w:t>
      </w:r>
      <w:proofErr w:type="spellEnd"/>
      <w:r w:rsidRPr="003B7AC9">
        <w:rPr>
          <w:rFonts w:ascii="Arial" w:hAnsi="Arial" w:cs="Arial"/>
          <w:lang w:eastAsia="es-ES"/>
        </w:rPr>
        <w:t xml:space="preserve">, A., Fernández, A., </w:t>
      </w:r>
      <w:proofErr w:type="spellStart"/>
      <w:r w:rsidRPr="003B7AC9">
        <w:rPr>
          <w:rFonts w:ascii="Arial" w:hAnsi="Arial" w:cs="Arial"/>
          <w:lang w:eastAsia="es-ES"/>
        </w:rPr>
        <w:t>Peñarrubia</w:t>
      </w:r>
      <w:proofErr w:type="spellEnd"/>
      <w:r w:rsidRPr="003B7AC9">
        <w:rPr>
          <w:rFonts w:ascii="Arial" w:hAnsi="Arial" w:cs="Arial"/>
          <w:lang w:eastAsia="es-ES"/>
        </w:rPr>
        <w:t>-María,</w:t>
      </w:r>
      <w:r w:rsidRPr="003B7AC9">
        <w:rPr>
          <w:rFonts w:ascii="Arial" w:hAnsi="Arial" w:cs="Arial"/>
          <w:lang w:eastAsia="es-ES"/>
        </w:rPr>
        <w:t xml:space="preserve"> </w:t>
      </w:r>
      <w:r w:rsidRPr="003B7AC9">
        <w:rPr>
          <w:rFonts w:ascii="Arial" w:hAnsi="Arial" w:cs="Arial"/>
          <w:lang w:eastAsia="es-ES"/>
        </w:rPr>
        <w:t xml:space="preserve">M.T., Serrano-Blanco, A., </w:t>
      </w:r>
      <w:proofErr w:type="spellStart"/>
      <w:r w:rsidRPr="003B7AC9">
        <w:rPr>
          <w:rFonts w:ascii="Arial" w:hAnsi="Arial" w:cs="Arial"/>
          <w:lang w:eastAsia="es-ES"/>
        </w:rPr>
        <w:t>Sabés-Figuera</w:t>
      </w:r>
      <w:proofErr w:type="spellEnd"/>
      <w:r w:rsidRPr="003B7AC9">
        <w:rPr>
          <w:rFonts w:ascii="Arial" w:hAnsi="Arial" w:cs="Arial"/>
          <w:lang w:eastAsia="es-ES"/>
        </w:rPr>
        <w:t>, R., Gil-</w:t>
      </w:r>
      <w:proofErr w:type="spellStart"/>
      <w:r w:rsidRPr="003B7AC9">
        <w:rPr>
          <w:rFonts w:ascii="Arial" w:hAnsi="Arial" w:cs="Arial"/>
          <w:lang w:eastAsia="es-ES"/>
        </w:rPr>
        <w:t>Girbau</w:t>
      </w:r>
      <w:proofErr w:type="spellEnd"/>
      <w:r w:rsidRPr="003B7AC9">
        <w:rPr>
          <w:rFonts w:ascii="Arial" w:hAnsi="Arial" w:cs="Arial"/>
          <w:lang w:eastAsia="es-ES"/>
        </w:rPr>
        <w:t>, M.,</w:t>
      </w:r>
      <w:r w:rsidRPr="003B7AC9">
        <w:rPr>
          <w:rFonts w:ascii="Arial" w:hAnsi="Arial" w:cs="Arial"/>
          <w:lang w:eastAsia="es-ES"/>
        </w:rPr>
        <w:t xml:space="preserve"> </w:t>
      </w:r>
      <w:proofErr w:type="spellStart"/>
      <w:r w:rsidRPr="003B7AC9">
        <w:rPr>
          <w:rFonts w:ascii="Arial" w:hAnsi="Arial" w:cs="Arial"/>
          <w:lang w:eastAsia="es-ES"/>
        </w:rPr>
        <w:t>Fajó</w:t>
      </w:r>
      <w:proofErr w:type="spellEnd"/>
      <w:r w:rsidRPr="003B7AC9">
        <w:rPr>
          <w:rFonts w:ascii="Arial" w:hAnsi="Arial" w:cs="Arial"/>
          <w:lang w:eastAsia="es-ES"/>
        </w:rPr>
        <w:t>-Pascual, M., Moreno-Peral, P., Rubio-Valera, M.: Effect of</w:t>
      </w:r>
      <w:r w:rsidRPr="003B7AC9">
        <w:rPr>
          <w:rFonts w:ascii="Arial" w:hAnsi="Arial" w:cs="Arial"/>
          <w:lang w:eastAsia="es-ES"/>
        </w:rPr>
        <w:t xml:space="preserve"> </w:t>
      </w:r>
      <w:proofErr w:type="spellStart"/>
      <w:r w:rsidRPr="003B7AC9">
        <w:rPr>
          <w:rFonts w:ascii="Arial" w:hAnsi="Arial" w:cs="Arial"/>
          <w:lang w:eastAsia="es-ES"/>
        </w:rPr>
        <w:t>copayment</w:t>
      </w:r>
      <w:proofErr w:type="spellEnd"/>
      <w:r w:rsidRPr="003B7AC9">
        <w:rPr>
          <w:rFonts w:ascii="Arial" w:hAnsi="Arial" w:cs="Arial"/>
          <w:lang w:eastAsia="es-ES"/>
        </w:rPr>
        <w:t xml:space="preserve"> policies on initial medication non-adherence according</w:t>
      </w:r>
      <w:r w:rsidRPr="003B7AC9">
        <w:rPr>
          <w:rFonts w:ascii="Arial" w:hAnsi="Arial" w:cs="Arial"/>
          <w:lang w:eastAsia="es-ES"/>
        </w:rPr>
        <w:t xml:space="preserve"> </w:t>
      </w:r>
      <w:r w:rsidRPr="003B7AC9">
        <w:rPr>
          <w:rFonts w:ascii="Arial" w:hAnsi="Arial" w:cs="Arial"/>
          <w:lang w:eastAsia="es-ES"/>
        </w:rPr>
        <w:t xml:space="preserve">to income: a population-based study. BMJ Qual. </w:t>
      </w:r>
      <w:proofErr w:type="spellStart"/>
      <w:r w:rsidRPr="003B7AC9">
        <w:rPr>
          <w:rFonts w:ascii="Arial" w:hAnsi="Arial" w:cs="Arial"/>
          <w:lang w:eastAsia="es-ES"/>
        </w:rPr>
        <w:t>Saf</w:t>
      </w:r>
      <w:proofErr w:type="spellEnd"/>
      <w:r w:rsidRPr="003B7AC9">
        <w:rPr>
          <w:rFonts w:ascii="Arial" w:hAnsi="Arial" w:cs="Arial"/>
          <w:lang w:eastAsia="es-ES"/>
        </w:rPr>
        <w:t>. 27, 878–891</w:t>
      </w:r>
      <w:r w:rsidRPr="003B7AC9">
        <w:rPr>
          <w:rFonts w:ascii="Arial" w:hAnsi="Arial" w:cs="Arial"/>
          <w:lang w:eastAsia="es-ES"/>
        </w:rPr>
        <w:t xml:space="preserve"> (2018)</w:t>
      </w:r>
    </w:p>
    <w:p w:rsidR="003B7AC9" w:rsidRPr="003B7AC9" w:rsidRDefault="003B7AC9" w:rsidP="003B7AC9">
      <w:pPr>
        <w:pStyle w:val="ListParagraph"/>
        <w:autoSpaceDE w:val="0"/>
        <w:autoSpaceDN w:val="0"/>
        <w:adjustRightInd w:val="0"/>
        <w:jc w:val="both"/>
        <w:rPr>
          <w:rFonts w:ascii="Arial" w:hAnsi="Arial" w:cs="Arial"/>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lang w:eastAsia="es-ES"/>
        </w:rPr>
        <w:t>Beck, R.G., Horne, J.M.: Utilization of publicly insured health</w:t>
      </w:r>
      <w:r w:rsidRPr="003B7AC9">
        <w:rPr>
          <w:rFonts w:ascii="Arial" w:hAnsi="Arial" w:cs="Arial"/>
          <w:lang w:eastAsia="es-ES"/>
        </w:rPr>
        <w:t xml:space="preserve"> </w:t>
      </w:r>
      <w:r w:rsidRPr="003B7AC9">
        <w:rPr>
          <w:rFonts w:ascii="Arial" w:hAnsi="Arial" w:cs="Arial"/>
          <w:lang w:eastAsia="es-ES"/>
        </w:rPr>
        <w:t xml:space="preserve">services in Saskatchewan before, during and after </w:t>
      </w:r>
      <w:proofErr w:type="spellStart"/>
      <w:r w:rsidRPr="003B7AC9">
        <w:rPr>
          <w:rFonts w:ascii="Arial" w:hAnsi="Arial" w:cs="Arial"/>
          <w:lang w:eastAsia="es-ES"/>
        </w:rPr>
        <w:t>copayment</w:t>
      </w:r>
      <w:proofErr w:type="spellEnd"/>
      <w:r w:rsidRPr="003B7AC9">
        <w:rPr>
          <w:rFonts w:ascii="Arial" w:hAnsi="Arial" w:cs="Arial"/>
          <w:lang w:eastAsia="es-ES"/>
        </w:rPr>
        <w:t>.</w:t>
      </w:r>
      <w:r w:rsidRPr="003B7AC9">
        <w:rPr>
          <w:rFonts w:ascii="Arial" w:hAnsi="Arial" w:cs="Arial"/>
          <w:lang w:eastAsia="es-ES"/>
        </w:rPr>
        <w:t xml:space="preserve"> </w:t>
      </w:r>
      <w:r w:rsidRPr="003B7AC9">
        <w:rPr>
          <w:rFonts w:ascii="Arial" w:hAnsi="Arial" w:cs="Arial"/>
          <w:lang w:eastAsia="es-ES"/>
        </w:rPr>
        <w:t>Med. Care 18, 787–806 (1980)</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Craig, P., Cooper, C., Gunnell, D., Haw, S., Lawson, K., Macintyre,</w:t>
      </w:r>
      <w:r w:rsidRPr="003B7AC9">
        <w:rPr>
          <w:rFonts w:ascii="Arial" w:hAnsi="Arial" w:cs="Arial"/>
          <w:color w:val="000000"/>
          <w:lang w:eastAsia="es-ES"/>
        </w:rPr>
        <w:t xml:space="preserve"> </w:t>
      </w:r>
      <w:r w:rsidRPr="003B7AC9">
        <w:rPr>
          <w:rFonts w:ascii="Arial" w:hAnsi="Arial" w:cs="Arial"/>
          <w:color w:val="000000"/>
          <w:lang w:eastAsia="es-ES"/>
        </w:rPr>
        <w:t xml:space="preserve">M., Ogilvie, D., </w:t>
      </w:r>
      <w:proofErr w:type="spellStart"/>
      <w:r w:rsidRPr="003B7AC9">
        <w:rPr>
          <w:rFonts w:ascii="Arial" w:hAnsi="Arial" w:cs="Arial"/>
          <w:color w:val="000000"/>
          <w:lang w:eastAsia="es-ES"/>
        </w:rPr>
        <w:t>Petticrew</w:t>
      </w:r>
      <w:proofErr w:type="spellEnd"/>
      <w:r w:rsidRPr="003B7AC9">
        <w:rPr>
          <w:rFonts w:ascii="Arial" w:hAnsi="Arial" w:cs="Arial"/>
          <w:color w:val="000000"/>
          <w:lang w:eastAsia="es-ES"/>
        </w:rPr>
        <w:t>, M., Reeves, B., Sutton, M.,</w:t>
      </w:r>
      <w:r w:rsidRPr="003B7AC9">
        <w:rPr>
          <w:rFonts w:ascii="Arial" w:hAnsi="Arial" w:cs="Arial"/>
          <w:color w:val="000000"/>
          <w:lang w:eastAsia="es-ES"/>
        </w:rPr>
        <w:t xml:space="preserve"> </w:t>
      </w:r>
      <w:r w:rsidRPr="003B7AC9">
        <w:rPr>
          <w:rFonts w:ascii="Arial" w:hAnsi="Arial" w:cs="Arial"/>
          <w:color w:val="000000"/>
          <w:lang w:eastAsia="es-ES"/>
        </w:rPr>
        <w:t>Thompson, S: Using natural experiments to evaluate population</w:t>
      </w:r>
      <w:r w:rsidRPr="003B7AC9">
        <w:rPr>
          <w:rFonts w:ascii="Arial" w:hAnsi="Arial" w:cs="Arial"/>
          <w:color w:val="000000"/>
          <w:lang w:eastAsia="es-ES"/>
        </w:rPr>
        <w:t xml:space="preserve"> </w:t>
      </w:r>
      <w:r w:rsidRPr="003B7AC9">
        <w:rPr>
          <w:rFonts w:ascii="Arial" w:hAnsi="Arial" w:cs="Arial"/>
          <w:color w:val="000000"/>
          <w:lang w:eastAsia="es-ES"/>
        </w:rPr>
        <w:t>health interventions: Guidance for producers and users of</w:t>
      </w:r>
      <w:r w:rsidRPr="003B7AC9">
        <w:rPr>
          <w:rFonts w:ascii="Arial" w:hAnsi="Arial" w:cs="Arial"/>
          <w:color w:val="000000"/>
          <w:lang w:eastAsia="es-ES"/>
        </w:rPr>
        <w:t xml:space="preserve"> </w:t>
      </w:r>
      <w:r w:rsidRPr="003B7AC9">
        <w:rPr>
          <w:rFonts w:ascii="Arial" w:hAnsi="Arial" w:cs="Arial"/>
          <w:color w:val="000000"/>
          <w:lang w:eastAsia="es-ES"/>
        </w:rPr>
        <w:t xml:space="preserve">evidence. MRC, Medical Research Council (2011). </w:t>
      </w:r>
      <w:r w:rsidRPr="003B7AC9">
        <w:rPr>
          <w:rFonts w:ascii="Arial" w:hAnsi="Arial" w:cs="Arial"/>
          <w:color w:val="0000FF"/>
          <w:lang w:eastAsia="es-ES"/>
        </w:rPr>
        <w:t>http://www.mrc.ac.uk/Utilities/Documentrecord/index.htm?d=MRC00 8043</w:t>
      </w:r>
      <w:r w:rsidRPr="003B7AC9">
        <w:rPr>
          <w:rFonts w:ascii="Arial" w:hAnsi="Arial" w:cs="Arial"/>
          <w:color w:val="000000"/>
          <w:lang w:eastAsia="es-ES"/>
        </w:rPr>
        <w:t>.</w:t>
      </w:r>
      <w:r w:rsidRPr="003B7AC9">
        <w:rPr>
          <w:rFonts w:ascii="Arial" w:hAnsi="Arial" w:cs="Arial"/>
          <w:color w:val="000000"/>
          <w:lang w:eastAsia="es-ES"/>
        </w:rPr>
        <w:t xml:space="preserve"> </w:t>
      </w:r>
      <w:r w:rsidRPr="003B7AC9">
        <w:rPr>
          <w:rFonts w:ascii="Arial" w:hAnsi="Arial" w:cs="Arial"/>
          <w:color w:val="000000"/>
          <w:lang w:eastAsia="es-ES"/>
        </w:rPr>
        <w:t>Accessed 28 Dec 2013</w:t>
      </w:r>
    </w:p>
    <w:p w:rsidR="003B7AC9" w:rsidRPr="003B7AC9" w:rsidRDefault="003B7AC9" w:rsidP="003B7AC9">
      <w:pPr>
        <w:pStyle w:val="ListParagraph"/>
        <w:jc w:val="both"/>
        <w:rPr>
          <w:rFonts w:ascii="Arial" w:hAnsi="Arial" w:cs="Arial"/>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lang w:eastAsia="es-ES"/>
        </w:rPr>
        <w:t xml:space="preserve">Deb, P., Trivedi, P.K.: The structure of demand for health </w:t>
      </w:r>
      <w:proofErr w:type="spellStart"/>
      <w:proofErr w:type="gramStart"/>
      <w:r w:rsidRPr="003B7AC9">
        <w:rPr>
          <w:rFonts w:ascii="Arial" w:hAnsi="Arial" w:cs="Arial"/>
          <w:lang w:eastAsia="es-ES"/>
        </w:rPr>
        <w:t>care:latent</w:t>
      </w:r>
      <w:proofErr w:type="spellEnd"/>
      <w:proofErr w:type="gramEnd"/>
      <w:r w:rsidRPr="003B7AC9">
        <w:rPr>
          <w:rFonts w:ascii="Arial" w:hAnsi="Arial" w:cs="Arial"/>
          <w:lang w:eastAsia="es-ES"/>
        </w:rPr>
        <w:t xml:space="preserve"> class versus two-part models. J. Health Econ. 21, 601–625</w:t>
      </w:r>
      <w:r w:rsidRPr="003B7AC9">
        <w:rPr>
          <w:rFonts w:ascii="Arial" w:hAnsi="Arial" w:cs="Arial"/>
          <w:lang w:eastAsia="es-ES"/>
        </w:rPr>
        <w:t xml:space="preserve"> </w:t>
      </w:r>
      <w:r w:rsidRPr="003B7AC9">
        <w:rPr>
          <w:rFonts w:ascii="Arial" w:hAnsi="Arial" w:cs="Arial"/>
          <w:lang w:eastAsia="es-ES"/>
        </w:rPr>
        <w:t>(2002)</w:t>
      </w:r>
      <w:r w:rsidRPr="003B7AC9">
        <w:rPr>
          <w:rFonts w:ascii="Arial" w:hAnsi="Arial" w:cs="Arial"/>
          <w:lang w:eastAsia="es-ES"/>
        </w:rPr>
        <w:t xml:space="preserve"> </w:t>
      </w:r>
    </w:p>
    <w:p w:rsidR="003B7AC9" w:rsidRPr="003B7AC9" w:rsidRDefault="003B7AC9" w:rsidP="003B7AC9">
      <w:pPr>
        <w:pStyle w:val="ListParagraph"/>
        <w:jc w:val="both"/>
        <w:rPr>
          <w:rFonts w:ascii="Arial" w:hAnsi="Arial" w:cs="Arial"/>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proofErr w:type="spellStart"/>
      <w:r w:rsidRPr="003B7AC9">
        <w:rPr>
          <w:rFonts w:ascii="Arial" w:hAnsi="Arial" w:cs="Arial"/>
          <w:lang w:eastAsia="es-ES"/>
        </w:rPr>
        <w:t>Elofsson</w:t>
      </w:r>
      <w:proofErr w:type="spellEnd"/>
      <w:r w:rsidRPr="003B7AC9">
        <w:rPr>
          <w:rFonts w:ascii="Arial" w:hAnsi="Arial" w:cs="Arial"/>
          <w:lang w:eastAsia="es-ES"/>
        </w:rPr>
        <w:t xml:space="preserve">, S., </w:t>
      </w:r>
      <w:proofErr w:type="spellStart"/>
      <w:r w:rsidRPr="003B7AC9">
        <w:rPr>
          <w:rFonts w:ascii="Arial" w:hAnsi="Arial" w:cs="Arial"/>
          <w:lang w:eastAsia="es-ES"/>
        </w:rPr>
        <w:t>Unden</w:t>
      </w:r>
      <w:proofErr w:type="spellEnd"/>
      <w:r w:rsidRPr="003B7AC9">
        <w:rPr>
          <w:rFonts w:ascii="Arial" w:hAnsi="Arial" w:cs="Arial"/>
          <w:lang w:eastAsia="es-ES"/>
        </w:rPr>
        <w:t xml:space="preserve">, A.L., </w:t>
      </w:r>
      <w:proofErr w:type="spellStart"/>
      <w:r w:rsidRPr="003B7AC9">
        <w:rPr>
          <w:rFonts w:ascii="Arial" w:hAnsi="Arial" w:cs="Arial"/>
          <w:lang w:eastAsia="es-ES"/>
        </w:rPr>
        <w:t>Krakau</w:t>
      </w:r>
      <w:proofErr w:type="spellEnd"/>
      <w:r w:rsidRPr="003B7AC9">
        <w:rPr>
          <w:rFonts w:ascii="Arial" w:hAnsi="Arial" w:cs="Arial"/>
          <w:lang w:eastAsia="es-ES"/>
        </w:rPr>
        <w:t>, I.: Patient charges—a hindrance</w:t>
      </w:r>
      <w:r w:rsidRPr="003B7AC9">
        <w:rPr>
          <w:rFonts w:ascii="Arial" w:hAnsi="Arial" w:cs="Arial"/>
          <w:lang w:eastAsia="es-ES"/>
        </w:rPr>
        <w:t xml:space="preserve"> </w:t>
      </w:r>
      <w:r w:rsidRPr="003B7AC9">
        <w:rPr>
          <w:rFonts w:ascii="Arial" w:hAnsi="Arial" w:cs="Arial"/>
          <w:lang w:eastAsia="es-ES"/>
        </w:rPr>
        <w:t xml:space="preserve">to financially and psychosocially </w:t>
      </w:r>
      <w:r w:rsidRPr="003B7AC9">
        <w:rPr>
          <w:rFonts w:ascii="Arial" w:hAnsi="Arial" w:cs="Arial"/>
          <w:lang w:eastAsia="es-ES"/>
        </w:rPr>
        <w:t>d</w:t>
      </w:r>
      <w:r w:rsidRPr="003B7AC9">
        <w:rPr>
          <w:rFonts w:ascii="Arial" w:hAnsi="Arial" w:cs="Arial"/>
          <w:lang w:eastAsia="es-ES"/>
        </w:rPr>
        <w:t>isadvantaged groups</w:t>
      </w:r>
      <w:r w:rsidRPr="003B7AC9">
        <w:rPr>
          <w:rFonts w:ascii="Arial" w:hAnsi="Arial" w:cs="Arial"/>
          <w:lang w:eastAsia="es-ES"/>
        </w:rPr>
        <w:t xml:space="preserve"> </w:t>
      </w:r>
      <w:r w:rsidRPr="003B7AC9">
        <w:rPr>
          <w:rFonts w:ascii="Arial" w:hAnsi="Arial" w:cs="Arial"/>
          <w:lang w:eastAsia="es-ES"/>
        </w:rPr>
        <w:t>seeking care. Soc. Sci. Med. 46, 1375–1380 (1998)</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García-Gómez, P., Mora, T., Puig-</w:t>
      </w:r>
      <w:proofErr w:type="spellStart"/>
      <w:r w:rsidRPr="003B7AC9">
        <w:rPr>
          <w:rFonts w:ascii="Arial" w:hAnsi="Arial" w:cs="Arial"/>
          <w:color w:val="000000"/>
          <w:lang w:eastAsia="es-ES"/>
        </w:rPr>
        <w:t>Junoy</w:t>
      </w:r>
      <w:proofErr w:type="spellEnd"/>
      <w:r w:rsidRPr="003B7AC9">
        <w:rPr>
          <w:rFonts w:ascii="Arial" w:hAnsi="Arial" w:cs="Arial"/>
          <w:color w:val="000000"/>
          <w:lang w:eastAsia="es-ES"/>
        </w:rPr>
        <w:t>, J.: Does €1 per prescription</w:t>
      </w:r>
      <w:r w:rsidRPr="003B7AC9">
        <w:rPr>
          <w:rFonts w:ascii="Arial" w:hAnsi="Arial" w:cs="Arial"/>
          <w:color w:val="000000"/>
          <w:lang w:eastAsia="es-ES"/>
        </w:rPr>
        <w:t xml:space="preserve"> </w:t>
      </w:r>
      <w:r w:rsidRPr="003B7AC9">
        <w:rPr>
          <w:rFonts w:ascii="Arial" w:hAnsi="Arial" w:cs="Arial"/>
          <w:color w:val="000000"/>
          <w:lang w:eastAsia="es-ES"/>
        </w:rPr>
        <w:t>make a difference? Impact of a capped low-intensity pharmaceutical</w:t>
      </w:r>
      <w:r w:rsidRPr="003B7AC9">
        <w:rPr>
          <w:rFonts w:ascii="Arial" w:hAnsi="Arial" w:cs="Arial"/>
          <w:color w:val="000000"/>
          <w:lang w:eastAsia="es-ES"/>
        </w:rPr>
        <w:t xml:space="preserve"> </w:t>
      </w:r>
      <w:r w:rsidRPr="003B7AC9">
        <w:rPr>
          <w:rFonts w:ascii="Arial" w:hAnsi="Arial" w:cs="Arial"/>
          <w:color w:val="000000"/>
          <w:lang w:eastAsia="es-ES"/>
        </w:rPr>
        <w:t>co-payment. Appl. Health Econ. Health Policy 16(3),</w:t>
      </w:r>
      <w:r w:rsidRPr="003B7AC9">
        <w:rPr>
          <w:rFonts w:ascii="Arial" w:hAnsi="Arial" w:cs="Arial"/>
          <w:color w:val="000000"/>
          <w:lang w:eastAsia="es-ES"/>
        </w:rPr>
        <w:t xml:space="preserve"> </w:t>
      </w:r>
      <w:r w:rsidRPr="003B7AC9">
        <w:rPr>
          <w:rFonts w:ascii="Arial" w:hAnsi="Arial" w:cs="Arial"/>
          <w:color w:val="000000"/>
          <w:lang w:eastAsia="es-ES"/>
        </w:rPr>
        <w:t>407–414 (2018)</w:t>
      </w:r>
    </w:p>
    <w:p w:rsidR="003B7AC9" w:rsidRPr="003B7AC9" w:rsidRDefault="003B7AC9" w:rsidP="003B7AC9">
      <w:pPr>
        <w:pStyle w:val="ListParagraph"/>
        <w:jc w:val="both"/>
        <w:rPr>
          <w:rFonts w:ascii="Arial" w:hAnsi="Arial" w:cs="Arial"/>
          <w:color w:val="000000"/>
          <w:lang w:val="es-ES"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Hernández-</w:t>
      </w:r>
      <w:proofErr w:type="spellStart"/>
      <w:r w:rsidRPr="003B7AC9">
        <w:rPr>
          <w:rFonts w:ascii="Arial" w:hAnsi="Arial" w:cs="Arial"/>
          <w:color w:val="000000"/>
          <w:lang w:eastAsia="es-ES"/>
        </w:rPr>
        <w:t>Izquierdo</w:t>
      </w:r>
      <w:proofErr w:type="spellEnd"/>
      <w:r w:rsidRPr="003B7AC9">
        <w:rPr>
          <w:rFonts w:ascii="Arial" w:hAnsi="Arial" w:cs="Arial"/>
          <w:color w:val="000000"/>
          <w:lang w:eastAsia="es-ES"/>
        </w:rPr>
        <w:t>, C., González López-</w:t>
      </w:r>
      <w:proofErr w:type="spellStart"/>
      <w:r w:rsidRPr="003B7AC9">
        <w:rPr>
          <w:rFonts w:ascii="Arial" w:hAnsi="Arial" w:cs="Arial"/>
          <w:color w:val="000000"/>
          <w:lang w:eastAsia="es-ES"/>
        </w:rPr>
        <w:t>Valcárcel</w:t>
      </w:r>
      <w:proofErr w:type="spellEnd"/>
      <w:r w:rsidRPr="003B7AC9">
        <w:rPr>
          <w:rFonts w:ascii="Arial" w:hAnsi="Arial" w:cs="Arial"/>
          <w:color w:val="000000"/>
          <w:lang w:eastAsia="es-ES"/>
        </w:rPr>
        <w:t>, B., Morris,</w:t>
      </w:r>
      <w:r w:rsidRPr="003B7AC9">
        <w:rPr>
          <w:rFonts w:ascii="Arial" w:hAnsi="Arial" w:cs="Arial"/>
          <w:color w:val="000000"/>
          <w:lang w:eastAsia="es-ES"/>
        </w:rPr>
        <w:t xml:space="preserve"> </w:t>
      </w:r>
      <w:r w:rsidRPr="003B7AC9">
        <w:rPr>
          <w:rFonts w:ascii="Arial" w:hAnsi="Arial" w:cs="Arial"/>
          <w:color w:val="000000"/>
          <w:lang w:eastAsia="es-ES"/>
        </w:rPr>
        <w:t xml:space="preserve">S., Melnychuk, M., </w:t>
      </w:r>
      <w:proofErr w:type="spellStart"/>
      <w:r w:rsidRPr="003B7AC9">
        <w:rPr>
          <w:rFonts w:ascii="Arial" w:hAnsi="Arial" w:cs="Arial"/>
          <w:color w:val="000000"/>
          <w:lang w:eastAsia="es-ES"/>
        </w:rPr>
        <w:t>Abásolo-Alessón</w:t>
      </w:r>
      <w:proofErr w:type="spellEnd"/>
      <w:r w:rsidRPr="003B7AC9">
        <w:rPr>
          <w:rFonts w:ascii="Arial" w:hAnsi="Arial" w:cs="Arial"/>
          <w:color w:val="000000"/>
          <w:lang w:eastAsia="es-ES"/>
        </w:rPr>
        <w:t>, I.: The effect of a</w:t>
      </w:r>
      <w:r w:rsidRPr="003B7AC9">
        <w:rPr>
          <w:rFonts w:ascii="Arial" w:hAnsi="Arial" w:cs="Arial"/>
          <w:color w:val="000000"/>
          <w:lang w:eastAsia="es-ES"/>
        </w:rPr>
        <w:t xml:space="preserve"> </w:t>
      </w:r>
      <w:r w:rsidRPr="003B7AC9">
        <w:rPr>
          <w:rFonts w:ascii="Arial" w:hAnsi="Arial" w:cs="Arial"/>
          <w:color w:val="000000"/>
          <w:lang w:eastAsia="es-ES"/>
        </w:rPr>
        <w:t>change in co-payment on prescription drug demand in a National</w:t>
      </w:r>
      <w:r w:rsidRPr="003B7AC9">
        <w:rPr>
          <w:rFonts w:ascii="Arial" w:hAnsi="Arial" w:cs="Arial"/>
          <w:color w:val="000000"/>
          <w:lang w:eastAsia="es-ES"/>
        </w:rPr>
        <w:t xml:space="preserve"> </w:t>
      </w:r>
      <w:r w:rsidRPr="003B7AC9">
        <w:rPr>
          <w:rFonts w:ascii="Arial" w:hAnsi="Arial" w:cs="Arial"/>
          <w:color w:val="000000"/>
          <w:lang w:eastAsia="es-ES"/>
        </w:rPr>
        <w:t>Health System: the case of 15 drug families by price elasticity of</w:t>
      </w:r>
      <w:r w:rsidRPr="003B7AC9">
        <w:rPr>
          <w:rFonts w:ascii="Arial" w:hAnsi="Arial" w:cs="Arial"/>
          <w:color w:val="000000"/>
          <w:lang w:eastAsia="es-ES"/>
        </w:rPr>
        <w:t xml:space="preserve"> </w:t>
      </w:r>
      <w:r w:rsidRPr="003B7AC9">
        <w:rPr>
          <w:rFonts w:ascii="Arial" w:hAnsi="Arial" w:cs="Arial"/>
          <w:color w:val="000000"/>
          <w:lang w:eastAsia="es-ES"/>
        </w:rPr>
        <w:t xml:space="preserve">demand. </w:t>
      </w:r>
      <w:proofErr w:type="spellStart"/>
      <w:r w:rsidRPr="003B7AC9">
        <w:rPr>
          <w:rFonts w:ascii="Arial" w:hAnsi="Arial" w:cs="Arial"/>
          <w:color w:val="000000"/>
          <w:lang w:eastAsia="es-ES"/>
        </w:rPr>
        <w:t>PLoS</w:t>
      </w:r>
      <w:proofErr w:type="spellEnd"/>
      <w:r w:rsidRPr="003B7AC9">
        <w:rPr>
          <w:rFonts w:ascii="Arial" w:hAnsi="Arial" w:cs="Arial"/>
          <w:color w:val="000000"/>
          <w:lang w:eastAsia="es-ES"/>
        </w:rPr>
        <w:t xml:space="preserve"> One 14, 3 (2019). </w:t>
      </w:r>
      <w:r w:rsidRPr="003B7AC9">
        <w:rPr>
          <w:rFonts w:ascii="Arial" w:hAnsi="Arial" w:cs="Arial"/>
          <w:color w:val="0000FF"/>
          <w:lang w:eastAsia="es-ES"/>
        </w:rPr>
        <w:t>https ://doi.org/10.1371/journal.pone.02134 03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 xml:space="preserve">IDESCAT. </w:t>
      </w:r>
      <w:r w:rsidRPr="003B7AC9">
        <w:rPr>
          <w:rFonts w:ascii="Arial" w:hAnsi="Arial" w:cs="Arial"/>
          <w:color w:val="0000FF"/>
          <w:lang w:eastAsia="es-ES"/>
        </w:rPr>
        <w:t>http://www.idesc at.cat/</w:t>
      </w:r>
      <w:r w:rsidRPr="003B7AC9">
        <w:rPr>
          <w:rFonts w:ascii="Arial" w:hAnsi="Arial" w:cs="Arial"/>
          <w:color w:val="000000"/>
          <w:lang w:eastAsia="es-ES"/>
        </w:rPr>
        <w:t>. Accessed 28 Dec 2013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 xml:space="preserve">Jiménez-Martín, S., </w:t>
      </w:r>
      <w:proofErr w:type="spellStart"/>
      <w:r w:rsidRPr="003B7AC9">
        <w:rPr>
          <w:rFonts w:ascii="Arial" w:hAnsi="Arial" w:cs="Arial"/>
          <w:color w:val="000000"/>
          <w:lang w:eastAsia="es-ES"/>
        </w:rPr>
        <w:t>Labeaga</w:t>
      </w:r>
      <w:proofErr w:type="spellEnd"/>
      <w:r w:rsidRPr="003B7AC9">
        <w:rPr>
          <w:rFonts w:ascii="Arial" w:hAnsi="Arial" w:cs="Arial"/>
          <w:color w:val="000000"/>
          <w:lang w:eastAsia="es-ES"/>
        </w:rPr>
        <w:t>, J.M., Martinez-</w:t>
      </w:r>
      <w:proofErr w:type="spellStart"/>
      <w:r w:rsidRPr="003B7AC9">
        <w:rPr>
          <w:rFonts w:ascii="Arial" w:hAnsi="Arial" w:cs="Arial"/>
          <w:color w:val="000000"/>
          <w:lang w:eastAsia="es-ES"/>
        </w:rPr>
        <w:t>Granado</w:t>
      </w:r>
      <w:proofErr w:type="spellEnd"/>
      <w:r w:rsidRPr="003B7AC9">
        <w:rPr>
          <w:rFonts w:ascii="Arial" w:hAnsi="Arial" w:cs="Arial"/>
          <w:color w:val="000000"/>
          <w:lang w:eastAsia="es-ES"/>
        </w:rPr>
        <w:t>, M.: Latent</w:t>
      </w:r>
      <w:r w:rsidRPr="003B7AC9">
        <w:rPr>
          <w:rFonts w:ascii="Arial" w:hAnsi="Arial" w:cs="Arial"/>
          <w:color w:val="000000"/>
          <w:lang w:eastAsia="es-ES"/>
        </w:rPr>
        <w:t xml:space="preserve"> </w:t>
      </w:r>
      <w:r w:rsidRPr="003B7AC9">
        <w:rPr>
          <w:rFonts w:ascii="Arial" w:hAnsi="Arial" w:cs="Arial"/>
          <w:color w:val="000000"/>
          <w:lang w:eastAsia="es-ES"/>
        </w:rPr>
        <w:t>class versus two-part models in the demand for physician services</w:t>
      </w:r>
      <w:r w:rsidRPr="003B7AC9">
        <w:rPr>
          <w:rFonts w:ascii="Arial" w:hAnsi="Arial" w:cs="Arial"/>
          <w:color w:val="000000"/>
          <w:lang w:eastAsia="es-ES"/>
        </w:rPr>
        <w:t xml:space="preserve"> </w:t>
      </w:r>
      <w:r w:rsidRPr="003B7AC9">
        <w:rPr>
          <w:rFonts w:ascii="Arial" w:hAnsi="Arial" w:cs="Arial"/>
          <w:color w:val="000000"/>
          <w:lang w:eastAsia="es-ES"/>
        </w:rPr>
        <w:t>across the European Union. Health Econ. 11(4), 301–321 (2002)</w:t>
      </w:r>
      <w:r w:rsidRPr="003B7AC9">
        <w:rPr>
          <w:rFonts w:ascii="Arial" w:hAnsi="Arial" w:cs="Arial"/>
          <w:color w:val="000000"/>
          <w:lang w:eastAsia="es-ES"/>
        </w:rPr>
        <w:t xml:space="preserve"> </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color w:val="000000"/>
          <w:lang w:eastAsia="es-ES"/>
        </w:rPr>
        <w:t>Jones, A.M., Rice, N.: Econometric evaluation of Health Policies.</w:t>
      </w:r>
      <w:r w:rsidRPr="003B7AC9">
        <w:rPr>
          <w:rFonts w:ascii="Arial" w:hAnsi="Arial" w:cs="Arial"/>
          <w:color w:val="000000"/>
          <w:lang w:eastAsia="es-ES"/>
        </w:rPr>
        <w:t xml:space="preserve"> </w:t>
      </w:r>
      <w:r w:rsidRPr="003B7AC9">
        <w:rPr>
          <w:rFonts w:ascii="Arial" w:hAnsi="Arial" w:cs="Arial"/>
          <w:color w:val="000000"/>
          <w:lang w:eastAsia="es-ES"/>
        </w:rPr>
        <w:t xml:space="preserve">HEDG Working Paper 09/09, University of York (2009). </w:t>
      </w:r>
      <w:r w:rsidRPr="003B7AC9">
        <w:rPr>
          <w:rFonts w:ascii="Arial" w:hAnsi="Arial" w:cs="Arial"/>
          <w:color w:val="0000FF"/>
          <w:lang w:eastAsia="es-ES"/>
        </w:rPr>
        <w:t>http://www.york.ac.uk/media /</w:t>
      </w:r>
      <w:proofErr w:type="spellStart"/>
      <w:r w:rsidRPr="003B7AC9">
        <w:rPr>
          <w:rFonts w:ascii="Arial" w:hAnsi="Arial" w:cs="Arial"/>
          <w:color w:val="0000FF"/>
          <w:lang w:eastAsia="es-ES"/>
        </w:rPr>
        <w:t>econo</w:t>
      </w:r>
      <w:proofErr w:type="spellEnd"/>
      <w:r w:rsidRPr="003B7AC9">
        <w:rPr>
          <w:rFonts w:ascii="Arial" w:hAnsi="Arial" w:cs="Arial"/>
          <w:color w:val="0000FF"/>
          <w:lang w:eastAsia="es-ES"/>
        </w:rPr>
        <w:t xml:space="preserve"> mics/</w:t>
      </w:r>
      <w:proofErr w:type="spellStart"/>
      <w:r w:rsidRPr="003B7AC9">
        <w:rPr>
          <w:rFonts w:ascii="Arial" w:hAnsi="Arial" w:cs="Arial"/>
          <w:color w:val="0000FF"/>
          <w:lang w:eastAsia="es-ES"/>
        </w:rPr>
        <w:t>docum</w:t>
      </w:r>
      <w:proofErr w:type="spellEnd"/>
      <w:r w:rsidRPr="003B7AC9">
        <w:rPr>
          <w:rFonts w:ascii="Arial" w:hAnsi="Arial" w:cs="Arial"/>
          <w:color w:val="0000FF"/>
          <w:lang w:eastAsia="es-ES"/>
        </w:rPr>
        <w:t xml:space="preserve"> </w:t>
      </w:r>
      <w:proofErr w:type="spellStart"/>
      <w:r w:rsidRPr="003B7AC9">
        <w:rPr>
          <w:rFonts w:ascii="Arial" w:hAnsi="Arial" w:cs="Arial"/>
          <w:color w:val="0000FF"/>
          <w:lang w:eastAsia="es-ES"/>
        </w:rPr>
        <w:t>ents</w:t>
      </w:r>
      <w:proofErr w:type="spellEnd"/>
      <w:r w:rsidRPr="003B7AC9">
        <w:rPr>
          <w:rFonts w:ascii="Arial" w:hAnsi="Arial" w:cs="Arial"/>
          <w:color w:val="0000FF"/>
          <w:lang w:eastAsia="es-ES"/>
        </w:rPr>
        <w:t>/</w:t>
      </w:r>
      <w:proofErr w:type="spellStart"/>
      <w:r w:rsidRPr="003B7AC9">
        <w:rPr>
          <w:rFonts w:ascii="Arial" w:hAnsi="Arial" w:cs="Arial"/>
          <w:color w:val="0000FF"/>
          <w:lang w:eastAsia="es-ES"/>
        </w:rPr>
        <w:t>herc</w:t>
      </w:r>
      <w:proofErr w:type="spellEnd"/>
      <w:r w:rsidRPr="003B7AC9">
        <w:rPr>
          <w:rFonts w:ascii="Arial" w:hAnsi="Arial" w:cs="Arial"/>
          <w:color w:val="0000FF"/>
          <w:lang w:eastAsia="es-ES"/>
        </w:rPr>
        <w:t>/</w:t>
      </w:r>
      <w:proofErr w:type="spellStart"/>
      <w:r w:rsidRPr="003B7AC9">
        <w:rPr>
          <w:rFonts w:ascii="Arial" w:hAnsi="Arial" w:cs="Arial"/>
          <w:color w:val="0000FF"/>
          <w:lang w:eastAsia="es-ES"/>
        </w:rPr>
        <w:t>wp</w:t>
      </w:r>
      <w:proofErr w:type="spellEnd"/>
      <w:r w:rsidRPr="003B7AC9">
        <w:rPr>
          <w:rFonts w:ascii="Arial" w:hAnsi="Arial" w:cs="Arial"/>
          <w:color w:val="0000FF"/>
          <w:lang w:eastAsia="es-ES"/>
        </w:rPr>
        <w:t>/09_09.pdf</w:t>
      </w:r>
      <w:r w:rsidRPr="003B7AC9">
        <w:rPr>
          <w:rFonts w:ascii="Arial" w:hAnsi="Arial" w:cs="Arial"/>
          <w:color w:val="000000"/>
          <w:lang w:eastAsia="es-ES"/>
        </w:rPr>
        <w:t>. Accessed 28 Dec 2013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proofErr w:type="spellStart"/>
      <w:r w:rsidRPr="003B7AC9">
        <w:rPr>
          <w:rFonts w:ascii="Arial" w:hAnsi="Arial" w:cs="Arial"/>
          <w:color w:val="000000"/>
          <w:lang w:eastAsia="es-ES"/>
        </w:rPr>
        <w:lastRenderedPageBreak/>
        <w:t>Kiil</w:t>
      </w:r>
      <w:proofErr w:type="spellEnd"/>
      <w:r w:rsidRPr="003B7AC9">
        <w:rPr>
          <w:rFonts w:ascii="Arial" w:hAnsi="Arial" w:cs="Arial"/>
          <w:color w:val="000000"/>
          <w:lang w:eastAsia="es-ES"/>
        </w:rPr>
        <w:t xml:space="preserve">, A., </w:t>
      </w:r>
      <w:proofErr w:type="spellStart"/>
      <w:r w:rsidRPr="003B7AC9">
        <w:rPr>
          <w:rFonts w:ascii="Arial" w:hAnsi="Arial" w:cs="Arial"/>
          <w:color w:val="000000"/>
          <w:lang w:eastAsia="es-ES"/>
        </w:rPr>
        <w:t>Houlberg</w:t>
      </w:r>
      <w:proofErr w:type="spellEnd"/>
      <w:r w:rsidRPr="003B7AC9">
        <w:rPr>
          <w:rFonts w:ascii="Arial" w:hAnsi="Arial" w:cs="Arial"/>
          <w:color w:val="000000"/>
          <w:lang w:eastAsia="es-ES"/>
        </w:rPr>
        <w:t xml:space="preserve">, K.: How does </w:t>
      </w:r>
      <w:proofErr w:type="spellStart"/>
      <w:r w:rsidRPr="003B7AC9">
        <w:rPr>
          <w:rFonts w:ascii="Arial" w:hAnsi="Arial" w:cs="Arial"/>
          <w:color w:val="000000"/>
          <w:lang w:eastAsia="es-ES"/>
        </w:rPr>
        <w:t>copayment</w:t>
      </w:r>
      <w:proofErr w:type="spellEnd"/>
      <w:r w:rsidRPr="003B7AC9">
        <w:rPr>
          <w:rFonts w:ascii="Arial" w:hAnsi="Arial" w:cs="Arial"/>
          <w:color w:val="000000"/>
          <w:lang w:eastAsia="es-ES"/>
        </w:rPr>
        <w:t xml:space="preserve"> for health care</w:t>
      </w:r>
      <w:r w:rsidRPr="003B7AC9">
        <w:rPr>
          <w:rFonts w:ascii="Arial" w:hAnsi="Arial" w:cs="Arial"/>
          <w:color w:val="000000"/>
          <w:lang w:eastAsia="es-ES"/>
        </w:rPr>
        <w:t xml:space="preserve"> </w:t>
      </w:r>
      <w:r w:rsidRPr="003B7AC9">
        <w:rPr>
          <w:rFonts w:ascii="Arial" w:hAnsi="Arial" w:cs="Arial"/>
          <w:color w:val="000000"/>
          <w:lang w:eastAsia="es-ES"/>
        </w:rPr>
        <w:t>services affect demand, health and redistribution? A systematic</w:t>
      </w:r>
      <w:r w:rsidRPr="003B7AC9">
        <w:rPr>
          <w:rFonts w:ascii="Arial" w:hAnsi="Arial" w:cs="Arial"/>
          <w:color w:val="000000"/>
          <w:lang w:eastAsia="es-ES"/>
        </w:rPr>
        <w:t xml:space="preserve"> </w:t>
      </w:r>
      <w:r w:rsidRPr="003B7AC9">
        <w:rPr>
          <w:rFonts w:ascii="Arial" w:hAnsi="Arial" w:cs="Arial"/>
          <w:color w:val="000000"/>
          <w:lang w:eastAsia="es-ES"/>
        </w:rPr>
        <w:t>review of the empirical evidence from 1990 to 2011. Eur. J. Health</w:t>
      </w:r>
      <w:r w:rsidRPr="003B7AC9">
        <w:rPr>
          <w:rFonts w:ascii="Arial" w:hAnsi="Arial" w:cs="Arial"/>
          <w:color w:val="000000"/>
          <w:lang w:eastAsia="es-ES"/>
        </w:rPr>
        <w:t xml:space="preserve"> </w:t>
      </w:r>
      <w:r w:rsidRPr="003B7AC9">
        <w:rPr>
          <w:rFonts w:ascii="Arial" w:hAnsi="Arial" w:cs="Arial"/>
          <w:color w:val="000000"/>
          <w:lang w:eastAsia="es-ES"/>
        </w:rPr>
        <w:t>Econ. 15, 813–828 (2014)</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Law 5/2012 of March 20, on Tax, Financial and Administrative</w:t>
      </w:r>
      <w:r w:rsidRPr="003B7AC9">
        <w:rPr>
          <w:rFonts w:ascii="Arial" w:hAnsi="Arial" w:cs="Arial"/>
          <w:color w:val="000000"/>
          <w:lang w:eastAsia="es-ES"/>
        </w:rPr>
        <w:t xml:space="preserve"> </w:t>
      </w:r>
      <w:r w:rsidRPr="003B7AC9">
        <w:rPr>
          <w:rFonts w:ascii="Arial" w:hAnsi="Arial" w:cs="Arial"/>
          <w:color w:val="000000"/>
          <w:lang w:eastAsia="es-ES"/>
        </w:rPr>
        <w:t>Measures and Implementation of the Tax on Stays in Tourist</w:t>
      </w:r>
      <w:r w:rsidRPr="003B7AC9">
        <w:rPr>
          <w:rFonts w:ascii="Arial" w:hAnsi="Arial" w:cs="Arial"/>
          <w:color w:val="000000"/>
          <w:lang w:eastAsia="es-ES"/>
        </w:rPr>
        <w:t xml:space="preserve"> </w:t>
      </w:r>
      <w:r w:rsidRPr="003B7AC9">
        <w:rPr>
          <w:rFonts w:ascii="Arial" w:hAnsi="Arial" w:cs="Arial"/>
          <w:color w:val="000000"/>
          <w:lang w:eastAsia="es-ES"/>
        </w:rPr>
        <w:t>Accommodations [in Catalan] DOGC 6094, March 23, 2012</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Morris, S., Sutton, M., Gravelle, H.: Inequity and inequality in the</w:t>
      </w:r>
      <w:r w:rsidRPr="003B7AC9">
        <w:rPr>
          <w:rFonts w:ascii="Arial" w:hAnsi="Arial" w:cs="Arial"/>
          <w:color w:val="000000"/>
          <w:lang w:eastAsia="es-ES"/>
        </w:rPr>
        <w:t xml:space="preserve"> </w:t>
      </w:r>
      <w:r w:rsidRPr="003B7AC9">
        <w:rPr>
          <w:rFonts w:ascii="Arial" w:hAnsi="Arial" w:cs="Arial"/>
          <w:color w:val="000000"/>
          <w:lang w:eastAsia="es-ES"/>
        </w:rPr>
        <w:t>use of health care in England: an empirical investigation. Soc. Sci.</w:t>
      </w:r>
      <w:r w:rsidRPr="003B7AC9">
        <w:rPr>
          <w:rFonts w:ascii="Arial" w:hAnsi="Arial" w:cs="Arial"/>
          <w:color w:val="000000"/>
          <w:lang w:eastAsia="es-ES"/>
        </w:rPr>
        <w:t xml:space="preserve"> </w:t>
      </w:r>
      <w:r w:rsidRPr="003B7AC9">
        <w:rPr>
          <w:rFonts w:ascii="Arial" w:hAnsi="Arial" w:cs="Arial"/>
          <w:color w:val="000000"/>
          <w:lang w:eastAsia="es-ES"/>
        </w:rPr>
        <w:t>Med. 60(6), 1251–1266 (2005)</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Pinheiro, J.C., Bates, D.: Mixed-Effects Models in S and S-Plus.</w:t>
      </w:r>
      <w:r w:rsidRPr="003B7AC9">
        <w:rPr>
          <w:rFonts w:ascii="Arial" w:hAnsi="Arial" w:cs="Arial"/>
          <w:color w:val="000000"/>
          <w:lang w:eastAsia="es-ES"/>
        </w:rPr>
        <w:t xml:space="preserve"> </w:t>
      </w:r>
      <w:r w:rsidRPr="003B7AC9">
        <w:rPr>
          <w:rFonts w:ascii="Arial" w:hAnsi="Arial" w:cs="Arial"/>
          <w:color w:val="000000"/>
          <w:lang w:eastAsia="es-ES"/>
        </w:rPr>
        <w:t>Springer, New York (2000)</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val="es-ES" w:eastAsia="es-ES"/>
        </w:rPr>
      </w:pPr>
      <w:proofErr w:type="spellStart"/>
      <w:r w:rsidRPr="003B7AC9">
        <w:rPr>
          <w:rFonts w:ascii="Arial" w:hAnsi="Arial" w:cs="Arial"/>
          <w:color w:val="000000"/>
          <w:lang w:eastAsia="es-ES"/>
        </w:rPr>
        <w:t>Pohlmeier</w:t>
      </w:r>
      <w:proofErr w:type="spellEnd"/>
      <w:r w:rsidRPr="003B7AC9">
        <w:rPr>
          <w:rFonts w:ascii="Arial" w:hAnsi="Arial" w:cs="Arial"/>
          <w:color w:val="000000"/>
          <w:lang w:eastAsia="es-ES"/>
        </w:rPr>
        <w:t>, W., Ulrich, V.: An econometric model of the two-part</w:t>
      </w:r>
      <w:r w:rsidRPr="003B7AC9">
        <w:rPr>
          <w:rFonts w:ascii="Arial" w:hAnsi="Arial" w:cs="Arial"/>
          <w:color w:val="000000"/>
          <w:lang w:eastAsia="es-ES"/>
        </w:rPr>
        <w:t xml:space="preserve"> </w:t>
      </w:r>
      <w:r w:rsidRPr="003B7AC9">
        <w:rPr>
          <w:rFonts w:ascii="Arial" w:hAnsi="Arial" w:cs="Arial"/>
          <w:color w:val="000000"/>
          <w:lang w:eastAsia="es-ES"/>
        </w:rPr>
        <w:t xml:space="preserve">decision-making process in the demand for health care. </w:t>
      </w:r>
      <w:r w:rsidRPr="003B7AC9">
        <w:rPr>
          <w:rFonts w:ascii="Arial" w:hAnsi="Arial" w:cs="Arial"/>
          <w:color w:val="000000"/>
          <w:lang w:val="es-ES" w:eastAsia="es-ES"/>
        </w:rPr>
        <w:t xml:space="preserve">J. </w:t>
      </w:r>
      <w:proofErr w:type="spellStart"/>
      <w:r w:rsidRPr="003B7AC9">
        <w:rPr>
          <w:rFonts w:ascii="Arial" w:hAnsi="Arial" w:cs="Arial"/>
          <w:color w:val="000000"/>
          <w:lang w:val="es-ES" w:eastAsia="es-ES"/>
        </w:rPr>
        <w:t>Hum</w:t>
      </w:r>
      <w:proofErr w:type="spellEnd"/>
      <w:r w:rsidRPr="003B7AC9">
        <w:rPr>
          <w:rFonts w:ascii="Arial" w:hAnsi="Arial" w:cs="Arial"/>
          <w:color w:val="000000"/>
          <w:lang w:val="es-ES" w:eastAsia="es-ES"/>
        </w:rPr>
        <w:t>.</w:t>
      </w:r>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Resour</w:t>
      </w:r>
      <w:proofErr w:type="spellEnd"/>
      <w:r w:rsidRPr="003B7AC9">
        <w:rPr>
          <w:rFonts w:ascii="Arial" w:hAnsi="Arial" w:cs="Arial"/>
          <w:color w:val="000000"/>
          <w:lang w:val="es-ES" w:eastAsia="es-ES"/>
        </w:rPr>
        <w:t>. 30, 339–361 (1995)</w:t>
      </w:r>
    </w:p>
    <w:p w:rsidR="003B7AC9" w:rsidRPr="003B7AC9" w:rsidRDefault="003B7AC9" w:rsidP="003B7AC9">
      <w:pPr>
        <w:pStyle w:val="ListParagraph"/>
        <w:jc w:val="both"/>
        <w:rPr>
          <w:rFonts w:ascii="Arial" w:hAnsi="Arial" w:cs="Arial"/>
          <w:color w:val="000000"/>
          <w:lang w:val="es-ES"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val="es-ES" w:eastAsia="es-ES"/>
        </w:rPr>
      </w:pPr>
      <w:r w:rsidRPr="003B7AC9">
        <w:rPr>
          <w:rFonts w:ascii="Arial" w:hAnsi="Arial" w:cs="Arial"/>
          <w:color w:val="000000"/>
          <w:lang w:val="es-ES" w:eastAsia="es-ES"/>
        </w:rPr>
        <w:t>Puig-</w:t>
      </w:r>
      <w:proofErr w:type="spellStart"/>
      <w:r w:rsidRPr="003B7AC9">
        <w:rPr>
          <w:rFonts w:ascii="Arial" w:hAnsi="Arial" w:cs="Arial"/>
          <w:color w:val="000000"/>
          <w:lang w:val="es-ES" w:eastAsia="es-ES"/>
        </w:rPr>
        <w:t>Junoy</w:t>
      </w:r>
      <w:proofErr w:type="spellEnd"/>
      <w:r w:rsidRPr="003B7AC9">
        <w:rPr>
          <w:rFonts w:ascii="Arial" w:hAnsi="Arial" w:cs="Arial"/>
          <w:color w:val="000000"/>
          <w:lang w:val="es-ES" w:eastAsia="es-ES"/>
        </w:rPr>
        <w:t xml:space="preserve">, J., García-Gómez, P., Mora, T.: Impacte de </w:t>
      </w:r>
      <w:proofErr w:type="spellStart"/>
      <w:r w:rsidRPr="003B7AC9">
        <w:rPr>
          <w:rFonts w:ascii="Arial" w:hAnsi="Arial" w:cs="Arial"/>
          <w:color w:val="000000"/>
          <w:lang w:val="es-ES" w:eastAsia="es-ES"/>
        </w:rPr>
        <w:t>l’euro</w:t>
      </w:r>
      <w:proofErr w:type="spellEnd"/>
      <w:r w:rsidRPr="003B7AC9">
        <w:rPr>
          <w:rFonts w:ascii="Arial" w:hAnsi="Arial" w:cs="Arial"/>
          <w:color w:val="000000"/>
          <w:lang w:val="es-ES" w:eastAsia="es-ES"/>
        </w:rPr>
        <w:t xml:space="preserve"> </w:t>
      </w:r>
      <w:r w:rsidRPr="003B7AC9">
        <w:rPr>
          <w:rFonts w:ascii="Arial" w:hAnsi="Arial" w:cs="Arial"/>
          <w:color w:val="000000"/>
          <w:lang w:val="es-ES" w:eastAsia="es-ES"/>
        </w:rPr>
        <w:t xml:space="preserve">per recepta sobre </w:t>
      </w:r>
      <w:proofErr w:type="spellStart"/>
      <w:r w:rsidRPr="003B7AC9">
        <w:rPr>
          <w:rFonts w:ascii="Arial" w:hAnsi="Arial" w:cs="Arial"/>
          <w:color w:val="000000"/>
          <w:lang w:val="es-ES" w:eastAsia="es-ES"/>
        </w:rPr>
        <w:t>els</w:t>
      </w:r>
      <w:proofErr w:type="spellEnd"/>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medicaments</w:t>
      </w:r>
      <w:proofErr w:type="spellEnd"/>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dispensats</w:t>
      </w:r>
      <w:proofErr w:type="spellEnd"/>
      <w:r w:rsidRPr="003B7AC9">
        <w:rPr>
          <w:rFonts w:ascii="Arial" w:hAnsi="Arial" w:cs="Arial"/>
          <w:color w:val="000000"/>
          <w:lang w:val="es-ES" w:eastAsia="es-ES"/>
        </w:rPr>
        <w:t xml:space="preserve"> a les </w:t>
      </w:r>
      <w:proofErr w:type="spellStart"/>
      <w:r w:rsidRPr="003B7AC9">
        <w:rPr>
          <w:rFonts w:ascii="Arial" w:hAnsi="Arial" w:cs="Arial"/>
          <w:color w:val="000000"/>
          <w:lang w:val="es-ES" w:eastAsia="es-ES"/>
        </w:rPr>
        <w:t>oficines</w:t>
      </w:r>
      <w:proofErr w:type="spellEnd"/>
      <w:r w:rsidRPr="003B7AC9">
        <w:rPr>
          <w:rFonts w:ascii="Arial" w:hAnsi="Arial" w:cs="Arial"/>
          <w:color w:val="000000"/>
          <w:lang w:val="es-ES" w:eastAsia="es-ES"/>
        </w:rPr>
        <w:t xml:space="preserve"> de</w:t>
      </w:r>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farmàcia</w:t>
      </w:r>
      <w:proofErr w:type="spellEnd"/>
      <w:r w:rsidRPr="003B7AC9">
        <w:rPr>
          <w:rFonts w:ascii="Arial" w:hAnsi="Arial" w:cs="Arial"/>
          <w:color w:val="000000"/>
          <w:lang w:val="es-ES" w:eastAsia="es-ES"/>
        </w:rPr>
        <w:t xml:space="preserve"> de Catalunya </w:t>
      </w:r>
      <w:proofErr w:type="spellStart"/>
      <w:r w:rsidRPr="003B7AC9">
        <w:rPr>
          <w:rFonts w:ascii="Arial" w:hAnsi="Arial" w:cs="Arial"/>
          <w:color w:val="000000"/>
          <w:lang w:val="es-ES" w:eastAsia="es-ES"/>
        </w:rPr>
        <w:t>segons</w:t>
      </w:r>
      <w:proofErr w:type="spellEnd"/>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grups</w:t>
      </w:r>
      <w:proofErr w:type="spellEnd"/>
      <w:r w:rsidRPr="003B7AC9">
        <w:rPr>
          <w:rFonts w:ascii="Arial" w:hAnsi="Arial" w:cs="Arial"/>
          <w:color w:val="000000"/>
          <w:lang w:val="es-ES" w:eastAsia="es-ES"/>
        </w:rPr>
        <w:t xml:space="preserve"> de </w:t>
      </w:r>
      <w:proofErr w:type="spellStart"/>
      <w:r w:rsidRPr="003B7AC9">
        <w:rPr>
          <w:rFonts w:ascii="Arial" w:hAnsi="Arial" w:cs="Arial"/>
          <w:color w:val="000000"/>
          <w:lang w:val="es-ES" w:eastAsia="es-ES"/>
        </w:rPr>
        <w:t>medicaments</w:t>
      </w:r>
      <w:proofErr w:type="spellEnd"/>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Monogràfics</w:t>
      </w:r>
      <w:proofErr w:type="spellEnd"/>
      <w:r w:rsidRPr="003B7AC9">
        <w:rPr>
          <w:rFonts w:ascii="Arial" w:hAnsi="Arial" w:cs="Arial"/>
          <w:color w:val="000000"/>
          <w:lang w:val="es-ES" w:eastAsia="es-ES"/>
        </w:rPr>
        <w:t xml:space="preserve"> </w:t>
      </w:r>
      <w:r w:rsidRPr="003B7AC9">
        <w:rPr>
          <w:rFonts w:ascii="Arial" w:hAnsi="Arial" w:cs="Arial"/>
          <w:color w:val="000000"/>
          <w:lang w:val="es-ES" w:eastAsia="es-ES"/>
        </w:rPr>
        <w:t xml:space="preserve">de la Central de </w:t>
      </w:r>
      <w:proofErr w:type="spellStart"/>
      <w:r w:rsidRPr="003B7AC9">
        <w:rPr>
          <w:rFonts w:ascii="Arial" w:hAnsi="Arial" w:cs="Arial"/>
          <w:color w:val="000000"/>
          <w:lang w:val="es-ES" w:eastAsia="es-ES"/>
        </w:rPr>
        <w:t>Resultats</w:t>
      </w:r>
      <w:proofErr w:type="spellEnd"/>
      <w:r w:rsidRPr="003B7AC9">
        <w:rPr>
          <w:rFonts w:ascii="Arial" w:hAnsi="Arial" w:cs="Arial"/>
          <w:color w:val="000000"/>
          <w:lang w:val="es-ES" w:eastAsia="es-ES"/>
        </w:rPr>
        <w:t xml:space="preserve">, núm. 27. Barcelona: </w:t>
      </w:r>
      <w:proofErr w:type="spellStart"/>
      <w:r w:rsidRPr="003B7AC9">
        <w:rPr>
          <w:rFonts w:ascii="Arial" w:hAnsi="Arial" w:cs="Arial"/>
          <w:color w:val="000000"/>
          <w:lang w:val="es-ES" w:eastAsia="es-ES"/>
        </w:rPr>
        <w:t>Agència</w:t>
      </w:r>
      <w:proofErr w:type="spellEnd"/>
      <w:r w:rsidRPr="003B7AC9">
        <w:rPr>
          <w:rFonts w:ascii="Arial" w:hAnsi="Arial" w:cs="Arial"/>
          <w:color w:val="000000"/>
          <w:lang w:val="es-ES" w:eastAsia="es-ES"/>
        </w:rPr>
        <w:t xml:space="preserve"> de</w:t>
      </w:r>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Qualitat</w:t>
      </w:r>
      <w:proofErr w:type="spellEnd"/>
      <w:r w:rsidRPr="003B7AC9">
        <w:rPr>
          <w:rFonts w:ascii="Arial" w:hAnsi="Arial" w:cs="Arial"/>
          <w:color w:val="000000"/>
          <w:lang w:val="es-ES" w:eastAsia="es-ES"/>
        </w:rPr>
        <w:t xml:space="preserve"> i </w:t>
      </w:r>
      <w:proofErr w:type="spellStart"/>
      <w:r w:rsidRPr="003B7AC9">
        <w:rPr>
          <w:rFonts w:ascii="Arial" w:hAnsi="Arial" w:cs="Arial"/>
          <w:color w:val="000000"/>
          <w:lang w:val="es-ES" w:eastAsia="es-ES"/>
        </w:rPr>
        <w:t>Avaluació</w:t>
      </w:r>
      <w:proofErr w:type="spellEnd"/>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Sanitàries</w:t>
      </w:r>
      <w:proofErr w:type="spellEnd"/>
      <w:r w:rsidRPr="003B7AC9">
        <w:rPr>
          <w:rFonts w:ascii="Arial" w:hAnsi="Arial" w:cs="Arial"/>
          <w:color w:val="000000"/>
          <w:lang w:val="es-ES" w:eastAsia="es-ES"/>
        </w:rPr>
        <w:t xml:space="preserve"> de Catalunya. </w:t>
      </w:r>
      <w:proofErr w:type="spellStart"/>
      <w:r w:rsidRPr="003B7AC9">
        <w:rPr>
          <w:rFonts w:ascii="Arial" w:hAnsi="Arial" w:cs="Arial"/>
          <w:color w:val="000000"/>
          <w:lang w:val="es-ES" w:eastAsia="es-ES"/>
        </w:rPr>
        <w:t>Departament</w:t>
      </w:r>
      <w:proofErr w:type="spellEnd"/>
      <w:r w:rsidRPr="003B7AC9">
        <w:rPr>
          <w:rFonts w:ascii="Arial" w:hAnsi="Arial" w:cs="Arial"/>
          <w:color w:val="000000"/>
          <w:lang w:val="es-ES" w:eastAsia="es-ES"/>
        </w:rPr>
        <w:t xml:space="preserve"> de</w:t>
      </w:r>
      <w:r w:rsidRPr="003B7AC9">
        <w:rPr>
          <w:rFonts w:ascii="Arial" w:hAnsi="Arial" w:cs="Arial"/>
          <w:color w:val="000000"/>
          <w:lang w:val="es-ES" w:eastAsia="es-ES"/>
        </w:rPr>
        <w:t xml:space="preserve"> </w:t>
      </w:r>
      <w:proofErr w:type="spellStart"/>
      <w:r w:rsidRPr="003B7AC9">
        <w:rPr>
          <w:rFonts w:ascii="Arial" w:hAnsi="Arial" w:cs="Arial"/>
          <w:color w:val="000000"/>
          <w:lang w:val="es-ES" w:eastAsia="es-ES"/>
        </w:rPr>
        <w:t>Salut</w:t>
      </w:r>
      <w:proofErr w:type="spellEnd"/>
      <w:r w:rsidRPr="003B7AC9">
        <w:rPr>
          <w:rFonts w:ascii="Arial" w:hAnsi="Arial" w:cs="Arial"/>
          <w:color w:val="000000"/>
          <w:lang w:val="es-ES" w:eastAsia="es-ES"/>
        </w:rPr>
        <w:t>. Generalitat de Catalunya (2017)</w:t>
      </w:r>
    </w:p>
    <w:p w:rsidR="003B7AC9" w:rsidRPr="003B7AC9" w:rsidRDefault="003B7AC9" w:rsidP="003B7AC9">
      <w:pPr>
        <w:pStyle w:val="ListParagraph"/>
        <w:jc w:val="both"/>
        <w:rPr>
          <w:rFonts w:ascii="Arial" w:hAnsi="Arial" w:cs="Arial"/>
          <w:color w:val="000000"/>
          <w:lang w:val="es-ES"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Puig-</w:t>
      </w:r>
      <w:proofErr w:type="spellStart"/>
      <w:r w:rsidRPr="003B7AC9">
        <w:rPr>
          <w:rFonts w:ascii="Arial" w:hAnsi="Arial" w:cs="Arial"/>
          <w:color w:val="000000"/>
          <w:lang w:eastAsia="es-ES"/>
        </w:rPr>
        <w:t>Junoy</w:t>
      </w:r>
      <w:proofErr w:type="spellEnd"/>
      <w:r w:rsidRPr="003B7AC9">
        <w:rPr>
          <w:rFonts w:ascii="Arial" w:hAnsi="Arial" w:cs="Arial"/>
          <w:color w:val="000000"/>
          <w:lang w:eastAsia="es-ES"/>
        </w:rPr>
        <w:t>, J., García-Gómez, P., Casado-Marín, D.: Free medicines</w:t>
      </w:r>
      <w:r w:rsidRPr="003B7AC9">
        <w:rPr>
          <w:rFonts w:ascii="Arial" w:hAnsi="Arial" w:cs="Arial"/>
          <w:color w:val="000000"/>
          <w:lang w:eastAsia="es-ES"/>
        </w:rPr>
        <w:t xml:space="preserve"> </w:t>
      </w:r>
      <w:r w:rsidRPr="003B7AC9">
        <w:rPr>
          <w:rFonts w:ascii="Arial" w:hAnsi="Arial" w:cs="Arial"/>
          <w:color w:val="000000"/>
          <w:lang w:eastAsia="es-ES"/>
        </w:rPr>
        <w:t>thanks to retirement: impact of coinsurance exemption</w:t>
      </w:r>
      <w:r w:rsidRPr="003B7AC9">
        <w:rPr>
          <w:rFonts w:ascii="Arial" w:hAnsi="Arial" w:cs="Arial"/>
          <w:color w:val="000000"/>
          <w:lang w:eastAsia="es-ES"/>
        </w:rPr>
        <w:t xml:space="preserve"> </w:t>
      </w:r>
      <w:r w:rsidRPr="003B7AC9">
        <w:rPr>
          <w:rFonts w:ascii="Arial" w:hAnsi="Arial" w:cs="Arial"/>
          <w:color w:val="000000"/>
          <w:lang w:eastAsia="es-ES"/>
        </w:rPr>
        <w:t>on pharmaceutical expenditures and hospitalization offsets in a</w:t>
      </w:r>
      <w:r w:rsidRPr="003B7AC9">
        <w:rPr>
          <w:rFonts w:ascii="Arial" w:hAnsi="Arial" w:cs="Arial"/>
          <w:color w:val="000000"/>
          <w:lang w:eastAsia="es-ES"/>
        </w:rPr>
        <w:t xml:space="preserve"> </w:t>
      </w:r>
      <w:r w:rsidRPr="003B7AC9">
        <w:rPr>
          <w:rFonts w:ascii="Arial" w:hAnsi="Arial" w:cs="Arial"/>
          <w:color w:val="000000"/>
          <w:lang w:eastAsia="es-ES"/>
        </w:rPr>
        <w:t>national health service. Health Econ. 25(6), 750–767 (2016)</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R Core Team. R: A Language and Environment for Statistical</w:t>
      </w:r>
      <w:r w:rsidRPr="003B7AC9">
        <w:rPr>
          <w:rFonts w:ascii="Arial" w:hAnsi="Arial" w:cs="Arial"/>
          <w:color w:val="000000"/>
          <w:lang w:eastAsia="es-ES"/>
        </w:rPr>
        <w:t xml:space="preserve"> </w:t>
      </w:r>
      <w:r w:rsidRPr="003B7AC9">
        <w:rPr>
          <w:rFonts w:ascii="Arial" w:hAnsi="Arial" w:cs="Arial"/>
          <w:color w:val="000000"/>
          <w:lang w:eastAsia="es-ES"/>
        </w:rPr>
        <w:t>Computing. R Vienna, Austria: Foundation for Statistical Computing</w:t>
      </w:r>
      <w:r w:rsidRPr="003B7AC9">
        <w:rPr>
          <w:rFonts w:ascii="Arial" w:hAnsi="Arial" w:cs="Arial"/>
          <w:color w:val="000000"/>
          <w:lang w:eastAsia="es-ES"/>
        </w:rPr>
        <w:t xml:space="preserve"> </w:t>
      </w:r>
      <w:r w:rsidRPr="003B7AC9">
        <w:rPr>
          <w:rFonts w:ascii="Arial" w:hAnsi="Arial" w:cs="Arial"/>
          <w:color w:val="000000"/>
          <w:lang w:eastAsia="es-ES"/>
        </w:rPr>
        <w:t xml:space="preserve">(2013). </w:t>
      </w:r>
      <w:r w:rsidRPr="003B7AC9">
        <w:rPr>
          <w:rFonts w:ascii="Arial" w:hAnsi="Arial" w:cs="Arial"/>
          <w:color w:val="0000FF"/>
          <w:lang w:eastAsia="es-ES"/>
        </w:rPr>
        <w:t>http://www.R-proje ct.org/</w:t>
      </w:r>
      <w:r w:rsidRPr="003B7AC9">
        <w:rPr>
          <w:rFonts w:ascii="Arial" w:hAnsi="Arial" w:cs="Arial"/>
          <w:color w:val="000000"/>
          <w:lang w:eastAsia="es-ES"/>
        </w:rPr>
        <w:t>. Accessed 29 Dec 2013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 xml:space="preserve">R-INLA Project: Random Walk Model of Order 1 (RW1). </w:t>
      </w:r>
      <w:r w:rsidRPr="003B7AC9">
        <w:rPr>
          <w:rFonts w:ascii="Arial" w:hAnsi="Arial" w:cs="Arial"/>
          <w:color w:val="0000FF"/>
          <w:lang w:eastAsia="es-ES"/>
        </w:rPr>
        <w:t>http://www.math.ntnu.no/inla/r-inla.org/doc/laten t/rw1.pdf</w:t>
      </w:r>
      <w:r w:rsidRPr="003B7AC9">
        <w:rPr>
          <w:rFonts w:ascii="Arial" w:hAnsi="Arial" w:cs="Arial"/>
          <w:color w:val="000000"/>
          <w:lang w:eastAsia="es-ES"/>
        </w:rPr>
        <w:t>. Accessed</w:t>
      </w:r>
      <w:r w:rsidRPr="003B7AC9">
        <w:rPr>
          <w:rFonts w:ascii="Arial" w:hAnsi="Arial" w:cs="Arial"/>
          <w:color w:val="000000"/>
          <w:lang w:eastAsia="es-ES"/>
        </w:rPr>
        <w:t xml:space="preserve"> </w:t>
      </w:r>
      <w:r w:rsidRPr="003B7AC9">
        <w:rPr>
          <w:rFonts w:ascii="Arial" w:hAnsi="Arial" w:cs="Arial"/>
          <w:color w:val="000000"/>
          <w:lang w:eastAsia="es-ES"/>
        </w:rPr>
        <w:t>29 Dec 2013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 xml:space="preserve">Roemer, M.I., Hopkins, C.E., </w:t>
      </w:r>
      <w:proofErr w:type="spellStart"/>
      <w:r w:rsidRPr="003B7AC9">
        <w:rPr>
          <w:rFonts w:ascii="Arial" w:hAnsi="Arial" w:cs="Arial"/>
          <w:color w:val="000000"/>
          <w:lang w:eastAsia="es-ES"/>
        </w:rPr>
        <w:t>Carr</w:t>
      </w:r>
      <w:proofErr w:type="spellEnd"/>
      <w:r w:rsidRPr="003B7AC9">
        <w:rPr>
          <w:rFonts w:ascii="Arial" w:hAnsi="Arial" w:cs="Arial"/>
          <w:color w:val="000000"/>
          <w:lang w:eastAsia="es-ES"/>
        </w:rPr>
        <w:t xml:space="preserve">, L., Gartside, F.: </w:t>
      </w:r>
      <w:proofErr w:type="spellStart"/>
      <w:r w:rsidRPr="003B7AC9">
        <w:rPr>
          <w:rFonts w:ascii="Arial" w:hAnsi="Arial" w:cs="Arial"/>
          <w:color w:val="000000"/>
          <w:lang w:eastAsia="es-ES"/>
        </w:rPr>
        <w:t>Copayments</w:t>
      </w:r>
      <w:proofErr w:type="spellEnd"/>
      <w:r w:rsidRPr="003B7AC9">
        <w:rPr>
          <w:rFonts w:ascii="Arial" w:hAnsi="Arial" w:cs="Arial"/>
          <w:color w:val="000000"/>
          <w:lang w:eastAsia="es-ES"/>
        </w:rPr>
        <w:t xml:space="preserve"> </w:t>
      </w:r>
      <w:r w:rsidRPr="003B7AC9">
        <w:rPr>
          <w:rFonts w:ascii="Arial" w:hAnsi="Arial" w:cs="Arial"/>
          <w:color w:val="000000"/>
          <w:lang w:eastAsia="es-ES"/>
        </w:rPr>
        <w:t>for ambulatory care: Penny-Wise and Pound-Foolish. Med. Care</w:t>
      </w:r>
      <w:r w:rsidRPr="003B7AC9">
        <w:rPr>
          <w:rFonts w:ascii="Arial" w:hAnsi="Arial" w:cs="Arial"/>
          <w:color w:val="000000"/>
          <w:lang w:eastAsia="es-ES"/>
        </w:rPr>
        <w:t xml:space="preserve"> </w:t>
      </w:r>
      <w:r w:rsidRPr="003B7AC9">
        <w:rPr>
          <w:rFonts w:ascii="Arial" w:hAnsi="Arial" w:cs="Arial"/>
          <w:color w:val="000000"/>
          <w:lang w:eastAsia="es-ES"/>
        </w:rPr>
        <w:t>13, 457–466 (1975)</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Royal Decree-Law 16/2012, of 20 April, on Urgent Measures</w:t>
      </w:r>
      <w:r w:rsidRPr="003B7AC9">
        <w:rPr>
          <w:rFonts w:ascii="Arial" w:hAnsi="Arial" w:cs="Arial"/>
          <w:color w:val="000000"/>
          <w:lang w:eastAsia="es-ES"/>
        </w:rPr>
        <w:t xml:space="preserve"> </w:t>
      </w:r>
      <w:r w:rsidRPr="003B7AC9">
        <w:rPr>
          <w:rFonts w:ascii="Arial" w:hAnsi="Arial" w:cs="Arial"/>
          <w:color w:val="000000"/>
          <w:lang w:eastAsia="es-ES"/>
        </w:rPr>
        <w:t>to Ensure the Sustainability of the National Health System and</w:t>
      </w:r>
      <w:r w:rsidRPr="003B7AC9">
        <w:rPr>
          <w:rFonts w:ascii="Arial" w:hAnsi="Arial" w:cs="Arial"/>
          <w:color w:val="000000"/>
          <w:lang w:eastAsia="es-ES"/>
        </w:rPr>
        <w:t xml:space="preserve"> </w:t>
      </w:r>
      <w:r w:rsidRPr="003B7AC9">
        <w:rPr>
          <w:rFonts w:ascii="Arial" w:hAnsi="Arial" w:cs="Arial"/>
          <w:color w:val="000000"/>
          <w:lang w:eastAsia="es-ES"/>
        </w:rPr>
        <w:t>Improve the Quality and Safety of Its Benefits [in Spanish] BOE</w:t>
      </w:r>
      <w:r w:rsidRPr="003B7AC9">
        <w:rPr>
          <w:rFonts w:ascii="Arial" w:hAnsi="Arial" w:cs="Arial"/>
          <w:color w:val="000000"/>
          <w:lang w:eastAsia="es-ES"/>
        </w:rPr>
        <w:t xml:space="preserve"> </w:t>
      </w:r>
      <w:r w:rsidRPr="003B7AC9">
        <w:rPr>
          <w:rFonts w:ascii="Arial" w:hAnsi="Arial" w:cs="Arial"/>
          <w:color w:val="000000"/>
          <w:lang w:eastAsia="es-ES"/>
        </w:rPr>
        <w:t>98, April 25, 2012</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Rue, H., Martino, S., Chopin, N.: Approximate Bayesian Inference</w:t>
      </w:r>
      <w:r w:rsidRPr="003B7AC9">
        <w:rPr>
          <w:rFonts w:ascii="Arial" w:hAnsi="Arial" w:cs="Arial"/>
          <w:color w:val="000000"/>
          <w:lang w:eastAsia="es-ES"/>
        </w:rPr>
        <w:t xml:space="preserve"> </w:t>
      </w:r>
      <w:r w:rsidRPr="003B7AC9">
        <w:rPr>
          <w:rFonts w:ascii="Arial" w:hAnsi="Arial" w:cs="Arial"/>
          <w:color w:val="000000"/>
          <w:lang w:eastAsia="es-ES"/>
        </w:rPr>
        <w:t>for Latent Gaussian Models by Using Integrated Nested</w:t>
      </w:r>
      <w:r w:rsidRPr="003B7AC9">
        <w:rPr>
          <w:rFonts w:ascii="Arial" w:hAnsi="Arial" w:cs="Arial"/>
          <w:color w:val="000000"/>
          <w:lang w:eastAsia="es-ES"/>
        </w:rPr>
        <w:t xml:space="preserve"> </w:t>
      </w:r>
      <w:r w:rsidRPr="003B7AC9">
        <w:rPr>
          <w:rFonts w:ascii="Arial" w:hAnsi="Arial" w:cs="Arial"/>
          <w:color w:val="000000"/>
          <w:lang w:eastAsia="es-ES"/>
        </w:rPr>
        <w:t>Laplace Approximations (with Discussion). J. R. Stat. Soc. Ser.</w:t>
      </w:r>
      <w:r w:rsidRPr="003B7AC9">
        <w:rPr>
          <w:rFonts w:ascii="Arial" w:hAnsi="Arial" w:cs="Arial"/>
          <w:color w:val="000000"/>
          <w:lang w:eastAsia="es-ES"/>
        </w:rPr>
        <w:t xml:space="preserve"> </w:t>
      </w:r>
      <w:r w:rsidRPr="003B7AC9">
        <w:rPr>
          <w:rFonts w:ascii="Arial" w:hAnsi="Arial" w:cs="Arial"/>
          <w:color w:val="000000"/>
          <w:lang w:eastAsia="es-ES"/>
        </w:rPr>
        <w:t xml:space="preserve">B 71:319–392 </w:t>
      </w:r>
      <w:r w:rsidRPr="003B7AC9">
        <w:rPr>
          <w:rFonts w:ascii="Arial" w:hAnsi="Arial" w:cs="Arial"/>
          <w:color w:val="000000"/>
          <w:lang w:eastAsia="es-ES"/>
        </w:rPr>
        <w:lastRenderedPageBreak/>
        <w:t xml:space="preserve">(2009). </w:t>
      </w:r>
      <w:hyperlink r:id="rId15" w:history="1">
        <w:r w:rsidRPr="003B7AC9">
          <w:rPr>
            <w:rStyle w:val="Hyperlink"/>
            <w:rFonts w:ascii="Arial" w:hAnsi="Arial" w:cs="Arial"/>
            <w:lang w:eastAsia="es-ES"/>
          </w:rPr>
          <w:t>http://www.math.ntnu.no/~hrue/r-inla.org/</w:t>
        </w:r>
      </w:hyperlink>
      <w:r w:rsidRPr="003B7AC9">
        <w:rPr>
          <w:rFonts w:ascii="Arial" w:hAnsi="Arial" w:cs="Arial"/>
          <w:color w:val="0000FF"/>
          <w:lang w:eastAsia="es-ES"/>
        </w:rPr>
        <w:t xml:space="preserve"> </w:t>
      </w:r>
      <w:r w:rsidRPr="003B7AC9">
        <w:rPr>
          <w:rFonts w:ascii="Arial" w:hAnsi="Arial" w:cs="Arial"/>
          <w:color w:val="0000FF"/>
          <w:lang w:eastAsia="es-ES"/>
        </w:rPr>
        <w:t>paper s/inla-rss.pdf</w:t>
      </w:r>
      <w:r w:rsidRPr="003B7AC9">
        <w:rPr>
          <w:rFonts w:ascii="Arial" w:hAnsi="Arial" w:cs="Arial"/>
          <w:color w:val="000000"/>
          <w:lang w:eastAsia="es-ES"/>
        </w:rPr>
        <w:t>. Accessed 29 Dec 2013</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proofErr w:type="spellStart"/>
      <w:r w:rsidRPr="003B7AC9">
        <w:rPr>
          <w:rFonts w:ascii="Arial" w:hAnsi="Arial" w:cs="Arial"/>
          <w:color w:val="000000"/>
          <w:lang w:eastAsia="es-ES"/>
        </w:rPr>
        <w:t>Saez</w:t>
      </w:r>
      <w:proofErr w:type="spellEnd"/>
      <w:r w:rsidRPr="003B7AC9">
        <w:rPr>
          <w:rFonts w:ascii="Arial" w:hAnsi="Arial" w:cs="Arial"/>
          <w:color w:val="000000"/>
          <w:lang w:eastAsia="es-ES"/>
        </w:rPr>
        <w:t>, M.: Factors conditioning primary care services utilization.</w:t>
      </w:r>
      <w:r w:rsidRPr="003B7AC9">
        <w:rPr>
          <w:rFonts w:ascii="Arial" w:hAnsi="Arial" w:cs="Arial"/>
          <w:color w:val="000000"/>
          <w:lang w:eastAsia="es-ES"/>
        </w:rPr>
        <w:t xml:space="preserve"> </w:t>
      </w:r>
      <w:r w:rsidRPr="003B7AC9">
        <w:rPr>
          <w:rFonts w:ascii="Arial" w:hAnsi="Arial" w:cs="Arial"/>
          <w:color w:val="000000"/>
          <w:lang w:eastAsia="es-ES"/>
        </w:rPr>
        <w:t>Empirical evidence and methodological inconsistencies” [in Spanish].</w:t>
      </w:r>
      <w:r w:rsidRPr="003B7AC9">
        <w:rPr>
          <w:rFonts w:ascii="Arial" w:hAnsi="Arial" w:cs="Arial"/>
          <w:color w:val="000000"/>
          <w:lang w:eastAsia="es-ES"/>
        </w:rPr>
        <w:t xml:space="preserve"> </w:t>
      </w:r>
      <w:proofErr w:type="spellStart"/>
      <w:r w:rsidRPr="003B7AC9">
        <w:rPr>
          <w:rFonts w:ascii="Arial" w:hAnsi="Arial" w:cs="Arial"/>
          <w:color w:val="000000"/>
          <w:lang w:eastAsia="es-ES"/>
        </w:rPr>
        <w:t>Gaceta</w:t>
      </w:r>
      <w:proofErr w:type="spellEnd"/>
      <w:r w:rsidRPr="003B7AC9">
        <w:rPr>
          <w:rFonts w:ascii="Arial" w:hAnsi="Arial" w:cs="Arial"/>
          <w:color w:val="000000"/>
          <w:lang w:eastAsia="es-ES"/>
        </w:rPr>
        <w:t xml:space="preserve"> Sanit. 17(5), 412–449 (2003)</w:t>
      </w:r>
    </w:p>
    <w:p w:rsidR="003B7AC9" w:rsidRPr="003B7AC9" w:rsidRDefault="003B7AC9" w:rsidP="003B7AC9">
      <w:pPr>
        <w:pStyle w:val="ListParagraph"/>
        <w:jc w:val="both"/>
        <w:rPr>
          <w:rFonts w:ascii="Arial" w:hAnsi="Arial" w:cs="Arial"/>
          <w:color w:val="000000"/>
          <w:lang w:val="es-ES"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proofErr w:type="spellStart"/>
      <w:r w:rsidRPr="003B7AC9">
        <w:rPr>
          <w:rFonts w:ascii="Arial" w:hAnsi="Arial" w:cs="Arial"/>
          <w:color w:val="000000"/>
          <w:lang w:eastAsia="es-ES"/>
        </w:rPr>
        <w:t>Saez</w:t>
      </w:r>
      <w:proofErr w:type="spellEnd"/>
      <w:r w:rsidRPr="003B7AC9">
        <w:rPr>
          <w:rFonts w:ascii="Arial" w:hAnsi="Arial" w:cs="Arial"/>
          <w:color w:val="000000"/>
          <w:lang w:eastAsia="es-ES"/>
        </w:rPr>
        <w:t xml:space="preserve">, M., Barceló, M.A., Coll de </w:t>
      </w:r>
      <w:proofErr w:type="spellStart"/>
      <w:r w:rsidRPr="003B7AC9">
        <w:rPr>
          <w:rFonts w:ascii="Arial" w:hAnsi="Arial" w:cs="Arial"/>
          <w:color w:val="000000"/>
          <w:lang w:eastAsia="es-ES"/>
        </w:rPr>
        <w:t>Tuero</w:t>
      </w:r>
      <w:proofErr w:type="spellEnd"/>
      <w:r w:rsidRPr="003B7AC9">
        <w:rPr>
          <w:rFonts w:ascii="Arial" w:hAnsi="Arial" w:cs="Arial"/>
          <w:color w:val="000000"/>
          <w:lang w:eastAsia="es-ES"/>
        </w:rPr>
        <w:t>, G.: A selection-bias</w:t>
      </w:r>
      <w:r w:rsidRPr="003B7AC9">
        <w:rPr>
          <w:rFonts w:ascii="Arial" w:hAnsi="Arial" w:cs="Arial"/>
          <w:color w:val="000000"/>
          <w:lang w:eastAsia="es-ES"/>
        </w:rPr>
        <w:t xml:space="preserve"> </w:t>
      </w:r>
      <w:r w:rsidRPr="003B7AC9">
        <w:rPr>
          <w:rFonts w:ascii="Arial" w:hAnsi="Arial" w:cs="Arial"/>
          <w:color w:val="000000"/>
          <w:lang w:eastAsia="es-ES"/>
        </w:rPr>
        <w:t>free method to estimate the prevalence of hypertension from an</w:t>
      </w:r>
      <w:r w:rsidRPr="003B7AC9">
        <w:rPr>
          <w:rFonts w:ascii="Arial" w:hAnsi="Arial" w:cs="Arial"/>
          <w:color w:val="000000"/>
          <w:lang w:eastAsia="es-ES"/>
        </w:rPr>
        <w:t xml:space="preserve"> </w:t>
      </w:r>
      <w:r w:rsidRPr="003B7AC9">
        <w:rPr>
          <w:rFonts w:ascii="Arial" w:hAnsi="Arial" w:cs="Arial"/>
          <w:color w:val="000000"/>
          <w:lang w:eastAsia="es-ES"/>
        </w:rPr>
        <w:t>administrative primary health care database in the Girona Health</w:t>
      </w:r>
      <w:r w:rsidRPr="003B7AC9">
        <w:rPr>
          <w:rFonts w:ascii="Arial" w:hAnsi="Arial" w:cs="Arial"/>
          <w:color w:val="000000"/>
          <w:lang w:eastAsia="es-ES"/>
        </w:rPr>
        <w:t xml:space="preserve"> </w:t>
      </w:r>
      <w:r w:rsidRPr="003B7AC9">
        <w:rPr>
          <w:rFonts w:ascii="Arial" w:hAnsi="Arial" w:cs="Arial"/>
          <w:color w:val="000000"/>
          <w:lang w:eastAsia="es-ES"/>
        </w:rPr>
        <w:t xml:space="preserve">Region, Spain. </w:t>
      </w:r>
      <w:proofErr w:type="spellStart"/>
      <w:r w:rsidRPr="003B7AC9">
        <w:rPr>
          <w:rFonts w:ascii="Arial" w:hAnsi="Arial" w:cs="Arial"/>
          <w:color w:val="000000"/>
          <w:lang w:eastAsia="es-ES"/>
        </w:rPr>
        <w:t>Comput</w:t>
      </w:r>
      <w:proofErr w:type="spellEnd"/>
      <w:r w:rsidRPr="003B7AC9">
        <w:rPr>
          <w:rFonts w:ascii="Arial" w:hAnsi="Arial" w:cs="Arial"/>
          <w:color w:val="000000"/>
          <w:lang w:eastAsia="es-ES"/>
        </w:rPr>
        <w:t>. Methods Programs Biomed. 93(3), 228–240 (2009)</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00"/>
          <w:lang w:eastAsia="es-ES"/>
        </w:rPr>
      </w:pPr>
      <w:r w:rsidRPr="003B7AC9">
        <w:rPr>
          <w:rFonts w:ascii="Arial" w:hAnsi="Arial" w:cs="Arial"/>
          <w:color w:val="000000"/>
          <w:lang w:eastAsia="es-ES"/>
        </w:rPr>
        <w:t xml:space="preserve">25. </w:t>
      </w:r>
      <w:proofErr w:type="spellStart"/>
      <w:r w:rsidRPr="003B7AC9">
        <w:rPr>
          <w:rFonts w:ascii="Arial" w:hAnsi="Arial" w:cs="Arial"/>
          <w:color w:val="000000"/>
          <w:lang w:eastAsia="es-ES"/>
        </w:rPr>
        <w:t>Saez</w:t>
      </w:r>
      <w:proofErr w:type="spellEnd"/>
      <w:r w:rsidRPr="003B7AC9">
        <w:rPr>
          <w:rFonts w:ascii="Arial" w:hAnsi="Arial" w:cs="Arial"/>
          <w:color w:val="000000"/>
          <w:lang w:eastAsia="es-ES"/>
        </w:rPr>
        <w:t xml:space="preserve">, M., </w:t>
      </w:r>
      <w:proofErr w:type="spellStart"/>
      <w:r w:rsidRPr="003B7AC9">
        <w:rPr>
          <w:rFonts w:ascii="Arial" w:hAnsi="Arial" w:cs="Arial"/>
          <w:color w:val="000000"/>
          <w:lang w:eastAsia="es-ES"/>
        </w:rPr>
        <w:t>Saurina</w:t>
      </w:r>
      <w:proofErr w:type="spellEnd"/>
      <w:r w:rsidRPr="003B7AC9">
        <w:rPr>
          <w:rFonts w:ascii="Arial" w:hAnsi="Arial" w:cs="Arial"/>
          <w:color w:val="000000"/>
          <w:lang w:eastAsia="es-ES"/>
        </w:rPr>
        <w:t xml:space="preserve">, C., </w:t>
      </w:r>
      <w:proofErr w:type="spellStart"/>
      <w:r w:rsidRPr="003B7AC9">
        <w:rPr>
          <w:rFonts w:ascii="Arial" w:hAnsi="Arial" w:cs="Arial"/>
          <w:color w:val="000000"/>
          <w:lang w:eastAsia="es-ES"/>
        </w:rPr>
        <w:t>Coenders</w:t>
      </w:r>
      <w:proofErr w:type="spellEnd"/>
      <w:r w:rsidRPr="003B7AC9">
        <w:rPr>
          <w:rFonts w:ascii="Arial" w:hAnsi="Arial" w:cs="Arial"/>
          <w:color w:val="000000"/>
          <w:lang w:eastAsia="es-ES"/>
        </w:rPr>
        <w:t>, G., González-Raya, S.: Use of</w:t>
      </w:r>
      <w:r w:rsidRPr="003B7AC9">
        <w:rPr>
          <w:rFonts w:ascii="Arial" w:hAnsi="Arial" w:cs="Arial"/>
          <w:color w:val="000000"/>
          <w:lang w:eastAsia="es-ES"/>
        </w:rPr>
        <w:t xml:space="preserve"> </w:t>
      </w:r>
      <w:r w:rsidRPr="003B7AC9">
        <w:rPr>
          <w:rFonts w:ascii="Arial" w:hAnsi="Arial" w:cs="Arial"/>
          <w:color w:val="000000"/>
          <w:lang w:eastAsia="es-ES"/>
        </w:rPr>
        <w:t>primary health care services according to the different degrees of</w:t>
      </w:r>
      <w:r w:rsidRPr="003B7AC9">
        <w:rPr>
          <w:rFonts w:ascii="Arial" w:hAnsi="Arial" w:cs="Arial"/>
          <w:color w:val="000000"/>
          <w:lang w:eastAsia="es-ES"/>
        </w:rPr>
        <w:t xml:space="preserve"> </w:t>
      </w:r>
      <w:r w:rsidRPr="003B7AC9">
        <w:rPr>
          <w:rFonts w:ascii="Arial" w:hAnsi="Arial" w:cs="Arial"/>
          <w:color w:val="000000"/>
          <w:lang w:eastAsia="es-ES"/>
        </w:rPr>
        <w:t>obesity in the Girona Health Region, Spain. Health Econ. 15(2),</w:t>
      </w:r>
      <w:r w:rsidRPr="003B7AC9">
        <w:rPr>
          <w:rFonts w:ascii="Arial" w:hAnsi="Arial" w:cs="Arial"/>
          <w:color w:val="000000"/>
          <w:lang w:eastAsia="es-ES"/>
        </w:rPr>
        <w:t xml:space="preserve"> </w:t>
      </w:r>
      <w:r w:rsidRPr="003B7AC9">
        <w:rPr>
          <w:rFonts w:ascii="Arial" w:hAnsi="Arial" w:cs="Arial"/>
          <w:color w:val="000000"/>
          <w:lang w:eastAsia="es-ES"/>
        </w:rPr>
        <w:t>173–193 (2006)</w:t>
      </w:r>
    </w:p>
    <w:p w:rsidR="003B7AC9" w:rsidRPr="003B7AC9" w:rsidRDefault="003B7AC9" w:rsidP="003B7AC9">
      <w:pPr>
        <w:pStyle w:val="ListParagraph"/>
        <w:jc w:val="both"/>
        <w:rPr>
          <w:rFonts w:ascii="Arial" w:hAnsi="Arial" w:cs="Arial"/>
          <w:color w:val="000000"/>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color w:val="0000FF"/>
          <w:lang w:eastAsia="es-ES"/>
        </w:rPr>
      </w:pPr>
      <w:proofErr w:type="spellStart"/>
      <w:r w:rsidRPr="003B7AC9">
        <w:rPr>
          <w:rFonts w:ascii="Arial" w:hAnsi="Arial" w:cs="Arial"/>
          <w:color w:val="000000"/>
          <w:lang w:eastAsia="es-ES"/>
        </w:rPr>
        <w:t>Schreyoegg</w:t>
      </w:r>
      <w:proofErr w:type="spellEnd"/>
      <w:r w:rsidRPr="003B7AC9">
        <w:rPr>
          <w:rFonts w:ascii="Arial" w:hAnsi="Arial" w:cs="Arial"/>
          <w:color w:val="000000"/>
          <w:lang w:eastAsia="es-ES"/>
        </w:rPr>
        <w:t xml:space="preserve">, G., </w:t>
      </w:r>
      <w:proofErr w:type="spellStart"/>
      <w:r w:rsidRPr="003B7AC9">
        <w:rPr>
          <w:rFonts w:ascii="Arial" w:hAnsi="Arial" w:cs="Arial"/>
          <w:color w:val="000000"/>
          <w:lang w:eastAsia="es-ES"/>
        </w:rPr>
        <w:t>Grabka</w:t>
      </w:r>
      <w:proofErr w:type="spellEnd"/>
      <w:r w:rsidRPr="003B7AC9">
        <w:rPr>
          <w:rFonts w:ascii="Arial" w:hAnsi="Arial" w:cs="Arial"/>
          <w:color w:val="000000"/>
          <w:lang w:eastAsia="es-ES"/>
        </w:rPr>
        <w:t xml:space="preserve">, MM: </w:t>
      </w:r>
      <w:proofErr w:type="spellStart"/>
      <w:r w:rsidRPr="003B7AC9">
        <w:rPr>
          <w:rFonts w:ascii="Arial" w:hAnsi="Arial" w:cs="Arial"/>
          <w:color w:val="000000"/>
          <w:lang w:eastAsia="es-ES"/>
        </w:rPr>
        <w:t>Copayments</w:t>
      </w:r>
      <w:proofErr w:type="spellEnd"/>
      <w:r w:rsidRPr="003B7AC9">
        <w:rPr>
          <w:rFonts w:ascii="Arial" w:hAnsi="Arial" w:cs="Arial"/>
          <w:color w:val="000000"/>
          <w:lang w:eastAsia="es-ES"/>
        </w:rPr>
        <w:t xml:space="preserve"> for Ambulatory Care</w:t>
      </w:r>
      <w:r w:rsidRPr="003B7AC9">
        <w:rPr>
          <w:rFonts w:ascii="Arial" w:hAnsi="Arial" w:cs="Arial"/>
          <w:color w:val="000000"/>
          <w:lang w:eastAsia="es-ES"/>
        </w:rPr>
        <w:t xml:space="preserve"> </w:t>
      </w:r>
      <w:r w:rsidRPr="003B7AC9">
        <w:rPr>
          <w:rFonts w:ascii="Arial" w:hAnsi="Arial" w:cs="Arial"/>
          <w:color w:val="000000"/>
          <w:lang w:eastAsia="es-ES"/>
        </w:rPr>
        <w:t>in Germany: A Natural Experiment Using a Difference-in-Difference</w:t>
      </w:r>
      <w:r w:rsidRPr="003B7AC9">
        <w:rPr>
          <w:rFonts w:ascii="Arial" w:hAnsi="Arial" w:cs="Arial"/>
          <w:color w:val="000000"/>
          <w:lang w:eastAsia="es-ES"/>
        </w:rPr>
        <w:t xml:space="preserve"> </w:t>
      </w:r>
      <w:r w:rsidRPr="003B7AC9">
        <w:rPr>
          <w:rFonts w:ascii="Arial" w:hAnsi="Arial" w:cs="Arial"/>
          <w:color w:val="000000"/>
          <w:lang w:eastAsia="es-ES"/>
        </w:rPr>
        <w:t>Approach. Discussion Papers of DIW Berlin, German Institute</w:t>
      </w:r>
      <w:r w:rsidRPr="003B7AC9">
        <w:rPr>
          <w:rFonts w:ascii="Arial" w:hAnsi="Arial" w:cs="Arial"/>
          <w:color w:val="000000"/>
          <w:lang w:eastAsia="es-ES"/>
        </w:rPr>
        <w:t xml:space="preserve"> </w:t>
      </w:r>
      <w:r w:rsidRPr="003B7AC9">
        <w:rPr>
          <w:rFonts w:ascii="Arial" w:hAnsi="Arial" w:cs="Arial"/>
          <w:color w:val="000000"/>
          <w:lang w:eastAsia="es-ES"/>
        </w:rPr>
        <w:t xml:space="preserve">for Economic Research (2008). </w:t>
      </w:r>
      <w:r w:rsidRPr="003B7AC9">
        <w:rPr>
          <w:rFonts w:ascii="Arial" w:hAnsi="Arial" w:cs="Arial"/>
          <w:color w:val="0000FF"/>
          <w:lang w:eastAsia="es-ES"/>
        </w:rPr>
        <w:t>http://mpra.ub.uni-muenchen.de/23035 /1/</w:t>
      </w:r>
      <w:proofErr w:type="spellStart"/>
      <w:r w:rsidRPr="003B7AC9">
        <w:rPr>
          <w:rFonts w:ascii="Arial" w:hAnsi="Arial" w:cs="Arial"/>
          <w:color w:val="0000FF"/>
          <w:lang w:eastAsia="es-ES"/>
        </w:rPr>
        <w:t>MPRA_paper</w:t>
      </w:r>
      <w:proofErr w:type="spellEnd"/>
      <w:r w:rsidRPr="003B7AC9">
        <w:rPr>
          <w:rFonts w:ascii="Arial" w:hAnsi="Arial" w:cs="Arial"/>
          <w:color w:val="0000FF"/>
          <w:lang w:eastAsia="es-ES"/>
        </w:rPr>
        <w:t xml:space="preserve"> 23035.pdf</w:t>
      </w:r>
      <w:r w:rsidRPr="003B7AC9">
        <w:rPr>
          <w:rFonts w:ascii="Arial" w:hAnsi="Arial" w:cs="Arial"/>
          <w:color w:val="000000"/>
          <w:lang w:eastAsia="es-ES"/>
        </w:rPr>
        <w:t>. Accessed 29 Dec 2013</w:t>
      </w:r>
    </w:p>
    <w:p w:rsidR="003B7AC9" w:rsidRPr="003B7AC9" w:rsidRDefault="003B7AC9" w:rsidP="003B7AC9">
      <w:pPr>
        <w:pStyle w:val="ListParagraph"/>
        <w:jc w:val="both"/>
        <w:rPr>
          <w:rFonts w:ascii="Arial" w:hAnsi="Arial" w:cs="Arial"/>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proofErr w:type="spellStart"/>
      <w:r w:rsidRPr="003B7AC9">
        <w:rPr>
          <w:rFonts w:ascii="Arial" w:hAnsi="Arial" w:cs="Arial"/>
          <w:lang w:eastAsia="es-ES"/>
        </w:rPr>
        <w:t>Scitovsky</w:t>
      </w:r>
      <w:proofErr w:type="spellEnd"/>
      <w:r w:rsidRPr="003B7AC9">
        <w:rPr>
          <w:rFonts w:ascii="Arial" w:hAnsi="Arial" w:cs="Arial"/>
          <w:lang w:eastAsia="es-ES"/>
        </w:rPr>
        <w:t>, A.A., McCall, N.: Coinsurance and the demand for</w:t>
      </w:r>
      <w:r w:rsidRPr="003B7AC9">
        <w:rPr>
          <w:rFonts w:ascii="Arial" w:hAnsi="Arial" w:cs="Arial"/>
          <w:lang w:eastAsia="es-ES"/>
        </w:rPr>
        <w:t xml:space="preserve"> </w:t>
      </w:r>
      <w:r w:rsidRPr="003B7AC9">
        <w:rPr>
          <w:rFonts w:ascii="Arial" w:hAnsi="Arial" w:cs="Arial"/>
          <w:lang w:eastAsia="es-ES"/>
        </w:rPr>
        <w:t xml:space="preserve">physician services: four years later. Soc. </w:t>
      </w:r>
      <w:proofErr w:type="spellStart"/>
      <w:r w:rsidRPr="003B7AC9">
        <w:rPr>
          <w:rFonts w:ascii="Arial" w:hAnsi="Arial" w:cs="Arial"/>
          <w:lang w:eastAsia="es-ES"/>
        </w:rPr>
        <w:t>Secur</w:t>
      </w:r>
      <w:proofErr w:type="spellEnd"/>
      <w:r w:rsidRPr="003B7AC9">
        <w:rPr>
          <w:rFonts w:ascii="Arial" w:hAnsi="Arial" w:cs="Arial"/>
          <w:lang w:eastAsia="es-ES"/>
        </w:rPr>
        <w:t>. Bull. 35, 4019–4027 (1977)</w:t>
      </w:r>
    </w:p>
    <w:p w:rsidR="003B7AC9" w:rsidRPr="003B7AC9" w:rsidRDefault="003B7AC9" w:rsidP="003B7AC9">
      <w:pPr>
        <w:pStyle w:val="ListParagraph"/>
        <w:jc w:val="both"/>
        <w:rPr>
          <w:rFonts w:ascii="Arial" w:hAnsi="Arial" w:cs="Arial"/>
          <w:lang w:eastAsia="es-ES"/>
        </w:rPr>
      </w:pPr>
    </w:p>
    <w:p w:rsidR="003B7AC9" w:rsidRPr="003B7AC9" w:rsidRDefault="003B7AC9" w:rsidP="003B7AC9">
      <w:pPr>
        <w:pStyle w:val="ListParagraph"/>
        <w:numPr>
          <w:ilvl w:val="0"/>
          <w:numId w:val="5"/>
        </w:numPr>
        <w:autoSpaceDE w:val="0"/>
        <w:autoSpaceDN w:val="0"/>
        <w:adjustRightInd w:val="0"/>
        <w:jc w:val="both"/>
        <w:rPr>
          <w:rFonts w:ascii="Arial" w:hAnsi="Arial" w:cs="Arial"/>
          <w:lang w:eastAsia="es-ES"/>
        </w:rPr>
      </w:pPr>
      <w:r w:rsidRPr="003B7AC9">
        <w:rPr>
          <w:rFonts w:ascii="Arial" w:hAnsi="Arial" w:cs="Arial"/>
          <w:lang w:eastAsia="es-ES"/>
        </w:rPr>
        <w:t>Winkelmann, R.: Co-payments for prescription drugs and the</w:t>
      </w:r>
      <w:r w:rsidRPr="003B7AC9">
        <w:rPr>
          <w:rFonts w:ascii="Arial" w:hAnsi="Arial" w:cs="Arial"/>
          <w:lang w:eastAsia="es-ES"/>
        </w:rPr>
        <w:t xml:space="preserve"> </w:t>
      </w:r>
      <w:r w:rsidRPr="003B7AC9">
        <w:rPr>
          <w:rFonts w:ascii="Arial" w:hAnsi="Arial" w:cs="Arial"/>
          <w:lang w:eastAsia="es-ES"/>
        </w:rPr>
        <w:t>demand for doctor visits—evidence from a natural experiment.</w:t>
      </w:r>
      <w:r w:rsidRPr="003B7AC9">
        <w:rPr>
          <w:rFonts w:ascii="Arial" w:hAnsi="Arial" w:cs="Arial"/>
          <w:lang w:eastAsia="es-ES"/>
        </w:rPr>
        <w:t xml:space="preserve"> </w:t>
      </w:r>
      <w:r w:rsidRPr="003B7AC9">
        <w:rPr>
          <w:rFonts w:ascii="Arial" w:hAnsi="Arial" w:cs="Arial"/>
          <w:lang w:eastAsia="es-ES"/>
        </w:rPr>
        <w:t>Health Econ. 13, 1081–1089 (2004)</w:t>
      </w:r>
    </w:p>
    <w:p w:rsidR="003B7AC9" w:rsidRPr="003B7AC9" w:rsidRDefault="003B7AC9" w:rsidP="003B7AC9">
      <w:pPr>
        <w:pStyle w:val="ListParagraph"/>
        <w:rPr>
          <w:rStyle w:val="authorsname"/>
          <w:color w:val="000000"/>
          <w:sz w:val="17"/>
          <w:szCs w:val="17"/>
          <w:lang w:eastAsia="es-ES"/>
        </w:rPr>
      </w:pPr>
    </w:p>
    <w:p w:rsidR="002748EB" w:rsidRPr="0086751E" w:rsidRDefault="002748EB" w:rsidP="002748EB">
      <w:pPr>
        <w:pStyle w:val="Heading1"/>
        <w:spacing w:before="0" w:line="360" w:lineRule="auto"/>
        <w:jc w:val="both"/>
        <w:rPr>
          <w:sz w:val="24"/>
          <w:szCs w:val="24"/>
          <w:lang w:val="en"/>
        </w:rPr>
      </w:pPr>
    </w:p>
    <w:p w:rsidR="002748EB" w:rsidRPr="0087396A" w:rsidRDefault="002748EB" w:rsidP="002C7EE2">
      <w:pPr>
        <w:tabs>
          <w:tab w:val="left" w:pos="2880"/>
        </w:tabs>
        <w:spacing w:after="100" w:line="360" w:lineRule="auto"/>
        <w:jc w:val="both"/>
        <w:sectPr w:rsidR="002748EB" w:rsidRPr="0087396A" w:rsidSect="00104FA8">
          <w:headerReference w:type="even" r:id="rId16"/>
          <w:headerReference w:type="default" r:id="rId17"/>
          <w:footerReference w:type="even" r:id="rId18"/>
          <w:footerReference w:type="default" r:id="rId19"/>
          <w:headerReference w:type="first" r:id="rId20"/>
          <w:footerReference w:type="first" r:id="rId21"/>
          <w:pgSz w:w="11900" w:h="16840"/>
          <w:pgMar w:top="1417" w:right="1701" w:bottom="1417" w:left="1701" w:header="708" w:footer="708" w:gutter="0"/>
          <w:pgNumType w:start="0"/>
          <w:cols w:space="708"/>
          <w:titlePg/>
        </w:sectPr>
      </w:pPr>
    </w:p>
    <w:p w:rsidR="001B5EE7" w:rsidRPr="0095091B" w:rsidRDefault="001B5EE7" w:rsidP="001B5EE7">
      <w:pPr>
        <w:widowControl w:val="0"/>
        <w:spacing w:after="200"/>
        <w:jc w:val="both"/>
        <w:rPr>
          <w:rFonts w:ascii="Arial" w:hAnsi="Arial" w:cs="Arial"/>
          <w:b/>
          <w:bCs/>
          <w:sz w:val="20"/>
          <w:szCs w:val="20"/>
        </w:rPr>
      </w:pPr>
      <w:r w:rsidRPr="0095091B">
        <w:rPr>
          <w:rFonts w:ascii="Arial"/>
          <w:b/>
          <w:bCs/>
          <w:sz w:val="20"/>
          <w:szCs w:val="20"/>
        </w:rPr>
        <w:lastRenderedPageBreak/>
        <w:t>Table 1.- Visits to prescribers. Percentage of variation of the average number of visits per individual and month (95% Credibility Interval)</w:t>
      </w:r>
    </w:p>
    <w:tbl>
      <w:tblPr>
        <w:tblW w:w="151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80"/>
        <w:gridCol w:w="2231"/>
        <w:gridCol w:w="2231"/>
        <w:gridCol w:w="2198"/>
        <w:gridCol w:w="2160"/>
        <w:gridCol w:w="2160"/>
        <w:gridCol w:w="2160"/>
      </w:tblGrid>
      <w:tr w:rsidR="001B5EE7" w:rsidRPr="00E41222" w:rsidTr="00E41222">
        <w:trPr>
          <w:trHeight w:val="281"/>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IAS Girona</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July 2012</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August 2012</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September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October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November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December 2012</w:t>
            </w:r>
          </w:p>
        </w:tc>
      </w:tr>
      <w:tr w:rsidR="001B5EE7" w:rsidRPr="00E41222" w:rsidTr="00E41222">
        <w:trPr>
          <w:trHeight w:val="38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All individuals</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-2.16 (-5.71, 1.50)</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-1.98 (-5.81,1.99)</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-2.71 (-6.90,1.64)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-1.50 (-6.29,3.50)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-2.97 ( -8.67,3.02)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w:t>
            </w:r>
            <w:r w:rsidRPr="00E41222">
              <w:rPr>
                <w:rFonts w:ascii="Arial"/>
                <w:b/>
                <w:bCs/>
                <w:sz w:val="16"/>
                <w:szCs w:val="16"/>
              </w:rPr>
              <w:t>4.44 (-12.35, -1.04)</w:t>
            </w:r>
          </w:p>
        </w:tc>
      </w:tr>
      <w:tr w:rsidR="001B5EE7" w:rsidRPr="00E41222" w:rsidTr="00E41222">
        <w:trPr>
          <w:trHeight w:val="392"/>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Males</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-0.44 (-5.55, 4.91)</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-0.92 (-6.43, 4.87)</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-0.77 (-6.84, 5.63)</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-0.65 (-6.31, 8.05)</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-0.41 (-8.71, 8.50)</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-1.34 (-12.72, 11.23)</w:t>
            </w:r>
          </w:p>
        </w:tc>
      </w:tr>
      <w:tr w:rsidR="001B5EE7" w:rsidRPr="00E41222" w:rsidTr="00E41222">
        <w:trPr>
          <w:trHeight w:val="367"/>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Females</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-3.78 (-4.41, -1.20)</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-2.81 (-7.73, -0.83)</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w:t>
            </w:r>
            <w:r w:rsidRPr="00E41222">
              <w:rPr>
                <w:rFonts w:ascii="Arial"/>
                <w:b/>
                <w:bCs/>
                <w:sz w:val="16"/>
                <w:szCs w:val="16"/>
              </w:rPr>
              <w:t>4.67 ( -6.25, -2.30)</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-2.70 (-5.98, 1.05)</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-5.49 (-14.29, -2.46)</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-7.52 (-15.00, -3.15)</w:t>
            </w:r>
          </w:p>
        </w:tc>
      </w:tr>
      <w:tr w:rsidR="001B5EE7" w:rsidRPr="00E41222" w:rsidTr="00E41222">
        <w:trPr>
          <w:trHeight w:val="341"/>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Age group</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r>
      <w:tr w:rsidR="001B5EE7" w:rsidRPr="00E41222" w:rsidTr="00E41222">
        <w:trPr>
          <w:trHeight w:val="465"/>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&lt; 15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-7.90 (-31.26, 21.44)</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-5.30 (-31.23, 27.99)</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-6.76 (-34.95, 30.53)</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-7.71 (-38.78, 34.96)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-4.32 (-42.70, 52.34)</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26.61 (-34.47,128.64)</w:t>
            </w:r>
          </w:p>
        </w:tc>
      </w:tr>
      <w:tr w:rsidR="001B5EE7" w:rsidRPr="00E41222" w:rsidTr="00E41222">
        <w:trPr>
          <w:trHeight w:val="38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hint="eastAsia"/>
                <w:sz w:val="16"/>
                <w:szCs w:val="16"/>
              </w:rPr>
              <w:t>≥</w:t>
            </w:r>
            <w:r w:rsidRPr="00E41222">
              <w:rPr>
                <w:rFonts w:ascii="Arial"/>
                <w:b/>
                <w:bCs/>
                <w:sz w:val="16"/>
                <w:szCs w:val="16"/>
              </w:rPr>
              <w:t xml:space="preserve"> 15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-2.47 ( -6.09, -0.27)</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-2.19 (-6.10, -0.87)</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-3.11 (-7.38, -1.32)</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-1.74 ( -6.63, 3.37)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-3.62 (-9.42, -1.49)</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-5.47 (-13.50, -2.15)</w:t>
            </w:r>
          </w:p>
        </w:tc>
      </w:tr>
      <w:tr w:rsidR="001B5EE7" w:rsidRPr="00E41222" w:rsidTr="00E41222">
        <w:trPr>
          <w:trHeight w:val="220"/>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r>
      <w:tr w:rsidR="001B5EE7" w:rsidRPr="00E41222" w:rsidTr="00E41222">
        <w:trPr>
          <w:trHeight w:val="29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   15-34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3.47 (-6.65, 14.50)</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3.66 (-7.37, 15.76)</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1.81 (-10.18, 15.08)</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0.94 (-12.59, 16.13)</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-2.29 (-18.64, 16.60)</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-1.86 (-24.72, 26.23)</w:t>
            </w:r>
          </w:p>
        </w:tc>
      </w:tr>
      <w:tr w:rsidR="001B5EE7" w:rsidRPr="00E41222" w:rsidTr="00E41222">
        <w:trPr>
          <w:trHeight w:val="27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   35-44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5.92 (-3.02, 15.54)</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6.75 (-3.00, 17.32)</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5.44 (-5.19, 17.05)</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6.58 (-5.60, 20.02)</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-0.09 (-14.18, 15.82)</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-2.23 (-21.87, 21.20(</w:t>
            </w:r>
          </w:p>
        </w:tc>
      </w:tr>
      <w:tr w:rsidR="001B5EE7" w:rsidRPr="00E41222" w:rsidTr="00E41222">
        <w:trPr>
          <w:trHeight w:val="25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   45-54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2.85 (-5.11, 11.37)</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4.24 (-4.47, 13.61)</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3.82 (-5.80, 14.24)</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8.77 (-2.50, 21.11)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-1.83 (-3.74, 24.94)</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-0.65 (-16.97, 21.21)</w:t>
            </w:r>
          </w:p>
        </w:tc>
      </w:tr>
      <w:tr w:rsidR="001B5EE7" w:rsidRPr="00E41222" w:rsidTr="00E41222">
        <w:trPr>
          <w:trHeight w:val="317"/>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   55.64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-1.46 (-6.44, -0.11)</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-1.38 (-7.17, -0.08)</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-2.40 (-8.07, -0.66)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-2.49 (-8.37, 14.41)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-2.45 (-12.42, -1.48)</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-3.24 (-17.94, -0.46)</w:t>
            </w:r>
          </w:p>
        </w:tc>
      </w:tr>
      <w:tr w:rsidR="001B5EE7" w:rsidRPr="00E41222" w:rsidTr="00E41222">
        <w:trPr>
          <w:trHeight w:val="285"/>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   65-74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-3.02 (-6.30, -1.24)</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-2.27 (-6.95, -0.31)</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-3.21 (-7.10, -1.33)</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 xml:space="preserve">-10.31 (-22.96, -1.20) </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-8.36 (-23.40, -5.10)</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9.44 (-9.34, 31.39)</w:t>
            </w:r>
          </w:p>
        </w:tc>
      </w:tr>
      <w:tr w:rsidR="001B5EE7" w:rsidRPr="00E41222" w:rsidTr="00E41222">
        <w:trPr>
          <w:trHeight w:val="430"/>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hint="eastAsia"/>
                <w:sz w:val="16"/>
                <w:szCs w:val="16"/>
              </w:rPr>
              <w:t>≥</w:t>
            </w:r>
            <w:r w:rsidRPr="00E41222">
              <w:rPr>
                <w:rFonts w:ascii="Arial"/>
                <w:b/>
                <w:bCs/>
                <w:sz w:val="16"/>
                <w:szCs w:val="16"/>
              </w:rPr>
              <w:t xml:space="preserve"> 75 y.</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-2.15 (-6.</w:t>
            </w:r>
            <w:r w:rsidR="004849B1" w:rsidRPr="00E41222">
              <w:rPr>
                <w:rFonts w:ascii="Arial"/>
                <w:b/>
                <w:bCs/>
                <w:sz w:val="16"/>
                <w:szCs w:val="16"/>
              </w:rPr>
              <w:t>04, -</w:t>
            </w:r>
            <w:r w:rsidRPr="00E41222">
              <w:rPr>
                <w:rFonts w:ascii="Arial"/>
                <w:b/>
                <w:bCs/>
                <w:sz w:val="16"/>
                <w:szCs w:val="16"/>
              </w:rPr>
              <w:t>0.93)</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-2.21 (-5.23, -0.20)</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-3.54 (-7.12, -1.66)</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 xml:space="preserve">-18.98 (-43.45, -1.95)      </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 xml:space="preserve">-7.24 ( -46.67, -2.18)      </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14.57 (-17.82, 56.66)</w:t>
            </w:r>
          </w:p>
        </w:tc>
      </w:tr>
    </w:tbl>
    <w:p w:rsidR="001B5EE7" w:rsidRPr="0095091B" w:rsidRDefault="001B5EE7" w:rsidP="00A2386A">
      <w:pPr>
        <w:spacing w:after="200"/>
        <w:jc w:val="both"/>
        <w:rPr>
          <w:rFonts w:ascii="Arial" w:hAnsi="Arial" w:cs="Arial"/>
          <w:b/>
          <w:bCs/>
          <w:sz w:val="20"/>
          <w:szCs w:val="20"/>
        </w:rPr>
      </w:pPr>
      <w:r w:rsidRPr="00AC5728">
        <w:rPr>
          <w:sz w:val="18"/>
          <w:szCs w:val="18"/>
        </w:rPr>
        <w:br w:type="page"/>
      </w:r>
      <w:r w:rsidRPr="0095091B">
        <w:rPr>
          <w:rFonts w:ascii="Arial"/>
          <w:b/>
          <w:bCs/>
          <w:sz w:val="20"/>
          <w:szCs w:val="20"/>
        </w:rPr>
        <w:lastRenderedPageBreak/>
        <w:t>Table 1.- Visits to prescribers. Percentage of variation of the average number of visits per individual and month (95% Credibility Interval)</w:t>
      </w:r>
    </w:p>
    <w:tbl>
      <w:tblPr>
        <w:tblW w:w="150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80"/>
        <w:gridCol w:w="2160"/>
        <w:gridCol w:w="2302"/>
        <w:gridCol w:w="2198"/>
        <w:gridCol w:w="2040"/>
        <w:gridCol w:w="2160"/>
        <w:gridCol w:w="2160"/>
      </w:tblGrid>
      <w:tr w:rsidR="001B5EE7" w:rsidRPr="00E41222" w:rsidTr="00E41222">
        <w:trPr>
          <w:trHeight w:val="264"/>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IAS Girona</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July 2012</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August 2012</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September 2012</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October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November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December 2012</w:t>
            </w:r>
          </w:p>
        </w:tc>
      </w:tr>
      <w:tr w:rsidR="001B5EE7" w:rsidRPr="00E41222" w:rsidTr="00E41222">
        <w:trPr>
          <w:trHeight w:val="258"/>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 chronic</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 xml:space="preserve">-0.56 (-25.35, 4.95)      </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 xml:space="preserve">-0.53 (-24.46, 3.89)      </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 xml:space="preserve">-1.63 (-25.24, 6.14)      </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7.69 (-9.01, 26.80)</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6.93 (-12.96, 30.33)</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7.11 (-20.04, 41.21)</w:t>
            </w:r>
          </w:p>
        </w:tc>
      </w:tr>
      <w:tr w:rsidR="001B5EE7" w:rsidRPr="00E41222" w:rsidTr="00E41222">
        <w:trPr>
          <w:trHeight w:val="233"/>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Chronic</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color w:val="000000" w:themeColor="text1"/>
                <w:sz w:val="16"/>
                <w:szCs w:val="16"/>
              </w:rPr>
            </w:pPr>
            <w:r w:rsidRPr="00E41222">
              <w:rPr>
                <w:rFonts w:ascii="Arial"/>
                <w:b/>
                <w:bCs/>
                <w:color w:val="000000" w:themeColor="text1"/>
                <w:sz w:val="16"/>
                <w:szCs w:val="16"/>
              </w:rPr>
              <w:t>-2.87 (-5.59, -0.98)</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color w:val="000000" w:themeColor="text1"/>
                <w:sz w:val="16"/>
                <w:szCs w:val="16"/>
              </w:rPr>
            </w:pPr>
            <w:r w:rsidRPr="00E41222">
              <w:rPr>
                <w:rFonts w:ascii="Arial"/>
                <w:b/>
                <w:bCs/>
                <w:color w:val="000000" w:themeColor="text1"/>
                <w:sz w:val="16"/>
                <w:szCs w:val="16"/>
              </w:rPr>
              <w:t>-2.11 ( -5.54, -0.66)</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color w:val="000000" w:themeColor="text1"/>
                <w:sz w:val="16"/>
                <w:szCs w:val="16"/>
              </w:rPr>
            </w:pPr>
            <w:r w:rsidRPr="00E41222">
              <w:rPr>
                <w:rFonts w:ascii="Arial"/>
                <w:b/>
                <w:bCs/>
                <w:color w:val="000000" w:themeColor="text1"/>
                <w:sz w:val="16"/>
                <w:szCs w:val="16"/>
              </w:rPr>
              <w:t>-3.29 (-6.69, -1.29)</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-0.88 (-5.92, 4.38)</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-2.46 (-8.45, -0.85)</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-4.07 (-12.38, -1.87)</w:t>
            </w:r>
          </w:p>
        </w:tc>
      </w:tr>
      <w:tr w:rsidR="001B5EE7" w:rsidRPr="00E41222" w:rsidTr="00E41222">
        <w:trPr>
          <w:trHeight w:val="2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r>
      <w:tr w:rsidR="001B5EE7" w:rsidRPr="00E41222" w:rsidTr="00E41222">
        <w:trPr>
          <w:trHeight w:val="379"/>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Non HTA</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-2.85 (-7.67, 2.20)</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-2.95 (-8.16, 2.52)</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-4.50 (-10.17, 1.46)</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3.33 (-9.82, 9.54)</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4.93 (-12.62, 3.31)</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5.99 (-16.64, 8.74)</w:t>
            </w:r>
          </w:p>
        </w:tc>
      </w:tr>
      <w:tr w:rsidR="001B5EE7" w:rsidRPr="00E41222" w:rsidTr="00E41222">
        <w:trPr>
          <w:trHeight w:val="383"/>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HTA</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-4.15 (-9.74, -1.19)</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-4.52 (-10.59, -1.27)</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-4.69 (-11.42, -1.69)</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-5.79 (-1.49, 13.52)</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-4.53 (-13.87, -1.17)</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-2.22 (-9.77, -1.48)</w:t>
            </w:r>
          </w:p>
        </w:tc>
      </w:tr>
      <w:tr w:rsidR="001B5EE7" w:rsidRPr="00E41222" w:rsidTr="00E41222">
        <w:trPr>
          <w:trHeight w:val="368"/>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Non DM2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-1.58 (-6.36, 3.40)</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-1.53 (-6.69, 3.88)</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-1.86 (-7.53, 4.10)</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1.15 ( -7.61, 5.68)</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1.31 (-9.04, 6.96)</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3.75 (-13.43, 8.99)</w:t>
            </w:r>
          </w:p>
        </w:tc>
      </w:tr>
      <w:tr w:rsidR="001B5EE7" w:rsidRPr="00E41222" w:rsidTr="00E41222">
        <w:trPr>
          <w:trHeight w:val="358"/>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DM2</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-2.24 (-7.88, -0.88)</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-2.47 (-8.36, -0.59)</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-3.08 (-7.77, -1.17)</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-1.76 (-4.52, 10.50)</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-2.50 (-9.08, -0.74)</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-2.20 (-14.08, -1.00)</w:t>
            </w:r>
          </w:p>
        </w:tc>
      </w:tr>
      <w:tr w:rsidR="001B5EE7" w:rsidRPr="00E41222" w:rsidTr="00E41222">
        <w:trPr>
          <w:trHeight w:val="370"/>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4849B1" w:rsidP="00104FA8">
            <w:pPr>
              <w:spacing w:after="200"/>
              <w:jc w:val="both"/>
              <w:rPr>
                <w:sz w:val="16"/>
                <w:szCs w:val="16"/>
              </w:rPr>
            </w:pPr>
            <w:r w:rsidRPr="00E41222">
              <w:rPr>
                <w:rFonts w:ascii="Arial"/>
                <w:b/>
                <w:bCs/>
                <w:sz w:val="16"/>
                <w:szCs w:val="16"/>
              </w:rPr>
              <w:t>Non-Obese</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0.80 (-4.13, 5.94)</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1.08 (-4.27, 6.67)</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0.59 (-5.26, 6.75)</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1.11 (-5.56, 8.17)</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0.03 (-7.92, 8.55)</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-2.32 (-13.26, 9.72)</w:t>
            </w:r>
          </w:p>
        </w:tc>
      </w:tr>
      <w:tr w:rsidR="001B5EE7" w:rsidRPr="00E41222" w:rsidTr="00E41222">
        <w:trPr>
          <w:trHeight w:val="373"/>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Obese</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-2.48 (-5.68, -0.95)</w:t>
            </w:r>
          </w:p>
        </w:tc>
        <w:tc>
          <w:tcPr>
            <w:tcW w:w="230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-2.56 (-6.16, -1.32)</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-2.77 ( -7.87,</w:t>
            </w:r>
            <w:r w:rsidR="004849B1" w:rsidRPr="00E41222">
              <w:rPr>
                <w:rFonts w:ascii="Arial"/>
                <w:b/>
                <w:bCs/>
                <w:sz w:val="16"/>
                <w:szCs w:val="16"/>
              </w:rPr>
              <w:t xml:space="preserve"> </w:t>
            </w:r>
            <w:r w:rsidRPr="00E41222">
              <w:rPr>
                <w:rFonts w:ascii="Arial"/>
                <w:b/>
                <w:bCs/>
                <w:sz w:val="16"/>
                <w:szCs w:val="16"/>
              </w:rPr>
              <w:t>- 1.68)</w:t>
            </w:r>
          </w:p>
        </w:tc>
        <w:tc>
          <w:tcPr>
            <w:tcW w:w="204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-0.10 (-6.92, 7.55)</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-2.01 (-10.31, -0.91)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-2.61 (-14.17, -1.20)</w:t>
            </w:r>
          </w:p>
        </w:tc>
      </w:tr>
      <w:tr w:rsidR="001B5EE7" w:rsidRPr="00E41222" w:rsidTr="00E41222">
        <w:trPr>
          <w:trHeight w:val="367"/>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 xml:space="preserve">Non </w:t>
            </w:r>
            <w:proofErr w:type="spellStart"/>
            <w:r w:rsidRPr="00E41222">
              <w:rPr>
                <w:rFonts w:ascii="Arial"/>
                <w:b/>
                <w:bCs/>
                <w:sz w:val="16"/>
                <w:szCs w:val="16"/>
              </w:rPr>
              <w:t>Dislip</w:t>
            </w:r>
            <w:proofErr w:type="spellEnd"/>
            <w:r w:rsidRPr="00E41222">
              <w:rPr>
                <w:rFonts w:ascii="Arial"/>
                <w:b/>
                <w:bCs/>
                <w:sz w:val="16"/>
                <w:szCs w:val="16"/>
              </w:rPr>
              <w:t xml:space="preserve"> or </w:t>
            </w:r>
            <w:proofErr w:type="spellStart"/>
            <w:r w:rsidRPr="00E41222">
              <w:rPr>
                <w:rFonts w:ascii="Arial"/>
                <w:b/>
                <w:bCs/>
                <w:sz w:val="16"/>
                <w:szCs w:val="16"/>
              </w:rPr>
              <w:t>Tg</w:t>
            </w:r>
            <w:proofErr w:type="spellEnd"/>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0.16 (-4.77, 5.31)</w:t>
            </w:r>
          </w:p>
        </w:tc>
        <w:tc>
          <w:tcPr>
            <w:tcW w:w="230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-0.75 (-6.05, 4.79)</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-1.84 (-7.62, 4.24)</w:t>
            </w:r>
          </w:p>
        </w:tc>
        <w:tc>
          <w:tcPr>
            <w:tcW w:w="204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1.07 (-7.67, 5.92)</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1.07 (-10.89, 5.30)</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-2.39 (-13.36, 9.69)</w:t>
            </w:r>
          </w:p>
        </w:tc>
      </w:tr>
      <w:tr w:rsidR="001B5EE7" w:rsidRPr="00E41222" w:rsidTr="00E41222">
        <w:trPr>
          <w:trHeight w:val="361"/>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proofErr w:type="spellStart"/>
            <w:r w:rsidRPr="00E41222">
              <w:rPr>
                <w:rFonts w:ascii="Arial"/>
                <w:b/>
                <w:bCs/>
                <w:sz w:val="16"/>
                <w:szCs w:val="16"/>
              </w:rPr>
              <w:t>Dislip</w:t>
            </w:r>
            <w:proofErr w:type="spellEnd"/>
            <w:r w:rsidRPr="00E41222">
              <w:rPr>
                <w:rFonts w:ascii="Arial"/>
                <w:b/>
                <w:bCs/>
                <w:sz w:val="16"/>
                <w:szCs w:val="16"/>
              </w:rPr>
              <w:t xml:space="preserve"> or </w:t>
            </w:r>
            <w:proofErr w:type="spellStart"/>
            <w:r w:rsidRPr="00E41222">
              <w:rPr>
                <w:rFonts w:ascii="Arial"/>
                <w:b/>
                <w:bCs/>
                <w:sz w:val="16"/>
                <w:szCs w:val="16"/>
              </w:rPr>
              <w:t>Tg</w:t>
            </w:r>
            <w:proofErr w:type="spellEnd"/>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-2.16 (-5.02, -0.58)</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-2.42 (-4.24, -0.76)</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-2.93 (-5.26, -1.46)</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-1.51 (-4.59, 10.05)</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-2.47 (-7.01, -0.58)</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-2.62 (-14.13, -1.13)</w:t>
            </w:r>
          </w:p>
        </w:tc>
      </w:tr>
    </w:tbl>
    <w:p w:rsidR="001B5EE7" w:rsidRDefault="001B5EE7" w:rsidP="001B5EE7">
      <w:pPr>
        <w:rPr>
          <w:rFonts w:ascii="Arial" w:hAnsi="Arial" w:cs="Arial"/>
          <w:sz w:val="20"/>
          <w:szCs w:val="20"/>
        </w:rPr>
      </w:pPr>
    </w:p>
    <w:p w:rsidR="001B5EE7" w:rsidRPr="0095091B" w:rsidRDefault="001B5EE7" w:rsidP="001B5EE7">
      <w:pPr>
        <w:spacing w:after="200"/>
        <w:jc w:val="both"/>
        <w:rPr>
          <w:rFonts w:ascii="Arial" w:hAnsi="Arial" w:cs="Arial"/>
          <w:b/>
          <w:bCs/>
          <w:sz w:val="20"/>
          <w:szCs w:val="20"/>
        </w:rPr>
      </w:pPr>
      <w:r>
        <w:rPr>
          <w:rFonts w:ascii="Arial" w:hAnsi="Arial" w:cs="Arial"/>
          <w:sz w:val="20"/>
          <w:szCs w:val="20"/>
        </w:rPr>
        <w:br w:type="page"/>
      </w:r>
      <w:r w:rsidRPr="0095091B">
        <w:rPr>
          <w:rFonts w:ascii="Arial"/>
          <w:b/>
          <w:bCs/>
          <w:sz w:val="20"/>
          <w:szCs w:val="20"/>
        </w:rPr>
        <w:lastRenderedPageBreak/>
        <w:t>Table 1.- Visits to prescribers. Percentage of variation of the average number of visits per individual and month (95% Credibility Interval)</w:t>
      </w:r>
    </w:p>
    <w:tbl>
      <w:tblPr>
        <w:tblW w:w="150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80"/>
        <w:gridCol w:w="2160"/>
        <w:gridCol w:w="2302"/>
        <w:gridCol w:w="2198"/>
        <w:gridCol w:w="2040"/>
        <w:gridCol w:w="2160"/>
        <w:gridCol w:w="2160"/>
      </w:tblGrid>
      <w:tr w:rsidR="001B5EE7" w:rsidRPr="00E41222" w:rsidTr="00E41222">
        <w:trPr>
          <w:trHeight w:val="38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IAS Girona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July 2012</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August 2012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September 2012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October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November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December 2012</w:t>
            </w:r>
          </w:p>
        </w:tc>
      </w:tr>
      <w:tr w:rsidR="001B5EE7" w:rsidRPr="00E41222" w:rsidTr="00E41222">
        <w:trPr>
          <w:trHeight w:val="194"/>
        </w:trPr>
        <w:tc>
          <w:tcPr>
            <w:tcW w:w="6442"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Quintiles of the probability of being unemployed</w:t>
            </w:r>
          </w:p>
        </w:tc>
        <w:tc>
          <w:tcPr>
            <w:tcW w:w="21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0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r>
      <w:tr w:rsidR="001B5EE7" w:rsidRPr="00E41222" w:rsidTr="00E41222">
        <w:trPr>
          <w:trHeight w:val="3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First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5.54 (-4.71, 16.74)</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4.52 (-6.42, 16.55)</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3.12 (-8.81, 16.36)</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5.24 (-8.47, 20.67)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3.31 (-12.82, 21.88)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-5.05 (-26.11, 20.75)</w:t>
            </w:r>
          </w:p>
        </w:tc>
      </w:tr>
      <w:tr w:rsidR="001B5EE7" w:rsidRPr="00E41222" w:rsidTr="00E41222">
        <w:trPr>
          <w:trHeight w:val="333"/>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Second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3.86 (-3.95, 12.20)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3.98 (-4.46, 13.06)</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3.45 (-5.81, 13.46)</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7.71 (-3.15, 19.57)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1.76 (-10.82, 15.79)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-2.49 (-19.50, 17.39)</w:t>
            </w:r>
          </w:p>
        </w:tc>
      </w:tr>
      <w:tr w:rsidR="001B5EE7" w:rsidRPr="00E41222" w:rsidTr="00E41222">
        <w:trPr>
          <w:trHeight w:val="32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Third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-1.34 (-9.90, 7.90)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-0.35 (-9.02, 10.53)</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-0.83 (-11.07, 10.38)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-0.27 (-11.92, 12.65)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0.29 (-13.76, 16.18)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-3.45 (-22.35, 19.04)</w:t>
            </w:r>
          </w:p>
        </w:tc>
      </w:tr>
      <w:tr w:rsidR="001B5EE7" w:rsidRPr="00E41222" w:rsidTr="00E41222">
        <w:trPr>
          <w:trHeight w:val="30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Fourth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-2.70 (-11.48, 6.81)</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-2.29 (-11.85, 8.13)</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-3.99 (-14.38, 7.42)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-5.25 (-16.91, 7.73)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0.67 (-19.61, 24.92)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-2.54 (-16.89, 13.77)</w:t>
            </w:r>
          </w:p>
        </w:tc>
      </w:tr>
      <w:tr w:rsidR="001B5EE7" w:rsidRPr="00E41222" w:rsidTr="00E41222">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Fifth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-4.99 (-14.35, -2.10)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-5.30 (-16.29, -2.29)</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-5.30 (-16.29, -2.79)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-5.60 (-17.72, 5.44)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2.98 (-11.59, 19.47)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-3.89 (-16.46, 28.10)</w:t>
            </w:r>
          </w:p>
        </w:tc>
      </w:tr>
      <w:tr w:rsidR="001B5EE7" w:rsidRPr="00E41222" w:rsidTr="00E41222">
        <w:trPr>
          <w:trHeight w:val="443"/>
        </w:trPr>
        <w:tc>
          <w:tcPr>
            <w:tcW w:w="8640"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Quintiles of the probability of being unemployed more than one year</w:t>
            </w:r>
          </w:p>
        </w:tc>
        <w:tc>
          <w:tcPr>
            <w:tcW w:w="20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E41222" w:rsidRDefault="001B5EE7" w:rsidP="00104FA8">
            <w:pPr>
              <w:rPr>
                <w:sz w:val="16"/>
                <w:szCs w:val="16"/>
              </w:rPr>
            </w:pPr>
          </w:p>
        </w:tc>
        <w:tc>
          <w:tcPr>
            <w:tcW w:w="21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sz w:val="16"/>
                <w:szCs w:val="16"/>
              </w:rPr>
            </w:pPr>
          </w:p>
        </w:tc>
      </w:tr>
      <w:tr w:rsidR="001B5EE7" w:rsidRPr="00E41222" w:rsidTr="00E41222">
        <w:trPr>
          <w:trHeight w:val="37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First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3.65 (-8.30, 16.90)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1.34 (-11.30, 15.49)</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-1.81 (-15.43, 13.62)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-1.32 (-16.76, 16.47)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0.66 (-18.12, 22.91)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-2.89 (-26.00, 16.65)</w:t>
            </w:r>
          </w:p>
        </w:tc>
      </w:tr>
      <w:tr w:rsidR="001B5EE7" w:rsidRPr="00E41222" w:rsidTr="00E41222">
        <w:trPr>
          <w:trHeight w:val="36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Second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0.65 (-7.84, 9.81)</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2.63 (-6.67, 12.71)</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-2.58 (-7.68, 13.79)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-3.17 (-8.54, 16.12)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2.71 (-11.47, 18.72)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-3.88 (-22.54, 18.30)</w:t>
            </w:r>
          </w:p>
        </w:tc>
      </w:tr>
      <w:tr w:rsidR="001B5EE7" w:rsidRPr="00E41222" w:rsidTr="00E41222">
        <w:trPr>
          <w:trHeight w:val="35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Third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-2.38 (-6.17, 11.58)</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-3.75 (-5.65, 13.93)</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-0.80 (-9.35, 11.88)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-1.65 (-9.88, 14.39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1.69 (-15.08, 13.38)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-5.22 (-23.54, 16.50)</w:t>
            </w:r>
          </w:p>
        </w:tc>
      </w:tr>
      <w:tr w:rsidR="001B5EE7" w:rsidRPr="00E41222" w:rsidTr="00E41222">
        <w:trPr>
          <w:trHeight w:val="32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Fourth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-2.62 (-7.36, 9.19)</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-2.18 (-6.58, 11.62)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-3.09 (-8.40, 11.40)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-4.70 (-9.15, 13.60)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1.52 (-11.51, 16.09)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-6.43 (-12.15, 28.13)</w:t>
            </w:r>
          </w:p>
        </w:tc>
      </w:tr>
      <w:tr w:rsidR="001B5EE7" w:rsidRPr="00E41222" w:rsidTr="00E41222">
        <w:trPr>
          <w:trHeight w:val="31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b/>
                <w:bCs/>
                <w:sz w:val="16"/>
                <w:szCs w:val="16"/>
              </w:rPr>
              <w:t>Fifth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-4.00 (-10.48, -0.91)</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-4.69 (-10.88, -0.84)</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-5.40 (-11.54, -2.94)</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-2.13 (-8.48, 13.75)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2.50 (-10.34, 16.83)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sz w:val="16"/>
                <w:szCs w:val="16"/>
              </w:rPr>
            </w:pPr>
            <w:r w:rsidRPr="00E41222">
              <w:rPr>
                <w:rFonts w:ascii="Arial"/>
                <w:sz w:val="16"/>
                <w:szCs w:val="16"/>
              </w:rPr>
              <w:t>-3.90 (-16.08, 22.93)</w:t>
            </w:r>
          </w:p>
        </w:tc>
      </w:tr>
    </w:tbl>
    <w:p w:rsidR="003B5400" w:rsidRDefault="003B5400" w:rsidP="003B5400">
      <w:pPr>
        <w:autoSpaceDE w:val="0"/>
        <w:autoSpaceDN w:val="0"/>
        <w:adjustRightInd w:val="0"/>
        <w:rPr>
          <w:sz w:val="17"/>
          <w:szCs w:val="17"/>
          <w:lang w:eastAsia="es-ES"/>
        </w:rPr>
      </w:pPr>
      <w:r>
        <w:rPr>
          <w:sz w:val="17"/>
          <w:szCs w:val="17"/>
          <w:lang w:eastAsia="es-ES"/>
        </w:rPr>
        <w:t>Percentage of variation of the average number of visits per individual and month (95% credibility interval)</w:t>
      </w:r>
    </w:p>
    <w:p w:rsidR="003B5400" w:rsidRDefault="003B5400" w:rsidP="003B5400">
      <w:pPr>
        <w:autoSpaceDE w:val="0"/>
        <w:autoSpaceDN w:val="0"/>
        <w:adjustRightInd w:val="0"/>
        <w:rPr>
          <w:sz w:val="17"/>
          <w:szCs w:val="17"/>
          <w:lang w:eastAsia="es-ES"/>
        </w:rPr>
      </w:pPr>
      <w:r>
        <w:rPr>
          <w:sz w:val="17"/>
          <w:szCs w:val="17"/>
          <w:lang w:eastAsia="es-ES"/>
        </w:rPr>
        <w:t>Probability that the coefficient estimator is nonzero, greater than 95% are in bold</w:t>
      </w:r>
    </w:p>
    <w:p w:rsidR="001B5EE7" w:rsidRDefault="003B5400" w:rsidP="003B5400">
      <w:pPr>
        <w:rPr>
          <w:rFonts w:ascii="Arial" w:hAnsi="Arial" w:cs="Arial"/>
          <w:sz w:val="20"/>
          <w:szCs w:val="20"/>
        </w:rPr>
      </w:pPr>
      <w:r>
        <w:rPr>
          <w:sz w:val="17"/>
          <w:szCs w:val="17"/>
          <w:lang w:eastAsia="es-ES"/>
        </w:rPr>
        <w:t xml:space="preserve">Chronic </w:t>
      </w:r>
      <w:proofErr w:type="spellStart"/>
      <w:r>
        <w:rPr>
          <w:sz w:val="17"/>
          <w:szCs w:val="17"/>
          <w:lang w:eastAsia="es-ES"/>
        </w:rPr>
        <w:t>chronic</w:t>
      </w:r>
      <w:proofErr w:type="spellEnd"/>
      <w:r>
        <w:rPr>
          <w:sz w:val="17"/>
          <w:szCs w:val="17"/>
          <w:lang w:eastAsia="es-ES"/>
        </w:rPr>
        <w:t xml:space="preserve"> disease, HTA hypertension, DM2 diabetes mellitus type II, </w:t>
      </w:r>
      <w:proofErr w:type="spellStart"/>
      <w:r>
        <w:rPr>
          <w:sz w:val="17"/>
          <w:szCs w:val="17"/>
          <w:lang w:eastAsia="es-ES"/>
        </w:rPr>
        <w:t>Obes</w:t>
      </w:r>
      <w:proofErr w:type="spellEnd"/>
      <w:r>
        <w:rPr>
          <w:sz w:val="17"/>
          <w:szCs w:val="17"/>
          <w:lang w:eastAsia="es-ES"/>
        </w:rPr>
        <w:t xml:space="preserve"> obesity, </w:t>
      </w:r>
      <w:proofErr w:type="spellStart"/>
      <w:r>
        <w:rPr>
          <w:sz w:val="17"/>
          <w:szCs w:val="17"/>
          <w:lang w:eastAsia="es-ES"/>
        </w:rPr>
        <w:t>Dislip</w:t>
      </w:r>
      <w:proofErr w:type="spellEnd"/>
      <w:r>
        <w:rPr>
          <w:sz w:val="17"/>
          <w:szCs w:val="17"/>
          <w:lang w:eastAsia="es-ES"/>
        </w:rPr>
        <w:t xml:space="preserve"> </w:t>
      </w:r>
      <w:proofErr w:type="spellStart"/>
      <w:r>
        <w:rPr>
          <w:sz w:val="17"/>
          <w:szCs w:val="17"/>
          <w:lang w:eastAsia="es-ES"/>
        </w:rPr>
        <w:t>dyslipidemia</w:t>
      </w:r>
      <w:proofErr w:type="spellEnd"/>
      <w:r>
        <w:rPr>
          <w:sz w:val="17"/>
          <w:szCs w:val="17"/>
          <w:lang w:eastAsia="es-ES"/>
        </w:rPr>
        <w:t xml:space="preserve"> or hypercholesterolemia, </w:t>
      </w:r>
      <w:proofErr w:type="spellStart"/>
      <w:r>
        <w:rPr>
          <w:sz w:val="17"/>
          <w:szCs w:val="17"/>
          <w:lang w:eastAsia="es-ES"/>
        </w:rPr>
        <w:t>Tg</w:t>
      </w:r>
      <w:proofErr w:type="spellEnd"/>
      <w:r>
        <w:rPr>
          <w:sz w:val="17"/>
          <w:szCs w:val="17"/>
          <w:lang w:eastAsia="es-ES"/>
        </w:rPr>
        <w:t xml:space="preserve"> hypertriglyceridemia</w:t>
      </w:r>
    </w:p>
    <w:p w:rsidR="001B5EE7" w:rsidRPr="0095091B" w:rsidRDefault="001B5EE7" w:rsidP="001B5EE7">
      <w:pPr>
        <w:spacing w:after="200"/>
        <w:jc w:val="both"/>
        <w:rPr>
          <w:rFonts w:ascii="Arial" w:hAnsi="Arial" w:cs="Arial"/>
          <w:b/>
          <w:bCs/>
          <w:sz w:val="20"/>
          <w:szCs w:val="20"/>
        </w:rPr>
      </w:pPr>
      <w:r>
        <w:rPr>
          <w:rFonts w:ascii="Arial" w:hAnsi="Arial" w:cs="Arial"/>
          <w:sz w:val="20"/>
          <w:szCs w:val="20"/>
        </w:rPr>
        <w:br w:type="page"/>
      </w:r>
      <w:r w:rsidRPr="0095091B">
        <w:rPr>
          <w:rFonts w:ascii="Arial"/>
          <w:b/>
          <w:bCs/>
          <w:sz w:val="20"/>
          <w:szCs w:val="20"/>
        </w:rPr>
        <w:lastRenderedPageBreak/>
        <w:t xml:space="preserve">Table 2.- Visits to </w:t>
      </w:r>
      <w:r w:rsidR="004849B1" w:rsidRPr="0095091B">
        <w:rPr>
          <w:rFonts w:ascii="Arial"/>
          <w:b/>
          <w:bCs/>
          <w:sz w:val="20"/>
          <w:szCs w:val="20"/>
        </w:rPr>
        <w:t>non-prescribers</w:t>
      </w:r>
      <w:r w:rsidRPr="0095091B">
        <w:rPr>
          <w:rFonts w:ascii="Arial"/>
          <w:b/>
          <w:bCs/>
          <w:sz w:val="20"/>
          <w:szCs w:val="20"/>
        </w:rPr>
        <w:t>. Percentage of variation of the average number of visits per individual and month (95% Credibility Interval)</w:t>
      </w:r>
    </w:p>
    <w:tbl>
      <w:tblPr>
        <w:tblW w:w="151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80"/>
        <w:gridCol w:w="2231"/>
        <w:gridCol w:w="2231"/>
        <w:gridCol w:w="2198"/>
        <w:gridCol w:w="2160"/>
        <w:gridCol w:w="2160"/>
        <w:gridCol w:w="2160"/>
      </w:tblGrid>
      <w:tr w:rsidR="001B5EE7" w:rsidTr="00E41222">
        <w:trPr>
          <w:trHeight w:val="2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IAS Girona</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July 2012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August 2012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September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October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November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December 2012</w:t>
            </w:r>
          </w:p>
        </w:tc>
      </w:tr>
      <w:tr w:rsidR="001B5EE7" w:rsidTr="00E41222">
        <w:trPr>
          <w:trHeight w:val="318"/>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All individuals</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2.00 (-7.30, 12.06)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rFonts w:ascii="Arial" w:hAnsi="Arial" w:cs="Arial"/>
                <w:sz w:val="16"/>
                <w:szCs w:val="16"/>
              </w:rPr>
            </w:pPr>
            <w:r w:rsidRPr="0095091B">
              <w:rPr>
                <w:rFonts w:ascii="Arial"/>
                <w:sz w:val="16"/>
                <w:szCs w:val="16"/>
              </w:rPr>
              <w:t>-3.41 (-12.52, 6.45)</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rFonts w:ascii="Arial" w:hAnsi="Arial" w:cs="Arial"/>
                <w:b/>
                <w:bCs/>
                <w:sz w:val="16"/>
                <w:szCs w:val="16"/>
              </w:rPr>
            </w:pPr>
            <w:r w:rsidRPr="00E41222">
              <w:rPr>
                <w:rFonts w:ascii="Arial"/>
                <w:b/>
                <w:bCs/>
                <w:sz w:val="16"/>
                <w:szCs w:val="16"/>
              </w:rPr>
              <w:t>-10.43 (-19.14, -0.96)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rFonts w:ascii="Arial" w:hAnsi="Arial" w:cs="Arial"/>
                <w:b/>
                <w:bCs/>
                <w:sz w:val="16"/>
                <w:szCs w:val="16"/>
              </w:rPr>
            </w:pPr>
            <w:r w:rsidRPr="00E41222">
              <w:rPr>
                <w:rFonts w:ascii="Arial"/>
                <w:b/>
                <w:bCs/>
                <w:sz w:val="16"/>
                <w:szCs w:val="16"/>
              </w:rPr>
              <w:t>19.13 (8.72, 30.38)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3.04 (-6.54, 13.43)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-14.12 (-22.77, -4.67)</w:t>
            </w:r>
          </w:p>
        </w:tc>
      </w:tr>
      <w:tr w:rsidR="001B5EE7" w:rsidTr="00E41222">
        <w:trPr>
          <w:trHeight w:val="256"/>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Males</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8.71 (-4.59, 23.46)</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1.54 (-11.34, 15.89)</w:t>
            </w: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-8.07 (-20.22, 5.52)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19.10 (4.98, 34.76)</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2.77 (-10.19, 1.72)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-12.85 (-24.67, -0.43)</w:t>
            </w:r>
          </w:p>
        </w:tc>
      </w:tr>
      <w:tr w:rsidR="001B5EE7" w:rsidTr="00E41222">
        <w:trPr>
          <w:trHeight w:val="203"/>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Females</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-5.32 (-17.60, 8.42)</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-10.78 (-22.69, 2.57)</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-14.42 (-25.93, -1.50)</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16.72 (2.94, 32.03)</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1.23 (-11.46, 15.39)</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-15.81 (-27.</w:t>
            </w:r>
            <w:r w:rsidR="004849B1" w:rsidRPr="00E41222">
              <w:rPr>
                <w:rFonts w:ascii="Arial"/>
                <w:b/>
                <w:bCs/>
                <w:sz w:val="16"/>
                <w:szCs w:val="16"/>
              </w:rPr>
              <w:t>31, -</w:t>
            </w:r>
            <w:r w:rsidRPr="00E41222">
              <w:rPr>
                <w:rFonts w:ascii="Arial"/>
                <w:b/>
                <w:bCs/>
                <w:sz w:val="16"/>
                <w:szCs w:val="16"/>
              </w:rPr>
              <w:t>2.87)</w:t>
            </w:r>
          </w:p>
        </w:tc>
      </w:tr>
      <w:tr w:rsidR="001B5EE7" w:rsidTr="00E41222">
        <w:trPr>
          <w:trHeight w:val="145"/>
        </w:trPr>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Age group</w:t>
            </w: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23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r>
      <w:tr w:rsidR="001B5EE7" w:rsidTr="00E41222">
        <w:trPr>
          <w:trHeight w:val="32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&lt; 15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-3.79 (-52.30, 75.68)</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-34.51 (-73.63, 39.86)</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-43.39 (-78.78, 27.41)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1.35 (-48.48, 81.57)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15.64 (-39.83, 103.5)</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-26.96 (-67.24, 43.91)</w:t>
            </w:r>
          </w:p>
        </w:tc>
      </w:tr>
      <w:tr w:rsidR="001B5EE7" w:rsidRPr="00E41222" w:rsidTr="00E41222">
        <w:trPr>
          <w:trHeight w:val="30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hint="eastAsia"/>
                <w:sz w:val="16"/>
                <w:szCs w:val="16"/>
              </w:rPr>
              <w:t>≥</w:t>
            </w:r>
            <w:r w:rsidRPr="0095091B">
              <w:rPr>
                <w:rFonts w:ascii="Arial"/>
                <w:b/>
                <w:bCs/>
                <w:sz w:val="16"/>
                <w:szCs w:val="16"/>
              </w:rPr>
              <w:t xml:space="preserve"> 15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2.19 (-7.26, 12.40)</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-2.82 (-12.09, 7.24)</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-9.69 (-18.59, -0.01)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19.69 (9.05, 31.21)</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3.14 ( -6.64, 13.76)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-13.57 (-22.43, -3.88)</w:t>
            </w:r>
          </w:p>
        </w:tc>
      </w:tr>
      <w:tr w:rsidR="001B5EE7" w:rsidTr="00E41222">
        <w:trPr>
          <w:trHeight w:val="206"/>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r>
      <w:tr w:rsidR="001B5EE7" w:rsidTr="00E41222">
        <w:trPr>
          <w:trHeight w:val="311"/>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   15-34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-4.26 (-28.95, 26.67)</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-11.94 (-35.91, 18.50)</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-29.</w:t>
            </w:r>
            <w:r w:rsidRPr="00E41222">
              <w:rPr>
                <w:rFonts w:ascii="Arial"/>
                <w:b/>
                <w:bCs/>
                <w:sz w:val="16"/>
                <w:szCs w:val="16"/>
              </w:rPr>
              <w:t>05 (-49.98, -1.89)</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3.30 (-22.08, 34.87)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-24.56 (-46.89, 4.47)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-35.32 (-56.03. -7.80)</w:t>
            </w:r>
          </w:p>
        </w:tc>
      </w:tr>
      <w:tr w:rsidR="001B5EE7" w:rsidTr="00E41222">
        <w:trPr>
          <w:trHeight w:val="31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   35-44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1.90 (-19.54, 27.73)</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-18.37 (-37.19, 4.65)</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-20.67 (-39.55, 2.56)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13.57 (-9.69, 41.53)</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-18.77 (-37.43, 4.06)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-14.26 (-34.17, 10.17)</w:t>
            </w:r>
          </w:p>
        </w:tc>
      </w:tr>
      <w:tr w:rsidR="001B5EE7" w:rsidTr="00E41222">
        <w:trPr>
          <w:trHeight w:val="257"/>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   45-54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-6.03 (-25.27, 16.87)</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-1.57 (-21.09, 21.54)</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-6.90 (-25.86, 15.65)</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5.71 (-15.07, 30.27)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2.01 (-18.21, 25.97)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-17.86 (-35.39, 3.14)</w:t>
            </w:r>
          </w:p>
        </w:tc>
      </w:tr>
      <w:tr w:rsidR="001B5EE7" w:rsidTr="00E41222">
        <w:trPr>
          <w:trHeight w:val="389"/>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   55.64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0.96 (-18.41, 23.78)</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-11.17 (-29.00, 9.9)</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-9.30 (-27.44, 12.19)</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18.55 (-2.57, 43.17)</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6.44 (-13.40, 29.73)</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-11.88 (-29.83, 9.48)</w:t>
            </w:r>
          </w:p>
        </w:tc>
      </w:tr>
      <w:tr w:rsidR="001B5EE7" w:rsidTr="00E41222">
        <w:trPr>
          <w:trHeight w:val="203"/>
        </w:trPr>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   65-74 y.</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4.97 (-13.34, 26.24)</w:t>
            </w:r>
          </w:p>
        </w:tc>
        <w:tc>
          <w:tcPr>
            <w:tcW w:w="223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6.26 (-12.54, 28.16)</w:t>
            </w:r>
          </w:p>
        </w:tc>
        <w:tc>
          <w:tcPr>
            <w:tcW w:w="21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-5.76 (-22.73, 14.06)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32.37 (11.55, 56.29)</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15.02 ( -3.95, 36.96)</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-10.70 (-27.</w:t>
            </w:r>
            <w:proofErr w:type="gramStart"/>
            <w:r w:rsidRPr="0095091B">
              <w:rPr>
                <w:rFonts w:ascii="Arial"/>
                <w:sz w:val="16"/>
                <w:szCs w:val="16"/>
              </w:rPr>
              <w:t>11,  8.37</w:t>
            </w:r>
            <w:proofErr w:type="gramEnd"/>
            <w:r w:rsidRPr="0095091B">
              <w:rPr>
                <w:rFonts w:ascii="Arial"/>
                <w:sz w:val="16"/>
                <w:szCs w:val="16"/>
              </w:rPr>
              <w:t>)</w:t>
            </w:r>
          </w:p>
        </w:tc>
      </w:tr>
      <w:tr w:rsidR="001B5EE7" w:rsidTr="00E41222">
        <w:trPr>
          <w:trHeight w:val="285"/>
        </w:trPr>
        <w:tc>
          <w:tcPr>
            <w:tcW w:w="19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hint="eastAsia"/>
                <w:sz w:val="16"/>
                <w:szCs w:val="16"/>
              </w:rPr>
              <w:t>≥</w:t>
            </w:r>
            <w:r w:rsidRPr="0095091B">
              <w:rPr>
                <w:rFonts w:ascii="Arial"/>
                <w:b/>
                <w:bCs/>
                <w:sz w:val="16"/>
                <w:szCs w:val="16"/>
              </w:rPr>
              <w:t xml:space="preserve"> 75 y.</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6.28 (-20.95, 40.39)</w:t>
            </w:r>
          </w:p>
        </w:tc>
        <w:tc>
          <w:tcPr>
            <w:tcW w:w="223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-0.24 (-26.48, 32.84)</w:t>
            </w:r>
          </w:p>
        </w:tc>
        <w:tc>
          <w:tcPr>
            <w:tcW w:w="21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-6.50 (-31.76, 25.55)</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16.64 (-12.20, 52.53)</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5.59 (-21.60, 39.73)</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-6.52 (-31.82, 25.61)</w:t>
            </w:r>
          </w:p>
        </w:tc>
      </w:tr>
    </w:tbl>
    <w:p w:rsidR="001B5EE7" w:rsidRDefault="001B5EE7" w:rsidP="001B5EE7">
      <w:pPr>
        <w:widowControl w:val="0"/>
        <w:spacing w:after="200"/>
        <w:jc w:val="both"/>
        <w:rPr>
          <w:rFonts w:ascii="Arial" w:hAnsi="Arial" w:cs="Arial"/>
          <w:b/>
          <w:bCs/>
          <w:sz w:val="22"/>
          <w:szCs w:val="22"/>
        </w:rPr>
      </w:pPr>
    </w:p>
    <w:p w:rsidR="001B5EE7" w:rsidRPr="0095091B" w:rsidRDefault="001B5EE7" w:rsidP="001B5EE7">
      <w:pPr>
        <w:spacing w:after="200"/>
        <w:jc w:val="both"/>
        <w:rPr>
          <w:rFonts w:ascii="Arial" w:hAnsi="Arial" w:cs="Arial"/>
          <w:b/>
          <w:bCs/>
          <w:sz w:val="20"/>
          <w:szCs w:val="20"/>
        </w:rPr>
      </w:pPr>
      <w:r>
        <w:br w:type="page"/>
      </w:r>
      <w:r w:rsidRPr="0095091B">
        <w:rPr>
          <w:rFonts w:ascii="Arial"/>
          <w:b/>
          <w:bCs/>
          <w:sz w:val="20"/>
          <w:szCs w:val="20"/>
        </w:rPr>
        <w:lastRenderedPageBreak/>
        <w:t xml:space="preserve">Table 2.- Visits to </w:t>
      </w:r>
      <w:r w:rsidR="004849B1" w:rsidRPr="0095091B">
        <w:rPr>
          <w:rFonts w:ascii="Arial"/>
          <w:b/>
          <w:bCs/>
          <w:sz w:val="20"/>
          <w:szCs w:val="20"/>
        </w:rPr>
        <w:t>non-prescribers</w:t>
      </w:r>
      <w:r w:rsidRPr="0095091B">
        <w:rPr>
          <w:rFonts w:ascii="Arial"/>
          <w:b/>
          <w:bCs/>
          <w:sz w:val="20"/>
          <w:szCs w:val="20"/>
        </w:rPr>
        <w:t>. Percentage of variation of the average number of visits per individual and month (95% Credibility Interval)</w:t>
      </w:r>
    </w:p>
    <w:tbl>
      <w:tblPr>
        <w:tblW w:w="152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52"/>
        <w:gridCol w:w="2188"/>
        <w:gridCol w:w="2302"/>
        <w:gridCol w:w="2434"/>
        <w:gridCol w:w="2040"/>
        <w:gridCol w:w="2160"/>
        <w:gridCol w:w="2160"/>
      </w:tblGrid>
      <w:tr w:rsidR="001B5EE7" w:rsidRPr="0095091B" w:rsidTr="00E41222">
        <w:trPr>
          <w:trHeight w:val="200"/>
        </w:trPr>
        <w:tc>
          <w:tcPr>
            <w:tcW w:w="195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IAS Girona</w:t>
            </w:r>
          </w:p>
        </w:tc>
        <w:tc>
          <w:tcPr>
            <w:tcW w:w="21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July 2012</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August 2012</w:t>
            </w:r>
          </w:p>
        </w:tc>
        <w:tc>
          <w:tcPr>
            <w:tcW w:w="243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September 2012</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October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November 2012</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December 2012</w:t>
            </w:r>
          </w:p>
        </w:tc>
      </w:tr>
      <w:tr w:rsidR="001B5EE7" w:rsidRPr="0095091B" w:rsidTr="00E41222">
        <w:trPr>
          <w:trHeight w:val="194"/>
        </w:trPr>
        <w:tc>
          <w:tcPr>
            <w:tcW w:w="195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No chronic</w:t>
            </w:r>
          </w:p>
        </w:tc>
        <w:tc>
          <w:tcPr>
            <w:tcW w:w="21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-4.61 (-35.78, 37.21)</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-13.37 (-42.80, 26.59)</w:t>
            </w:r>
          </w:p>
        </w:tc>
        <w:tc>
          <w:tcPr>
            <w:tcW w:w="243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-12.97 (-42.87, 27.77)</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5.27 (-28.23, 4.90)</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-9.71 (-40.28, 31.76)</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-21.89 (-49.92,18.86)</w:t>
            </w:r>
          </w:p>
        </w:tc>
      </w:tr>
      <w:tr w:rsidR="001B5EE7" w:rsidRPr="0095091B" w:rsidTr="00E41222">
        <w:trPr>
          <w:trHeight w:val="350"/>
        </w:trPr>
        <w:tc>
          <w:tcPr>
            <w:tcW w:w="195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Chronic</w:t>
            </w:r>
          </w:p>
        </w:tc>
        <w:tc>
          <w:tcPr>
            <w:tcW w:w="21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2.22 (-7.32, 12.55)</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-2.97 (-12.30, 7.17)</w:t>
            </w:r>
          </w:p>
        </w:tc>
        <w:tc>
          <w:tcPr>
            <w:tcW w:w="243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-10.39 (-19.28, -0.71)</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19.79 (9.19, 31.27)</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3.69 (-6.06, 14.30)</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-13.73 (-22.54, -4.09)</w:t>
            </w:r>
          </w:p>
        </w:tc>
      </w:tr>
      <w:tr w:rsidR="001B5EE7" w:rsidRPr="0095091B" w:rsidTr="00E41222">
        <w:trPr>
          <w:trHeight w:val="167"/>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p>
        </w:tc>
      </w:tr>
      <w:tr w:rsidR="001B5EE7" w:rsidRPr="0095091B" w:rsidTr="00E41222">
        <w:trPr>
          <w:trHeight w:val="357"/>
        </w:trPr>
        <w:tc>
          <w:tcPr>
            <w:tcW w:w="195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Non HTA</w:t>
            </w:r>
          </w:p>
        </w:tc>
        <w:tc>
          <w:tcPr>
            <w:tcW w:w="21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6.79 (-6.18, 21.18)</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0.52 (-12.12, 14.60)</w:t>
            </w:r>
          </w:p>
        </w:tc>
        <w:tc>
          <w:tcPr>
            <w:tcW w:w="243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-6.82 (-18.80, 6.54)</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15.22 (1.67, 30.24)</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2.91 (-9.70, 16.93)</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-13.79 (-25.22, -0.98)</w:t>
            </w:r>
          </w:p>
        </w:tc>
      </w:tr>
      <w:tr w:rsidR="001B5EE7" w:rsidRPr="0095091B" w:rsidTr="00E41222">
        <w:trPr>
          <w:trHeight w:val="333"/>
        </w:trPr>
        <w:tc>
          <w:tcPr>
            <w:tcW w:w="195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HTA</w:t>
            </w:r>
          </w:p>
        </w:tc>
        <w:tc>
          <w:tcPr>
            <w:tcW w:w="21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-3.91 (-16.20, 9.79)</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-8.45 (-20.43, 4.92)</w:t>
            </w:r>
          </w:p>
        </w:tc>
        <w:tc>
          <w:tcPr>
            <w:tcW w:w="243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-15.26 (-26.74, -2.39)</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21.87 (7.68, 37.57)</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2.03 (-10.85, 16.39)</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-15.39 (-27.02, -2.33)</w:t>
            </w:r>
          </w:p>
        </w:tc>
      </w:tr>
      <w:tr w:rsidR="001B5EE7" w:rsidRPr="0095091B" w:rsidTr="00E41222">
        <w:trPr>
          <w:trHeight w:val="152"/>
        </w:trPr>
        <w:tc>
          <w:tcPr>
            <w:tcW w:w="195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Non DM2</w:t>
            </w:r>
          </w:p>
        </w:tc>
        <w:tc>
          <w:tcPr>
            <w:tcW w:w="21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1.26 (-12.26, 16.40)</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-4.53 (-17.64, 10.20)</w:t>
            </w:r>
          </w:p>
        </w:tc>
        <w:tc>
          <w:tcPr>
            <w:tcW w:w="243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-15.74 (-28.00, -1.87)</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14.67 (-0.10, 31.18)</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0.85 (-12.80, 16.20)</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-13.39 (-25.89, -0.76)</w:t>
            </w:r>
          </w:p>
        </w:tc>
      </w:tr>
      <w:tr w:rsidR="001B5EE7" w:rsidRPr="0095091B" w:rsidTr="00E41222">
        <w:trPr>
          <w:trHeight w:val="322"/>
        </w:trPr>
        <w:tc>
          <w:tcPr>
            <w:tcW w:w="195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DM2</w:t>
            </w:r>
          </w:p>
        </w:tc>
        <w:tc>
          <w:tcPr>
            <w:tcW w:w="21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1.60 (-10.30, 14.74)</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-3.46 (-15.10, 9.43)</w:t>
            </w:r>
          </w:p>
        </w:tc>
        <w:tc>
          <w:tcPr>
            <w:tcW w:w="243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-7.47 (-18.70, 4.98)</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20.99 (7.95, 35.33)</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3.54 (-8.42. 16.76)</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-15.49 (-26.23, -3.52)</w:t>
            </w:r>
          </w:p>
        </w:tc>
      </w:tr>
      <w:tr w:rsidR="001B5EE7" w:rsidRPr="0095091B" w:rsidTr="00E41222">
        <w:trPr>
          <w:trHeight w:val="306"/>
        </w:trPr>
        <w:tc>
          <w:tcPr>
            <w:tcW w:w="195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4849B1" w:rsidP="00104FA8">
            <w:pPr>
              <w:spacing w:after="200"/>
              <w:jc w:val="both"/>
              <w:rPr>
                <w:sz w:val="16"/>
                <w:szCs w:val="16"/>
              </w:rPr>
            </w:pPr>
            <w:r w:rsidRPr="0095091B">
              <w:rPr>
                <w:rFonts w:ascii="Arial"/>
                <w:b/>
                <w:bCs/>
                <w:sz w:val="16"/>
                <w:szCs w:val="16"/>
              </w:rPr>
              <w:t>Non-Obese</w:t>
            </w:r>
          </w:p>
        </w:tc>
        <w:tc>
          <w:tcPr>
            <w:tcW w:w="21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5.22 (-7.54, 19.35)</w:t>
            </w:r>
          </w:p>
        </w:tc>
        <w:tc>
          <w:tcPr>
            <w:tcW w:w="23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2.16 (-10.55, 16.27)</w:t>
            </w:r>
          </w:p>
        </w:tc>
        <w:tc>
          <w:tcPr>
            <w:tcW w:w="243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-11.77 (-23.32, 1.14)</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17.36 (3.78, 32.38)</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4.03 (-8.66, 18.13)</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-16.89 (-28.09, -4.33)</w:t>
            </w:r>
          </w:p>
        </w:tc>
      </w:tr>
      <w:tr w:rsidR="001B5EE7" w:rsidRPr="0095091B" w:rsidTr="00E41222">
        <w:trPr>
          <w:trHeight w:val="310"/>
        </w:trPr>
        <w:tc>
          <w:tcPr>
            <w:tcW w:w="195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Obese</w:t>
            </w:r>
          </w:p>
        </w:tc>
        <w:tc>
          <w:tcPr>
            <w:tcW w:w="21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-2.53 (-14.99, 11.34)</w:t>
            </w:r>
          </w:p>
        </w:tc>
        <w:tc>
          <w:tcPr>
            <w:tcW w:w="230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-9.99 (-21.87, 3.29)</w:t>
            </w:r>
          </w:p>
        </w:tc>
        <w:tc>
          <w:tcPr>
            <w:tcW w:w="243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-10.15 (-22.04, 3.16)</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19.32 (5.27, 34.89)</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0.74 (-11.98, 14.92)</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-12.33 (-24.13, -0.91)</w:t>
            </w:r>
          </w:p>
        </w:tc>
      </w:tr>
      <w:tr w:rsidR="001B5EE7" w:rsidRPr="0095091B" w:rsidTr="00E41222">
        <w:trPr>
          <w:trHeight w:val="294"/>
        </w:trPr>
        <w:tc>
          <w:tcPr>
            <w:tcW w:w="195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b/>
                <w:bCs/>
                <w:sz w:val="16"/>
                <w:szCs w:val="16"/>
              </w:rPr>
              <w:t xml:space="preserve">Non </w:t>
            </w:r>
            <w:proofErr w:type="spellStart"/>
            <w:r w:rsidRPr="0095091B">
              <w:rPr>
                <w:rFonts w:ascii="Arial"/>
                <w:b/>
                <w:bCs/>
                <w:sz w:val="16"/>
                <w:szCs w:val="16"/>
              </w:rPr>
              <w:t>Dislip</w:t>
            </w:r>
            <w:proofErr w:type="spellEnd"/>
            <w:r w:rsidRPr="0095091B">
              <w:rPr>
                <w:rFonts w:ascii="Arial"/>
                <w:b/>
                <w:bCs/>
                <w:sz w:val="16"/>
                <w:szCs w:val="16"/>
              </w:rPr>
              <w:t xml:space="preserve"> or </w:t>
            </w:r>
            <w:proofErr w:type="spellStart"/>
            <w:r w:rsidRPr="0095091B">
              <w:rPr>
                <w:rFonts w:ascii="Arial"/>
                <w:b/>
                <w:bCs/>
                <w:sz w:val="16"/>
                <w:szCs w:val="16"/>
              </w:rPr>
              <w:t>Tg</w:t>
            </w:r>
            <w:proofErr w:type="spellEnd"/>
          </w:p>
        </w:tc>
        <w:tc>
          <w:tcPr>
            <w:tcW w:w="21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0.06 (-12.21, 13.67)</w:t>
            </w:r>
          </w:p>
        </w:tc>
        <w:tc>
          <w:tcPr>
            <w:tcW w:w="230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-3.05 (-15.11, 10.35)</w:t>
            </w:r>
          </w:p>
        </w:tc>
        <w:tc>
          <w:tcPr>
            <w:tcW w:w="243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-9.83 (-21.40, 3.07)</w:t>
            </w:r>
          </w:p>
        </w:tc>
        <w:tc>
          <w:tcPr>
            <w:tcW w:w="204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17.02 (3.51, 31.95)</w:t>
            </w:r>
          </w:p>
        </w:tc>
        <w:tc>
          <w:tcPr>
            <w:tcW w:w="216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r w:rsidRPr="0095091B">
              <w:rPr>
                <w:rFonts w:ascii="Arial"/>
                <w:sz w:val="16"/>
                <w:szCs w:val="16"/>
              </w:rPr>
              <w:t>2.22 (-10.26, 16.09)</w:t>
            </w:r>
          </w:p>
        </w:tc>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-12.80 (-24.22, -0.03)</w:t>
            </w:r>
          </w:p>
        </w:tc>
      </w:tr>
      <w:tr w:rsidR="001B5EE7" w:rsidRPr="0095091B" w:rsidTr="00E41222">
        <w:trPr>
          <w:trHeight w:val="284"/>
        </w:trPr>
        <w:tc>
          <w:tcPr>
            <w:tcW w:w="195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spacing w:after="200"/>
              <w:jc w:val="both"/>
              <w:rPr>
                <w:sz w:val="16"/>
                <w:szCs w:val="16"/>
              </w:rPr>
            </w:pPr>
            <w:proofErr w:type="spellStart"/>
            <w:r w:rsidRPr="0095091B">
              <w:rPr>
                <w:rFonts w:ascii="Arial"/>
                <w:b/>
                <w:bCs/>
                <w:sz w:val="16"/>
                <w:szCs w:val="16"/>
              </w:rPr>
              <w:t>Dislip</w:t>
            </w:r>
            <w:proofErr w:type="spellEnd"/>
            <w:r w:rsidRPr="0095091B">
              <w:rPr>
                <w:rFonts w:ascii="Arial"/>
                <w:b/>
                <w:bCs/>
                <w:sz w:val="16"/>
                <w:szCs w:val="16"/>
              </w:rPr>
              <w:t xml:space="preserve"> or </w:t>
            </w:r>
            <w:proofErr w:type="spellStart"/>
            <w:r w:rsidRPr="0095091B">
              <w:rPr>
                <w:rFonts w:ascii="Arial"/>
                <w:b/>
                <w:bCs/>
                <w:sz w:val="16"/>
                <w:szCs w:val="16"/>
              </w:rPr>
              <w:t>Tg</w:t>
            </w:r>
            <w:proofErr w:type="spellEnd"/>
          </w:p>
        </w:tc>
        <w:tc>
          <w:tcPr>
            <w:tcW w:w="21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2.80 (-10.17, 17.25)</w:t>
            </w:r>
          </w:p>
        </w:tc>
        <w:tc>
          <w:tcPr>
            <w:tcW w:w="23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-5.05 (-17.58, 8.96)</w:t>
            </w:r>
          </w:p>
        </w:tc>
        <w:tc>
          <w:tcPr>
            <w:tcW w:w="243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-12.43 (-24.28, 0.86)</w:t>
            </w:r>
          </w:p>
        </w:tc>
        <w:tc>
          <w:tcPr>
            <w:tcW w:w="204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19.78 (5.641, 35.45)</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091B" w:rsidRDefault="001B5EE7" w:rsidP="00104FA8">
            <w:pPr>
              <w:rPr>
                <w:sz w:val="16"/>
                <w:szCs w:val="16"/>
              </w:rPr>
            </w:pPr>
            <w:r w:rsidRPr="0095091B">
              <w:rPr>
                <w:rFonts w:ascii="Arial"/>
                <w:sz w:val="16"/>
                <w:szCs w:val="16"/>
              </w:rPr>
              <w:t>2.59 (-10.36, 17.02)</w:t>
            </w:r>
          </w:p>
        </w:tc>
        <w:tc>
          <w:tcPr>
            <w:tcW w:w="21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-16.85 (-28.39, -3.86)</w:t>
            </w:r>
          </w:p>
        </w:tc>
      </w:tr>
    </w:tbl>
    <w:p w:rsidR="001B5EE7" w:rsidRPr="0095091B" w:rsidRDefault="001B5EE7" w:rsidP="001B5EE7">
      <w:pPr>
        <w:widowControl w:val="0"/>
        <w:spacing w:after="200"/>
        <w:jc w:val="both"/>
        <w:rPr>
          <w:rFonts w:ascii="Arial" w:hAnsi="Arial" w:cs="Arial"/>
          <w:b/>
          <w:bCs/>
          <w:sz w:val="16"/>
          <w:szCs w:val="16"/>
        </w:rPr>
      </w:pPr>
    </w:p>
    <w:p w:rsidR="001B5EE7" w:rsidRPr="00401B68" w:rsidRDefault="001B5EE7" w:rsidP="001B5EE7">
      <w:pPr>
        <w:spacing w:after="200"/>
        <w:jc w:val="both"/>
        <w:rPr>
          <w:rFonts w:ascii="Arial" w:hAnsi="Arial" w:cs="Arial"/>
          <w:b/>
          <w:bCs/>
          <w:sz w:val="20"/>
          <w:szCs w:val="20"/>
        </w:rPr>
      </w:pPr>
      <w:r>
        <w:br w:type="page"/>
      </w:r>
      <w:r w:rsidRPr="00401B68">
        <w:rPr>
          <w:rFonts w:ascii="Arial"/>
          <w:b/>
          <w:bCs/>
          <w:sz w:val="20"/>
          <w:szCs w:val="20"/>
        </w:rPr>
        <w:lastRenderedPageBreak/>
        <w:t>Table 2</w:t>
      </w:r>
      <w:bookmarkStart w:id="0" w:name="_GoBack"/>
      <w:bookmarkEnd w:id="0"/>
      <w:r w:rsidRPr="00401B68">
        <w:rPr>
          <w:rFonts w:ascii="Arial"/>
          <w:b/>
          <w:bCs/>
          <w:sz w:val="20"/>
          <w:szCs w:val="20"/>
        </w:rPr>
        <w:t xml:space="preserve">.- Visits to </w:t>
      </w:r>
      <w:r w:rsidR="004849B1" w:rsidRPr="00401B68">
        <w:rPr>
          <w:rFonts w:ascii="Arial"/>
          <w:b/>
          <w:bCs/>
          <w:sz w:val="20"/>
          <w:szCs w:val="20"/>
        </w:rPr>
        <w:t>non-prescribers</w:t>
      </w:r>
      <w:r w:rsidRPr="00401B68">
        <w:rPr>
          <w:rFonts w:ascii="Arial"/>
          <w:b/>
          <w:bCs/>
          <w:sz w:val="20"/>
          <w:szCs w:val="20"/>
        </w:rPr>
        <w:t>. Percentage of variation of the average number of visits per individual and month (95% Credibility Interval)</w:t>
      </w:r>
    </w:p>
    <w:tbl>
      <w:tblPr>
        <w:tblW w:w="150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980"/>
        <w:gridCol w:w="2160"/>
        <w:gridCol w:w="2302"/>
        <w:gridCol w:w="2198"/>
        <w:gridCol w:w="2040"/>
        <w:gridCol w:w="2160"/>
        <w:gridCol w:w="2160"/>
      </w:tblGrid>
      <w:tr w:rsidR="001B5EE7" w:rsidRPr="00957A99" w:rsidTr="00E41222">
        <w:trPr>
          <w:trHeight w:val="2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IAS Girona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July 2012</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August 2012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September 2012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October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November 2012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December 2012</w:t>
            </w:r>
          </w:p>
        </w:tc>
      </w:tr>
      <w:tr w:rsidR="001B5EE7" w:rsidRPr="00957A99" w:rsidTr="00E41222">
        <w:trPr>
          <w:trHeight w:val="194"/>
        </w:trPr>
        <w:tc>
          <w:tcPr>
            <w:tcW w:w="6442"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Quintiles of the probability of being unemployed</w:t>
            </w:r>
          </w:p>
        </w:tc>
        <w:tc>
          <w:tcPr>
            <w:tcW w:w="21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rPr>
                <w:sz w:val="16"/>
                <w:szCs w:val="16"/>
              </w:rPr>
            </w:pPr>
          </w:p>
        </w:tc>
        <w:tc>
          <w:tcPr>
            <w:tcW w:w="20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rPr>
                <w:sz w:val="16"/>
                <w:szCs w:val="16"/>
              </w:rPr>
            </w:pP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rPr>
                <w:sz w:val="16"/>
                <w:szCs w:val="16"/>
              </w:rPr>
            </w:pPr>
          </w:p>
        </w:tc>
        <w:tc>
          <w:tcPr>
            <w:tcW w:w="21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p>
        </w:tc>
      </w:tr>
      <w:tr w:rsidR="001B5EE7" w:rsidRPr="00957A99" w:rsidTr="00E41222">
        <w:trPr>
          <w:trHeight w:val="3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First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-14.51 (-36.91, 13.76)</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-10.78 (-33.74, 18.12)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-17.40 (-38.60, 9.28)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13.81 (-12.57,46.41)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15.67 (-10.72, 48.23)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-5.07 (-28.91, 24.85)</w:t>
            </w:r>
          </w:p>
        </w:tc>
      </w:tr>
      <w:tr w:rsidR="001B5EE7" w:rsidRPr="00957A99" w:rsidTr="00E41222">
        <w:trPr>
          <w:trHeight w:val="333"/>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Second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-11.76 (-31.21, 11.57)</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-17.81 (-36.60, 4.89)</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-17.03 (-36.13, 6.08)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14.54 (-7.81, 40.79)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-17.70 (-36.27, 4.68)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-16.45 (-35.52, 6.58)</w:t>
            </w:r>
          </w:p>
        </w:tc>
      </w:tr>
      <w:tr w:rsidR="001B5EE7" w:rsidRPr="00E41222" w:rsidTr="00E41222">
        <w:trPr>
          <w:trHeight w:val="32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Third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-2.00 (-19.85, 18.82)</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-7.01 (-24.37, 13.34)</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-7.92 (-25.06, 12.17)</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17.48 (-2.30, 40.34)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5.98 (-12.28, 27.17)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-24.99 (-39.97, -7.26)</w:t>
            </w:r>
          </w:p>
        </w:tc>
      </w:tr>
      <w:tr w:rsidR="001B5EE7" w:rsidRPr="00957A99" w:rsidTr="00E41222">
        <w:trPr>
          <w:trHeight w:val="30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Fourth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4.63 (17.70, 31.20)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-5.68 (-26.51, 19.28)</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-0.70 (-22.24, 25.02)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16.42 (-7.06, 44.10)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7.22 (-15.55, 34.31)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-5.30 (-26.69, 20.43)</w:t>
            </w:r>
          </w:p>
        </w:tc>
      </w:tr>
      <w:tr w:rsidR="001B5EE7" w:rsidRPr="00957A99" w:rsidTr="00E41222">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Fifth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r w:rsidRPr="00957A99">
              <w:rPr>
                <w:rFonts w:ascii="Arial"/>
                <w:sz w:val="16"/>
                <w:szCs w:val="16"/>
              </w:rPr>
              <w:t>13.40 (-9.35, 40.20)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13.68 (-9.40, 40.93)</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rPr>
                <w:b/>
                <w:bCs/>
                <w:sz w:val="16"/>
                <w:szCs w:val="16"/>
              </w:rPr>
            </w:pPr>
            <w:r w:rsidRPr="00E41222">
              <w:rPr>
                <w:rFonts w:ascii="Arial"/>
                <w:b/>
                <w:bCs/>
                <w:sz w:val="16"/>
                <w:szCs w:val="16"/>
              </w:rPr>
              <w:t>-25.53 (-43.69, -3.33)</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16.23 (-6.98, 43.55)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-14.32 (-34.01, 9.47)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-26.65 (-44.70, -4.54)</w:t>
            </w:r>
          </w:p>
        </w:tc>
      </w:tr>
      <w:tr w:rsidR="001B5EE7" w:rsidRPr="00957A99" w:rsidTr="00E41222">
        <w:trPr>
          <w:trHeight w:val="267"/>
        </w:trPr>
        <w:tc>
          <w:tcPr>
            <w:tcW w:w="8640"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Quintiles of the probability of being unemployed more than one year</w:t>
            </w:r>
          </w:p>
        </w:tc>
        <w:tc>
          <w:tcPr>
            <w:tcW w:w="20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rPr>
                <w:sz w:val="16"/>
                <w:szCs w:val="16"/>
              </w:rPr>
            </w:pPr>
          </w:p>
        </w:tc>
        <w:tc>
          <w:tcPr>
            <w:tcW w:w="21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B5EE7" w:rsidRPr="00957A99" w:rsidRDefault="001B5EE7" w:rsidP="00104FA8">
            <w:pPr>
              <w:rPr>
                <w:sz w:val="16"/>
                <w:szCs w:val="16"/>
              </w:rPr>
            </w:pPr>
          </w:p>
        </w:tc>
        <w:tc>
          <w:tcPr>
            <w:tcW w:w="21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rPr>
                <w:sz w:val="16"/>
                <w:szCs w:val="16"/>
              </w:rPr>
            </w:pPr>
          </w:p>
        </w:tc>
      </w:tr>
      <w:tr w:rsidR="001B5EE7" w:rsidRPr="00957A99" w:rsidTr="00E41222">
        <w:trPr>
          <w:trHeight w:val="26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First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25.48 (-5.69, 64.48)</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-12.82 (-37.24, 18.56)</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-23.64 (-45.86, 5.21)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9.51 (-17.78, 43.75)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5.04 (-21.82, 38.94)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8.16 (-19.41, 42.96)</w:t>
            </w:r>
          </w:p>
        </w:tc>
      </w:tr>
      <w:tr w:rsidR="001B5EE7" w:rsidRPr="00957A99" w:rsidTr="00E41222">
        <w:trPr>
          <w:trHeight w:val="25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Second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-10.74 (-29.84, 12.03)</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-12.63 (-31.61, 10.06)</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-17.32 (-35.80, 4.89)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15.18 (-6.44, 40.41)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-16.44 (-34.80, 5.55)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-20.38 (-38.38, 1.29)</w:t>
            </w:r>
          </w:p>
        </w:tc>
      </w:tr>
      <w:tr w:rsidR="001B5EE7" w:rsidRPr="00957A99" w:rsidTr="00E41222">
        <w:trPr>
          <w:trHeight w:val="40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Third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-18.01 (-37.29, 5.66)</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-1.80 (-23.63, 24.75)</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-12.05 (-32.54, 13.11)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14.74 (-9.24, 43.66)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29.66 (4.35, 59.90)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-6.04 (-27.38, 20.08)</w:t>
            </w:r>
          </w:p>
        </w:tc>
      </w:tr>
      <w:tr w:rsidR="001B5EE7" w:rsidRPr="00957A99" w:rsidTr="00E41222">
        <w:trPr>
          <w:trHeight w:val="38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Fourth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-7.03 (-25.67, 15.07)</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-3.36 (-23.39, 20.52)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-2.86 (-21.72, 19.41)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28.03 (5.62, 54.13)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7.77 (-12.95, 32.21)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5.54 (-14.76, 29.49)</w:t>
            </w:r>
          </w:p>
        </w:tc>
      </w:tr>
      <w:tr w:rsidR="001B5EE7" w:rsidRPr="00957A99" w:rsidTr="00E41222">
        <w:trPr>
          <w:trHeight w:val="36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b/>
                <w:bCs/>
                <w:sz w:val="16"/>
                <w:szCs w:val="16"/>
              </w:rPr>
              <w:t>Fifth Quintile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12.02 (-10.05, 38.26)</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1.87 (-18.98, 26.84)</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-11.79 (-30.78, 11.16)</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E41222" w:rsidRDefault="001B5EE7" w:rsidP="00104FA8">
            <w:pPr>
              <w:spacing w:after="200"/>
              <w:jc w:val="both"/>
              <w:rPr>
                <w:b/>
                <w:bCs/>
                <w:sz w:val="16"/>
                <w:szCs w:val="16"/>
              </w:rPr>
            </w:pPr>
            <w:r w:rsidRPr="00E41222">
              <w:rPr>
                <w:rFonts w:ascii="Arial"/>
                <w:b/>
                <w:bCs/>
                <w:sz w:val="16"/>
                <w:szCs w:val="16"/>
              </w:rPr>
              <w:t>20.40 (2.26, 47.26)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1.36 (-19.49, 26.42)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EE7" w:rsidRPr="00957A99" w:rsidRDefault="001B5EE7" w:rsidP="00104FA8">
            <w:pPr>
              <w:spacing w:after="200"/>
              <w:jc w:val="both"/>
              <w:rPr>
                <w:sz w:val="16"/>
                <w:szCs w:val="16"/>
              </w:rPr>
            </w:pPr>
            <w:r w:rsidRPr="00957A99">
              <w:rPr>
                <w:rFonts w:ascii="Arial"/>
                <w:sz w:val="16"/>
                <w:szCs w:val="16"/>
              </w:rPr>
              <w:t>-21.15 (-39.16, 0.90)</w:t>
            </w:r>
          </w:p>
        </w:tc>
      </w:tr>
    </w:tbl>
    <w:p w:rsidR="003B5400" w:rsidRDefault="003B5400" w:rsidP="003B5400">
      <w:pPr>
        <w:autoSpaceDE w:val="0"/>
        <w:autoSpaceDN w:val="0"/>
        <w:adjustRightInd w:val="0"/>
        <w:rPr>
          <w:sz w:val="17"/>
          <w:szCs w:val="17"/>
          <w:lang w:eastAsia="es-ES"/>
        </w:rPr>
      </w:pPr>
      <w:r>
        <w:rPr>
          <w:sz w:val="17"/>
          <w:szCs w:val="17"/>
          <w:lang w:eastAsia="es-ES"/>
        </w:rPr>
        <w:t>Percentage of variation of the average number of visits per individual and month (95% credibility interval)</w:t>
      </w:r>
    </w:p>
    <w:p w:rsidR="003B5400" w:rsidRDefault="003B5400" w:rsidP="003B5400">
      <w:pPr>
        <w:autoSpaceDE w:val="0"/>
        <w:autoSpaceDN w:val="0"/>
        <w:adjustRightInd w:val="0"/>
        <w:rPr>
          <w:sz w:val="17"/>
          <w:szCs w:val="17"/>
          <w:lang w:eastAsia="es-ES"/>
        </w:rPr>
      </w:pPr>
      <w:r>
        <w:rPr>
          <w:sz w:val="17"/>
          <w:szCs w:val="17"/>
          <w:lang w:eastAsia="es-ES"/>
        </w:rPr>
        <w:t>Probability that the coefficient estimator is nonzero, greater than 95% are in bold</w:t>
      </w:r>
    </w:p>
    <w:p w:rsidR="001B5EE7" w:rsidRPr="00957A99" w:rsidRDefault="003B5400" w:rsidP="003B5400">
      <w:pPr>
        <w:widowControl w:val="0"/>
        <w:spacing w:after="200"/>
        <w:jc w:val="both"/>
        <w:rPr>
          <w:rFonts w:ascii="Arial" w:hAnsi="Arial" w:cs="Arial"/>
          <w:b/>
          <w:bCs/>
          <w:sz w:val="16"/>
          <w:szCs w:val="16"/>
        </w:rPr>
      </w:pPr>
      <w:r>
        <w:rPr>
          <w:sz w:val="17"/>
          <w:szCs w:val="17"/>
          <w:lang w:eastAsia="es-ES"/>
        </w:rPr>
        <w:t xml:space="preserve">Chronic </w:t>
      </w:r>
      <w:proofErr w:type="spellStart"/>
      <w:r>
        <w:rPr>
          <w:sz w:val="17"/>
          <w:szCs w:val="17"/>
          <w:lang w:eastAsia="es-ES"/>
        </w:rPr>
        <w:t>chronic</w:t>
      </w:r>
      <w:proofErr w:type="spellEnd"/>
      <w:r>
        <w:rPr>
          <w:sz w:val="17"/>
          <w:szCs w:val="17"/>
          <w:lang w:eastAsia="es-ES"/>
        </w:rPr>
        <w:t xml:space="preserve"> disease, HTA hypertension, DM2 diabetes mellitus type II, </w:t>
      </w:r>
      <w:proofErr w:type="spellStart"/>
      <w:r>
        <w:rPr>
          <w:sz w:val="17"/>
          <w:szCs w:val="17"/>
          <w:lang w:eastAsia="es-ES"/>
        </w:rPr>
        <w:t>Obes</w:t>
      </w:r>
      <w:proofErr w:type="spellEnd"/>
      <w:r>
        <w:rPr>
          <w:sz w:val="17"/>
          <w:szCs w:val="17"/>
          <w:lang w:eastAsia="es-ES"/>
        </w:rPr>
        <w:t xml:space="preserve"> obesity, </w:t>
      </w:r>
      <w:proofErr w:type="spellStart"/>
      <w:r>
        <w:rPr>
          <w:sz w:val="17"/>
          <w:szCs w:val="17"/>
          <w:lang w:eastAsia="es-ES"/>
        </w:rPr>
        <w:t>Dislip</w:t>
      </w:r>
      <w:proofErr w:type="spellEnd"/>
      <w:r>
        <w:rPr>
          <w:sz w:val="17"/>
          <w:szCs w:val="17"/>
          <w:lang w:eastAsia="es-ES"/>
        </w:rPr>
        <w:t xml:space="preserve"> </w:t>
      </w:r>
      <w:proofErr w:type="spellStart"/>
      <w:r>
        <w:rPr>
          <w:sz w:val="17"/>
          <w:szCs w:val="17"/>
          <w:lang w:eastAsia="es-ES"/>
        </w:rPr>
        <w:t>dyslipidemia</w:t>
      </w:r>
      <w:proofErr w:type="spellEnd"/>
      <w:r>
        <w:rPr>
          <w:sz w:val="17"/>
          <w:szCs w:val="17"/>
          <w:lang w:eastAsia="es-ES"/>
        </w:rPr>
        <w:t xml:space="preserve"> or hypercholesterolemia, </w:t>
      </w:r>
      <w:proofErr w:type="spellStart"/>
      <w:r>
        <w:rPr>
          <w:sz w:val="17"/>
          <w:szCs w:val="17"/>
          <w:lang w:eastAsia="es-ES"/>
        </w:rPr>
        <w:t>Tg</w:t>
      </w:r>
      <w:proofErr w:type="spellEnd"/>
      <w:r>
        <w:rPr>
          <w:sz w:val="17"/>
          <w:szCs w:val="17"/>
          <w:lang w:eastAsia="es-ES"/>
        </w:rPr>
        <w:t xml:space="preserve"> hypertriglyceridemia</w:t>
      </w:r>
    </w:p>
    <w:p w:rsidR="001B5EE7" w:rsidRDefault="001B5EE7" w:rsidP="001B5EE7">
      <w:pPr>
        <w:rPr>
          <w:rFonts w:ascii="Arial" w:hAnsi="Arial" w:cs="Arial"/>
          <w:b/>
          <w:bCs/>
          <w:sz w:val="22"/>
          <w:szCs w:val="22"/>
        </w:rPr>
      </w:pPr>
      <w:r>
        <w:rPr>
          <w:rFonts w:ascii="Arial" w:hAnsi="Arial" w:cs="Arial"/>
          <w:sz w:val="20"/>
          <w:szCs w:val="20"/>
        </w:rPr>
        <w:br w:type="page"/>
      </w:r>
      <w:r>
        <w:rPr>
          <w:rFonts w:ascii="Arial"/>
          <w:b/>
          <w:bCs/>
          <w:sz w:val="22"/>
          <w:szCs w:val="22"/>
        </w:rPr>
        <w:lastRenderedPageBreak/>
        <w:t>Figure 1.- Total visits to prescribers. IAS, Girona.</w:t>
      </w:r>
    </w:p>
    <w:p w:rsidR="001B5EE7" w:rsidRDefault="001B5EE7" w:rsidP="001B5EE7">
      <w:pPr>
        <w:rPr>
          <w:rFonts w:ascii="Arial" w:hAnsi="Arial" w:cs="Arial"/>
          <w:b/>
          <w:bCs/>
          <w:sz w:val="22"/>
          <w:szCs w:val="22"/>
        </w:rPr>
      </w:pPr>
    </w:p>
    <w:p w:rsidR="001B5EE7" w:rsidRDefault="00775618" w:rsidP="001B5EE7">
      <w:pPr>
        <w:rPr>
          <w:rFonts w:ascii="Arial" w:hAnsi="Arial" w:cs="Arial"/>
          <w:b/>
          <w:bCs/>
          <w:sz w:val="22"/>
          <w:szCs w:val="22"/>
        </w:rPr>
      </w:pPr>
      <w:r>
        <w:rPr>
          <w:rFonts w:ascii="Arial" w:hAnsi="Arial" w:cs="Arial"/>
          <w:b/>
          <w:noProof/>
          <w:sz w:val="22"/>
          <w:szCs w:val="22"/>
          <w:lang w:val="es-ES" w:eastAsia="es-ES"/>
        </w:rPr>
        <w:drawing>
          <wp:inline distT="0" distB="0" distL="0" distR="0" wp14:anchorId="31594F5E">
            <wp:extent cx="6348730" cy="4311015"/>
            <wp:effectExtent l="0" t="0" r="0" b="0"/>
            <wp:docPr id="9" name="Imagen 9" descr="Figure 1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ure 1a"/>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48730" cy="4311015"/>
                    </a:xfrm>
                    <a:prstGeom prst="rect">
                      <a:avLst/>
                    </a:prstGeom>
                    <a:noFill/>
                    <a:ln>
                      <a:noFill/>
                    </a:ln>
                  </pic:spPr>
                </pic:pic>
              </a:graphicData>
            </a:graphic>
          </wp:inline>
        </w:drawing>
      </w:r>
    </w:p>
    <w:p w:rsidR="001B5EE7" w:rsidRDefault="00775618" w:rsidP="001B5EE7">
      <w:pPr>
        <w:rPr>
          <w:rFonts w:ascii="Arial" w:hAnsi="Arial" w:cs="Arial"/>
          <w:b/>
          <w:bCs/>
          <w:sz w:val="22"/>
          <w:szCs w:val="22"/>
        </w:rPr>
      </w:pPr>
      <w:r>
        <w:rPr>
          <w:noProof/>
          <w:lang w:val="es-ES" w:eastAsia="es-ES"/>
        </w:rPr>
        <mc:AlternateContent>
          <mc:Choice Requires="wps">
            <w:drawing>
              <wp:anchor distT="0" distB="0" distL="0" distR="0" simplePos="0" relativeHeight="251657216" behindDoc="0" locked="0" layoutInCell="1" allowOverlap="1" wp14:anchorId="60C4225A">
                <wp:simplePos x="0" y="0"/>
                <wp:positionH relativeFrom="column">
                  <wp:posOffset>80010</wp:posOffset>
                </wp:positionH>
                <wp:positionV relativeFrom="line">
                  <wp:posOffset>163830</wp:posOffset>
                </wp:positionV>
                <wp:extent cx="1028700" cy="0"/>
                <wp:effectExtent l="0" t="1270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2794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F47A" id="Line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6.3pt,12.9pt" to="87.3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" strokecolor="blue" strokeweight="2.2pt">
                <o:lock v:ext="edit" shapetype="f"/>
                <w10:wrap anchory="line"/>
              </v:line>
            </w:pict>
          </mc:Fallback>
        </mc:AlternateContent>
      </w:r>
    </w:p>
    <w:p w:rsidR="001B5EE7" w:rsidRDefault="001B5EE7" w:rsidP="001B5EE7">
      <w:pPr>
        <w:rPr>
          <w:rFonts w:ascii="Arial" w:hAnsi="Arial" w:cs="Arial"/>
          <w:b/>
          <w:bCs/>
          <w:sz w:val="22"/>
          <w:szCs w:val="22"/>
        </w:rPr>
      </w:pPr>
    </w:p>
    <w:p w:rsidR="001B5EE7" w:rsidRDefault="001B5EE7" w:rsidP="001B5EE7">
      <w:pPr>
        <w:rPr>
          <w:rFonts w:ascii="Arial"/>
          <w:sz w:val="22"/>
          <w:szCs w:val="22"/>
        </w:rPr>
      </w:pPr>
      <w:r>
        <w:rPr>
          <w:rFonts w:ascii="Arial"/>
          <w:sz w:val="22"/>
          <w:szCs w:val="22"/>
        </w:rPr>
        <w:t>23</w:t>
      </w:r>
      <w:r>
        <w:rPr>
          <w:rFonts w:ascii="Arial"/>
          <w:sz w:val="22"/>
          <w:szCs w:val="22"/>
          <w:vertAlign w:val="superscript"/>
        </w:rPr>
        <w:t>rd</w:t>
      </w:r>
      <w:r>
        <w:rPr>
          <w:rFonts w:ascii="Arial"/>
          <w:sz w:val="22"/>
          <w:szCs w:val="22"/>
        </w:rPr>
        <w:t xml:space="preserve"> June 2012 (introduction of the </w:t>
      </w:r>
      <w:r>
        <w:rPr>
          <w:sz w:val="22"/>
          <w:szCs w:val="22"/>
        </w:rPr>
        <w:t>‘</w:t>
      </w:r>
      <w:r>
        <w:rPr>
          <w:rFonts w:ascii="Arial"/>
          <w:sz w:val="22"/>
          <w:szCs w:val="22"/>
        </w:rPr>
        <w:t>Euro per prescription</w:t>
      </w:r>
      <w:r>
        <w:rPr>
          <w:sz w:val="22"/>
          <w:szCs w:val="22"/>
        </w:rPr>
        <w:t>’</w:t>
      </w:r>
      <w:r>
        <w:rPr>
          <w:rFonts w:ascii="Arial"/>
          <w:sz w:val="22"/>
          <w:szCs w:val="22"/>
        </w:rPr>
        <w:t>)</w:t>
      </w:r>
    </w:p>
    <w:p w:rsidR="00A2386A" w:rsidRPr="00957A99" w:rsidRDefault="00A2386A" w:rsidP="001B5EE7">
      <w:pPr>
        <w:rPr>
          <w:rFonts w:ascii="Arial" w:hAnsi="Arial" w:cs="Arial"/>
          <w:b/>
          <w:bCs/>
          <w:sz w:val="22"/>
          <w:szCs w:val="22"/>
        </w:rPr>
      </w:pPr>
    </w:p>
    <w:p w:rsidR="001B5EE7" w:rsidRDefault="001B5EE7" w:rsidP="001B5EE7">
      <w:pPr>
        <w:rPr>
          <w:rFonts w:ascii="Arial" w:hAnsi="Arial" w:cs="Arial"/>
          <w:b/>
          <w:bCs/>
          <w:sz w:val="22"/>
          <w:szCs w:val="22"/>
        </w:rPr>
      </w:pPr>
      <w:r>
        <w:rPr>
          <w:rFonts w:ascii="Arial"/>
          <w:b/>
          <w:bCs/>
          <w:sz w:val="22"/>
          <w:szCs w:val="22"/>
        </w:rPr>
        <w:lastRenderedPageBreak/>
        <w:t>Figure 2.- Average number of visits to prescribers per individual. IAS Girona.</w:t>
      </w:r>
    </w:p>
    <w:p w:rsidR="001B5EE7" w:rsidRDefault="00775618" w:rsidP="001B5EE7">
      <w:pPr>
        <w:rPr>
          <w:rFonts w:ascii="Arial" w:hAnsi="Arial" w:cs="Arial"/>
          <w:b/>
          <w:bCs/>
          <w:sz w:val="22"/>
          <w:szCs w:val="22"/>
        </w:rPr>
      </w:pPr>
      <w:r>
        <w:rPr>
          <w:rFonts w:ascii="Arial" w:hAnsi="Arial" w:cs="Arial"/>
          <w:b/>
          <w:noProof/>
          <w:sz w:val="22"/>
          <w:szCs w:val="22"/>
          <w:lang w:val="es-ES" w:eastAsia="es-ES"/>
        </w:rPr>
        <w:drawing>
          <wp:inline distT="0" distB="0" distL="0" distR="0" wp14:anchorId="4A469B45">
            <wp:extent cx="7123430" cy="4754880"/>
            <wp:effectExtent l="0" t="0" r="0" b="0"/>
            <wp:docPr id="10" name="Imagen 10" descr="Figure 2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igure 2a"/>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23430" cy="4754880"/>
                    </a:xfrm>
                    <a:prstGeom prst="rect">
                      <a:avLst/>
                    </a:prstGeom>
                    <a:noFill/>
                    <a:ln>
                      <a:noFill/>
                    </a:ln>
                  </pic:spPr>
                </pic:pic>
              </a:graphicData>
            </a:graphic>
          </wp:inline>
        </w:drawing>
      </w:r>
    </w:p>
    <w:p w:rsidR="001B5EE7" w:rsidRDefault="00775618" w:rsidP="001B5EE7">
      <w:pPr>
        <w:rPr>
          <w:rFonts w:ascii="Arial"/>
          <w:sz w:val="22"/>
          <w:szCs w:val="22"/>
        </w:rPr>
      </w:pPr>
      <w:r>
        <w:rPr>
          <w:noProof/>
          <w:lang w:val="es-ES" w:eastAsia="es-ES"/>
        </w:rPr>
        <mc:AlternateContent>
          <mc:Choice Requires="wps">
            <w:drawing>
              <wp:anchor distT="0" distB="0" distL="0" distR="0" simplePos="0" relativeHeight="251658240" behindDoc="0" locked="0" layoutInCell="1" allowOverlap="1" wp14:anchorId="5F66AFB5">
                <wp:simplePos x="0" y="0"/>
                <wp:positionH relativeFrom="column">
                  <wp:posOffset>0</wp:posOffset>
                </wp:positionH>
                <wp:positionV relativeFrom="line">
                  <wp:posOffset>102235</wp:posOffset>
                </wp:positionV>
                <wp:extent cx="1028700" cy="0"/>
                <wp:effectExtent l="0" t="1270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2794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D30D4" id="Lin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8.05pt" to="81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" strokecolor="blue" strokeweight="2.2pt">
                <o:lock v:ext="edit" shapetype="f"/>
                <w10:wrap anchory="line"/>
              </v:line>
            </w:pict>
          </mc:Fallback>
        </mc:AlternateContent>
      </w:r>
    </w:p>
    <w:p w:rsidR="001B5EE7" w:rsidRDefault="001B5EE7" w:rsidP="001B5EE7">
      <w:pPr>
        <w:rPr>
          <w:rFonts w:ascii="Arial"/>
          <w:sz w:val="22"/>
          <w:szCs w:val="22"/>
        </w:rPr>
      </w:pPr>
      <w:r>
        <w:rPr>
          <w:rFonts w:ascii="Arial"/>
          <w:sz w:val="22"/>
          <w:szCs w:val="22"/>
        </w:rPr>
        <w:t>23</w:t>
      </w:r>
      <w:r>
        <w:rPr>
          <w:rFonts w:ascii="Arial"/>
          <w:sz w:val="22"/>
          <w:szCs w:val="22"/>
          <w:vertAlign w:val="superscript"/>
        </w:rPr>
        <w:t xml:space="preserve"> </w:t>
      </w:r>
      <w:r>
        <w:rPr>
          <w:rFonts w:ascii="Arial"/>
          <w:sz w:val="22"/>
          <w:szCs w:val="22"/>
        </w:rPr>
        <w:t xml:space="preserve">June 2012 (introduction of the </w:t>
      </w:r>
      <w:r>
        <w:rPr>
          <w:sz w:val="22"/>
          <w:szCs w:val="22"/>
        </w:rPr>
        <w:t>‘</w:t>
      </w:r>
      <w:r>
        <w:rPr>
          <w:rFonts w:ascii="Arial"/>
          <w:sz w:val="22"/>
          <w:szCs w:val="22"/>
        </w:rPr>
        <w:t>Euro per prescription</w:t>
      </w:r>
      <w:r>
        <w:rPr>
          <w:sz w:val="22"/>
          <w:szCs w:val="22"/>
        </w:rPr>
        <w:t>’</w:t>
      </w:r>
      <w:r>
        <w:rPr>
          <w:rFonts w:ascii="Arial"/>
          <w:sz w:val="22"/>
          <w:szCs w:val="22"/>
        </w:rPr>
        <w:t>)</w:t>
      </w:r>
    </w:p>
    <w:sectPr w:rsidR="001B5EE7" w:rsidSect="00CC476A">
      <w:headerReference w:type="default" r:id="rId24"/>
      <w:footerReference w:type="default" r:id="rId25"/>
      <w:headerReference w:type="first" r:id="rId26"/>
      <w:footerReference w:type="first" r:id="rId27"/>
      <w:pgSz w:w="16840" w:h="11900" w:orient="landscape"/>
      <w:pgMar w:top="1701" w:right="1418" w:bottom="170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E16" w:rsidRDefault="00102E16">
      <w:r>
        <w:separator/>
      </w:r>
    </w:p>
  </w:endnote>
  <w:endnote w:type="continuationSeparator" w:id="0">
    <w:p w:rsidR="00102E16" w:rsidRDefault="0010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CC4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14BF" w:rsidRDefault="00AD14BF" w:rsidP="00104F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104F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AD14BF" w:rsidRDefault="00AD14BF" w:rsidP="00104FA8">
    <w:pPr>
      <w:pStyle w:val="Capaleraipeudepg"/>
      <w:pBdr>
        <w:top w:val="none" w:sz="0" w:space="0" w:color="auto"/>
        <w:left w:val="none" w:sz="0" w:space="0" w:color="auto"/>
        <w:bottom w:val="none" w:sz="0" w:space="0" w:color="auto"/>
        <w:right w:val="none" w:sz="0" w:space="0" w:color="auto"/>
        <w:bar w:val="none" w:sz="0"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pPr>
      <w:pStyle w:val="Capaleraipeudepg"/>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DA2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AD14BF" w:rsidRDefault="00AD14BF" w:rsidP="00CC476A">
    <w:pPr>
      <w:pStyle w:val="Capaleraipeudepg"/>
      <w:pBdr>
        <w:top w:val="none" w:sz="0" w:space="0" w:color="auto"/>
        <w:left w:val="none" w:sz="0" w:space="0" w:color="auto"/>
        <w:bottom w:val="none" w:sz="0" w:space="0" w:color="auto"/>
        <w:right w:val="none" w:sz="0" w:space="0" w:color="auto"/>
        <w:bar w:val="none" w:sz="0" w:color="auto"/>
      </w:pBd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CC476A">
    <w:pPr>
      <w:pStyle w:val="Footer"/>
      <w:pBdr>
        <w:top w:val="none" w:sz="96" w:space="6" w:color="FFFFFF" w:frame="1"/>
      </w:pBd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E16" w:rsidRDefault="00102E16">
      <w:r>
        <w:separator/>
      </w:r>
    </w:p>
  </w:footnote>
  <w:footnote w:type="continuationSeparator" w:id="0">
    <w:p w:rsidR="00102E16" w:rsidRDefault="00102E16">
      <w:r>
        <w:continuationSeparator/>
      </w:r>
    </w:p>
  </w:footnote>
  <w:footnote w:id="1">
    <w:p w:rsidR="00CB069F" w:rsidRPr="00CB069F" w:rsidRDefault="00CB069F">
      <w:pPr>
        <w:pStyle w:val="FootnoteText"/>
      </w:pPr>
      <w:r>
        <w:rPr>
          <w:rStyle w:val="FootnoteReference"/>
        </w:rPr>
        <w:footnoteRef/>
      </w:r>
      <w:r>
        <w:t xml:space="preserve"> </w:t>
      </w:r>
      <w:r>
        <w:rPr>
          <w:rFonts w:ascii="Arial"/>
          <w:sz w:val="18"/>
          <w:szCs w:val="18"/>
          <w:lang w:val="en-US"/>
        </w:rPr>
        <w:t>Excluding those individuals under 16 and over 65, inactive, and therefore with a zero probability of being unemployed.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104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14BF" w:rsidRDefault="00AD14BF" w:rsidP="001B5E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rsidP="001B5EE7">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BF" w:rsidRDefault="00AD14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70D1"/>
    <w:multiLevelType w:val="hybridMultilevel"/>
    <w:tmpl w:val="334AF790"/>
    <w:lvl w:ilvl="0" w:tplc="01128A90">
      <w:start w:val="1"/>
      <w:numFmt w:val="decimal"/>
      <w:lvlText w:val="%1."/>
      <w:lvlJc w:val="left"/>
      <w:pPr>
        <w:ind w:left="644" w:hanging="360"/>
      </w:pPr>
      <w:rPr>
        <w:rFonts w:ascii="Arial" w:hAnsi="Arial"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01BB2"/>
    <w:multiLevelType w:val="hybridMultilevel"/>
    <w:tmpl w:val="5316EA18"/>
    <w:lvl w:ilvl="0" w:tplc="F9E8D3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C60DE"/>
    <w:multiLevelType w:val="multilevel"/>
    <w:tmpl w:val="BA12E1E4"/>
    <w:lvl w:ilvl="0">
      <w:numFmt w:val="bullet"/>
      <w:lvlText w:val="-"/>
      <w:lvlJc w:val="left"/>
      <w:pPr>
        <w:tabs>
          <w:tab w:val="num" w:pos="240"/>
        </w:tabs>
        <w:ind w:left="240" w:hanging="240"/>
      </w:pPr>
      <w:rPr>
        <w:rFonts w:ascii="Arial" w:eastAsia="Times New Roman" w:hAnsi="Arial"/>
        <w:color w:val="274EFA"/>
        <w:position w:val="4"/>
        <w:sz w:val="26"/>
      </w:rPr>
    </w:lvl>
    <w:lvl w:ilvl="1">
      <w:start w:val="1"/>
      <w:numFmt w:val="bullet"/>
      <w:lvlText w:val="-"/>
      <w:lvlJc w:val="left"/>
      <w:pPr>
        <w:tabs>
          <w:tab w:val="num" w:pos="480"/>
        </w:tabs>
        <w:ind w:left="480" w:hanging="240"/>
      </w:pPr>
      <w:rPr>
        <w:rFonts w:ascii="Arial" w:eastAsia="Times New Roman" w:hAnsi="Arial"/>
        <w:color w:val="274EFA"/>
        <w:position w:val="4"/>
        <w:sz w:val="26"/>
      </w:rPr>
    </w:lvl>
    <w:lvl w:ilvl="2">
      <w:start w:val="1"/>
      <w:numFmt w:val="bullet"/>
      <w:lvlText w:val="-"/>
      <w:lvlJc w:val="left"/>
      <w:pPr>
        <w:tabs>
          <w:tab w:val="num" w:pos="720"/>
        </w:tabs>
        <w:ind w:left="720" w:hanging="240"/>
      </w:pPr>
      <w:rPr>
        <w:rFonts w:ascii="Arial" w:eastAsia="Times New Roman" w:hAnsi="Arial"/>
        <w:color w:val="274EFA"/>
        <w:position w:val="4"/>
        <w:sz w:val="26"/>
      </w:rPr>
    </w:lvl>
    <w:lvl w:ilvl="3">
      <w:start w:val="1"/>
      <w:numFmt w:val="bullet"/>
      <w:lvlText w:val="-"/>
      <w:lvlJc w:val="left"/>
      <w:pPr>
        <w:tabs>
          <w:tab w:val="num" w:pos="960"/>
        </w:tabs>
        <w:ind w:left="960" w:hanging="240"/>
      </w:pPr>
      <w:rPr>
        <w:rFonts w:ascii="Arial" w:eastAsia="Times New Roman" w:hAnsi="Arial"/>
        <w:color w:val="274EFA"/>
        <w:position w:val="4"/>
        <w:sz w:val="26"/>
      </w:rPr>
    </w:lvl>
    <w:lvl w:ilvl="4">
      <w:start w:val="1"/>
      <w:numFmt w:val="bullet"/>
      <w:lvlText w:val="-"/>
      <w:lvlJc w:val="left"/>
      <w:pPr>
        <w:tabs>
          <w:tab w:val="num" w:pos="1200"/>
        </w:tabs>
        <w:ind w:left="1200" w:hanging="240"/>
      </w:pPr>
      <w:rPr>
        <w:rFonts w:ascii="Arial" w:eastAsia="Times New Roman" w:hAnsi="Arial"/>
        <w:color w:val="274EFA"/>
        <w:position w:val="4"/>
        <w:sz w:val="26"/>
      </w:rPr>
    </w:lvl>
    <w:lvl w:ilvl="5">
      <w:start w:val="1"/>
      <w:numFmt w:val="bullet"/>
      <w:lvlText w:val="-"/>
      <w:lvlJc w:val="left"/>
      <w:pPr>
        <w:tabs>
          <w:tab w:val="num" w:pos="1440"/>
        </w:tabs>
        <w:ind w:left="1440" w:hanging="240"/>
      </w:pPr>
      <w:rPr>
        <w:rFonts w:ascii="Arial" w:eastAsia="Times New Roman" w:hAnsi="Arial"/>
        <w:color w:val="274EFA"/>
        <w:position w:val="4"/>
        <w:sz w:val="26"/>
      </w:rPr>
    </w:lvl>
    <w:lvl w:ilvl="6">
      <w:start w:val="1"/>
      <w:numFmt w:val="bullet"/>
      <w:lvlText w:val="-"/>
      <w:lvlJc w:val="left"/>
      <w:pPr>
        <w:tabs>
          <w:tab w:val="num" w:pos="1680"/>
        </w:tabs>
        <w:ind w:left="1680" w:hanging="240"/>
      </w:pPr>
      <w:rPr>
        <w:rFonts w:ascii="Arial" w:eastAsia="Times New Roman" w:hAnsi="Arial"/>
        <w:color w:val="274EFA"/>
        <w:position w:val="4"/>
        <w:sz w:val="26"/>
      </w:rPr>
    </w:lvl>
    <w:lvl w:ilvl="7">
      <w:start w:val="1"/>
      <w:numFmt w:val="bullet"/>
      <w:lvlText w:val="-"/>
      <w:lvlJc w:val="left"/>
      <w:pPr>
        <w:tabs>
          <w:tab w:val="num" w:pos="1920"/>
        </w:tabs>
        <w:ind w:left="1920" w:hanging="240"/>
      </w:pPr>
      <w:rPr>
        <w:rFonts w:ascii="Arial" w:eastAsia="Times New Roman" w:hAnsi="Arial"/>
        <w:color w:val="274EFA"/>
        <w:position w:val="4"/>
        <w:sz w:val="26"/>
      </w:rPr>
    </w:lvl>
    <w:lvl w:ilvl="8">
      <w:start w:val="1"/>
      <w:numFmt w:val="bullet"/>
      <w:lvlText w:val="-"/>
      <w:lvlJc w:val="left"/>
      <w:pPr>
        <w:tabs>
          <w:tab w:val="num" w:pos="2160"/>
        </w:tabs>
        <w:ind w:left="2160" w:hanging="240"/>
      </w:pPr>
      <w:rPr>
        <w:rFonts w:ascii="Arial" w:eastAsia="Times New Roman" w:hAnsi="Arial"/>
        <w:color w:val="274EFA"/>
        <w:position w:val="4"/>
        <w:sz w:val="26"/>
      </w:rPr>
    </w:lvl>
  </w:abstractNum>
  <w:abstractNum w:abstractNumId="3" w15:restartNumberingAfterBreak="0">
    <w:nsid w:val="376677E9"/>
    <w:multiLevelType w:val="hybridMultilevel"/>
    <w:tmpl w:val="334AF790"/>
    <w:lvl w:ilvl="0" w:tplc="01128A90">
      <w:start w:val="1"/>
      <w:numFmt w:val="decimal"/>
      <w:lvlText w:val="%1."/>
      <w:lvlJc w:val="left"/>
      <w:pPr>
        <w:ind w:left="644" w:hanging="360"/>
      </w:pPr>
      <w:rPr>
        <w:rFonts w:ascii="Arial" w:hAnsi="Arial"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473D0"/>
    <w:multiLevelType w:val="multilevel"/>
    <w:tmpl w:val="96F23D02"/>
    <w:styleLink w:val="Gui"/>
    <w:lvl w:ilvl="0">
      <w:numFmt w:val="bullet"/>
      <w:lvlText w:val="-"/>
      <w:lvlJc w:val="left"/>
      <w:pPr>
        <w:tabs>
          <w:tab w:val="num" w:pos="240"/>
        </w:tabs>
        <w:ind w:left="240" w:hanging="240"/>
      </w:pPr>
      <w:rPr>
        <w:rFonts w:ascii="Arial" w:eastAsia="Times New Roman" w:hAnsi="Arial"/>
        <w:color w:val="274EFA"/>
        <w:position w:val="4"/>
        <w:sz w:val="26"/>
      </w:rPr>
    </w:lvl>
    <w:lvl w:ilvl="1">
      <w:start w:val="1"/>
      <w:numFmt w:val="bullet"/>
      <w:lvlText w:val="-"/>
      <w:lvlJc w:val="left"/>
      <w:pPr>
        <w:tabs>
          <w:tab w:val="num" w:pos="480"/>
        </w:tabs>
        <w:ind w:left="480" w:hanging="240"/>
      </w:pPr>
      <w:rPr>
        <w:rFonts w:ascii="Arial" w:eastAsia="Times New Roman" w:hAnsi="Arial"/>
        <w:color w:val="274EFA"/>
        <w:position w:val="4"/>
        <w:sz w:val="26"/>
      </w:rPr>
    </w:lvl>
    <w:lvl w:ilvl="2">
      <w:start w:val="1"/>
      <w:numFmt w:val="bullet"/>
      <w:lvlText w:val="-"/>
      <w:lvlJc w:val="left"/>
      <w:pPr>
        <w:tabs>
          <w:tab w:val="num" w:pos="720"/>
        </w:tabs>
        <w:ind w:left="720" w:hanging="240"/>
      </w:pPr>
      <w:rPr>
        <w:rFonts w:ascii="Arial" w:eastAsia="Times New Roman" w:hAnsi="Arial"/>
        <w:color w:val="274EFA"/>
        <w:position w:val="4"/>
        <w:sz w:val="26"/>
      </w:rPr>
    </w:lvl>
    <w:lvl w:ilvl="3">
      <w:start w:val="1"/>
      <w:numFmt w:val="bullet"/>
      <w:lvlText w:val="-"/>
      <w:lvlJc w:val="left"/>
      <w:pPr>
        <w:tabs>
          <w:tab w:val="num" w:pos="960"/>
        </w:tabs>
        <w:ind w:left="960" w:hanging="240"/>
      </w:pPr>
      <w:rPr>
        <w:rFonts w:ascii="Arial" w:eastAsia="Times New Roman" w:hAnsi="Arial"/>
        <w:color w:val="274EFA"/>
        <w:position w:val="4"/>
        <w:sz w:val="26"/>
      </w:rPr>
    </w:lvl>
    <w:lvl w:ilvl="4">
      <w:start w:val="1"/>
      <w:numFmt w:val="bullet"/>
      <w:lvlText w:val="-"/>
      <w:lvlJc w:val="left"/>
      <w:pPr>
        <w:tabs>
          <w:tab w:val="num" w:pos="1200"/>
        </w:tabs>
        <w:ind w:left="1200" w:hanging="240"/>
      </w:pPr>
      <w:rPr>
        <w:rFonts w:ascii="Arial" w:eastAsia="Times New Roman" w:hAnsi="Arial"/>
        <w:color w:val="274EFA"/>
        <w:position w:val="4"/>
        <w:sz w:val="26"/>
      </w:rPr>
    </w:lvl>
    <w:lvl w:ilvl="5">
      <w:start w:val="1"/>
      <w:numFmt w:val="bullet"/>
      <w:lvlText w:val="-"/>
      <w:lvlJc w:val="left"/>
      <w:pPr>
        <w:tabs>
          <w:tab w:val="num" w:pos="1440"/>
        </w:tabs>
        <w:ind w:left="1440" w:hanging="240"/>
      </w:pPr>
      <w:rPr>
        <w:rFonts w:ascii="Arial" w:eastAsia="Times New Roman" w:hAnsi="Arial"/>
        <w:color w:val="274EFA"/>
        <w:position w:val="4"/>
        <w:sz w:val="26"/>
      </w:rPr>
    </w:lvl>
    <w:lvl w:ilvl="6">
      <w:start w:val="1"/>
      <w:numFmt w:val="bullet"/>
      <w:lvlText w:val="-"/>
      <w:lvlJc w:val="left"/>
      <w:pPr>
        <w:tabs>
          <w:tab w:val="num" w:pos="1680"/>
        </w:tabs>
        <w:ind w:left="1680" w:hanging="240"/>
      </w:pPr>
      <w:rPr>
        <w:rFonts w:ascii="Arial" w:eastAsia="Times New Roman" w:hAnsi="Arial"/>
        <w:color w:val="274EFA"/>
        <w:position w:val="4"/>
        <w:sz w:val="26"/>
      </w:rPr>
    </w:lvl>
    <w:lvl w:ilvl="7">
      <w:start w:val="1"/>
      <w:numFmt w:val="bullet"/>
      <w:lvlText w:val="-"/>
      <w:lvlJc w:val="left"/>
      <w:pPr>
        <w:tabs>
          <w:tab w:val="num" w:pos="1920"/>
        </w:tabs>
        <w:ind w:left="1920" w:hanging="240"/>
      </w:pPr>
      <w:rPr>
        <w:rFonts w:ascii="Arial" w:eastAsia="Times New Roman" w:hAnsi="Arial"/>
        <w:color w:val="274EFA"/>
        <w:position w:val="4"/>
        <w:sz w:val="26"/>
      </w:rPr>
    </w:lvl>
    <w:lvl w:ilvl="8">
      <w:start w:val="1"/>
      <w:numFmt w:val="bullet"/>
      <w:lvlText w:val="-"/>
      <w:lvlJc w:val="left"/>
      <w:pPr>
        <w:tabs>
          <w:tab w:val="num" w:pos="2160"/>
        </w:tabs>
        <w:ind w:left="2160" w:hanging="240"/>
      </w:pPr>
      <w:rPr>
        <w:rFonts w:ascii="Arial" w:eastAsia="Times New Roman" w:hAnsi="Arial"/>
        <w:color w:val="274EFA"/>
        <w:position w:val="4"/>
        <w:sz w:val="26"/>
      </w:rPr>
    </w:lvl>
  </w:abstractNum>
  <w:abstractNum w:abstractNumId="5" w15:restartNumberingAfterBreak="0">
    <w:nsid w:val="3B1C6A4D"/>
    <w:multiLevelType w:val="hybridMultilevel"/>
    <w:tmpl w:val="5316EA18"/>
    <w:lvl w:ilvl="0" w:tplc="F9E8D3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EC599F"/>
    <w:multiLevelType w:val="hybridMultilevel"/>
    <w:tmpl w:val="5316EA18"/>
    <w:lvl w:ilvl="0" w:tplc="F9E8D3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726A8"/>
    <w:multiLevelType w:val="multilevel"/>
    <w:tmpl w:val="5FCEBD64"/>
    <w:lvl w:ilvl="0">
      <w:start w:val="1"/>
      <w:numFmt w:val="bullet"/>
      <w:lvlText w:val="-"/>
      <w:lvlJc w:val="left"/>
      <w:pPr>
        <w:tabs>
          <w:tab w:val="num" w:pos="240"/>
        </w:tabs>
        <w:ind w:left="240" w:hanging="240"/>
      </w:pPr>
      <w:rPr>
        <w:rFonts w:ascii="Arial" w:eastAsia="Times New Roman" w:hAnsi="Arial"/>
        <w:color w:val="274EFA"/>
        <w:position w:val="4"/>
        <w:sz w:val="26"/>
      </w:rPr>
    </w:lvl>
    <w:lvl w:ilvl="1">
      <w:start w:val="1"/>
      <w:numFmt w:val="bullet"/>
      <w:lvlText w:val="-"/>
      <w:lvlJc w:val="left"/>
      <w:pPr>
        <w:tabs>
          <w:tab w:val="num" w:pos="480"/>
        </w:tabs>
        <w:ind w:left="480" w:hanging="240"/>
      </w:pPr>
      <w:rPr>
        <w:rFonts w:ascii="Arial" w:eastAsia="Times New Roman" w:hAnsi="Arial"/>
        <w:color w:val="274EFA"/>
        <w:position w:val="4"/>
        <w:sz w:val="26"/>
      </w:rPr>
    </w:lvl>
    <w:lvl w:ilvl="2">
      <w:start w:val="1"/>
      <w:numFmt w:val="bullet"/>
      <w:lvlText w:val="-"/>
      <w:lvlJc w:val="left"/>
      <w:pPr>
        <w:tabs>
          <w:tab w:val="num" w:pos="720"/>
        </w:tabs>
        <w:ind w:left="720" w:hanging="240"/>
      </w:pPr>
      <w:rPr>
        <w:rFonts w:ascii="Arial" w:eastAsia="Times New Roman" w:hAnsi="Arial"/>
        <w:color w:val="274EFA"/>
        <w:position w:val="4"/>
        <w:sz w:val="26"/>
      </w:rPr>
    </w:lvl>
    <w:lvl w:ilvl="3">
      <w:start w:val="1"/>
      <w:numFmt w:val="bullet"/>
      <w:lvlText w:val="-"/>
      <w:lvlJc w:val="left"/>
      <w:pPr>
        <w:tabs>
          <w:tab w:val="num" w:pos="960"/>
        </w:tabs>
        <w:ind w:left="960" w:hanging="240"/>
      </w:pPr>
      <w:rPr>
        <w:rFonts w:ascii="Arial" w:eastAsia="Times New Roman" w:hAnsi="Arial"/>
        <w:color w:val="274EFA"/>
        <w:position w:val="4"/>
        <w:sz w:val="26"/>
      </w:rPr>
    </w:lvl>
    <w:lvl w:ilvl="4">
      <w:start w:val="1"/>
      <w:numFmt w:val="bullet"/>
      <w:lvlText w:val="-"/>
      <w:lvlJc w:val="left"/>
      <w:pPr>
        <w:tabs>
          <w:tab w:val="num" w:pos="1200"/>
        </w:tabs>
        <w:ind w:left="1200" w:hanging="240"/>
      </w:pPr>
      <w:rPr>
        <w:rFonts w:ascii="Arial" w:eastAsia="Times New Roman" w:hAnsi="Arial"/>
        <w:color w:val="274EFA"/>
        <w:position w:val="4"/>
        <w:sz w:val="26"/>
      </w:rPr>
    </w:lvl>
    <w:lvl w:ilvl="5">
      <w:start w:val="1"/>
      <w:numFmt w:val="bullet"/>
      <w:lvlText w:val="-"/>
      <w:lvlJc w:val="left"/>
      <w:pPr>
        <w:tabs>
          <w:tab w:val="num" w:pos="1440"/>
        </w:tabs>
        <w:ind w:left="1440" w:hanging="240"/>
      </w:pPr>
      <w:rPr>
        <w:rFonts w:ascii="Arial" w:eastAsia="Times New Roman" w:hAnsi="Arial"/>
        <w:color w:val="274EFA"/>
        <w:position w:val="4"/>
        <w:sz w:val="26"/>
      </w:rPr>
    </w:lvl>
    <w:lvl w:ilvl="6">
      <w:start w:val="1"/>
      <w:numFmt w:val="bullet"/>
      <w:lvlText w:val="-"/>
      <w:lvlJc w:val="left"/>
      <w:pPr>
        <w:tabs>
          <w:tab w:val="num" w:pos="1680"/>
        </w:tabs>
        <w:ind w:left="1680" w:hanging="240"/>
      </w:pPr>
      <w:rPr>
        <w:rFonts w:ascii="Arial" w:eastAsia="Times New Roman" w:hAnsi="Arial"/>
        <w:color w:val="274EFA"/>
        <w:position w:val="4"/>
        <w:sz w:val="26"/>
      </w:rPr>
    </w:lvl>
    <w:lvl w:ilvl="7">
      <w:start w:val="1"/>
      <w:numFmt w:val="bullet"/>
      <w:lvlText w:val="-"/>
      <w:lvlJc w:val="left"/>
      <w:pPr>
        <w:tabs>
          <w:tab w:val="num" w:pos="1920"/>
        </w:tabs>
        <w:ind w:left="1920" w:hanging="240"/>
      </w:pPr>
      <w:rPr>
        <w:rFonts w:ascii="Arial" w:eastAsia="Times New Roman" w:hAnsi="Arial"/>
        <w:color w:val="274EFA"/>
        <w:position w:val="4"/>
        <w:sz w:val="26"/>
      </w:rPr>
    </w:lvl>
    <w:lvl w:ilvl="8">
      <w:start w:val="1"/>
      <w:numFmt w:val="bullet"/>
      <w:lvlText w:val="-"/>
      <w:lvlJc w:val="left"/>
      <w:pPr>
        <w:tabs>
          <w:tab w:val="num" w:pos="2160"/>
        </w:tabs>
        <w:ind w:left="2160" w:hanging="240"/>
      </w:pPr>
      <w:rPr>
        <w:rFonts w:ascii="Arial" w:eastAsia="Times New Roman" w:hAnsi="Arial"/>
        <w:color w:val="274EFA"/>
        <w:position w:val="4"/>
        <w:sz w:val="26"/>
      </w:rPr>
    </w:lvl>
  </w:abstractNum>
  <w:abstractNum w:abstractNumId="8" w15:restartNumberingAfterBreak="0">
    <w:nsid w:val="496D253E"/>
    <w:multiLevelType w:val="multilevel"/>
    <w:tmpl w:val="C980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56FB1"/>
    <w:multiLevelType w:val="hybridMultilevel"/>
    <w:tmpl w:val="5316EA18"/>
    <w:lvl w:ilvl="0" w:tplc="F9E8D33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3"/>
  </w:num>
  <w:num w:numId="6">
    <w:abstractNumId w:val="9"/>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E7"/>
    <w:rsid w:val="00011F65"/>
    <w:rsid w:val="0001762F"/>
    <w:rsid w:val="00025E92"/>
    <w:rsid w:val="00045FEB"/>
    <w:rsid w:val="00051AD0"/>
    <w:rsid w:val="000A1683"/>
    <w:rsid w:val="000A404C"/>
    <w:rsid w:val="000B0D8D"/>
    <w:rsid w:val="000B2DE0"/>
    <w:rsid w:val="000C0426"/>
    <w:rsid w:val="000D535F"/>
    <w:rsid w:val="000E20B0"/>
    <w:rsid w:val="000F616A"/>
    <w:rsid w:val="00102E16"/>
    <w:rsid w:val="00104FA8"/>
    <w:rsid w:val="00160D08"/>
    <w:rsid w:val="001A0D84"/>
    <w:rsid w:val="001A1DDC"/>
    <w:rsid w:val="001B5EE7"/>
    <w:rsid w:val="002122D9"/>
    <w:rsid w:val="002303AD"/>
    <w:rsid w:val="00235D56"/>
    <w:rsid w:val="00252F81"/>
    <w:rsid w:val="002748EB"/>
    <w:rsid w:val="00280FBB"/>
    <w:rsid w:val="00285E91"/>
    <w:rsid w:val="002B314A"/>
    <w:rsid w:val="002C7EE2"/>
    <w:rsid w:val="002E3713"/>
    <w:rsid w:val="003552BC"/>
    <w:rsid w:val="003B5400"/>
    <w:rsid w:val="003B7AC9"/>
    <w:rsid w:val="003D7B8D"/>
    <w:rsid w:val="004568E6"/>
    <w:rsid w:val="00456D6F"/>
    <w:rsid w:val="00462D64"/>
    <w:rsid w:val="004849B1"/>
    <w:rsid w:val="00503649"/>
    <w:rsid w:val="00530271"/>
    <w:rsid w:val="005662AB"/>
    <w:rsid w:val="00572EFC"/>
    <w:rsid w:val="00614335"/>
    <w:rsid w:val="006268B0"/>
    <w:rsid w:val="0067636E"/>
    <w:rsid w:val="00690EDC"/>
    <w:rsid w:val="006925A8"/>
    <w:rsid w:val="006C0F0C"/>
    <w:rsid w:val="006D2C6D"/>
    <w:rsid w:val="006D7168"/>
    <w:rsid w:val="006D783B"/>
    <w:rsid w:val="006E5667"/>
    <w:rsid w:val="006F12B3"/>
    <w:rsid w:val="006F3DC0"/>
    <w:rsid w:val="00700155"/>
    <w:rsid w:val="00700D86"/>
    <w:rsid w:val="00705287"/>
    <w:rsid w:val="0074326A"/>
    <w:rsid w:val="00775274"/>
    <w:rsid w:val="00775618"/>
    <w:rsid w:val="007F0E46"/>
    <w:rsid w:val="007F5531"/>
    <w:rsid w:val="00834D92"/>
    <w:rsid w:val="0086751E"/>
    <w:rsid w:val="008B529A"/>
    <w:rsid w:val="008D1E7C"/>
    <w:rsid w:val="008E0DC9"/>
    <w:rsid w:val="008F235B"/>
    <w:rsid w:val="00922BA7"/>
    <w:rsid w:val="00942A9D"/>
    <w:rsid w:val="00946D02"/>
    <w:rsid w:val="00963E8E"/>
    <w:rsid w:val="00972F6E"/>
    <w:rsid w:val="009873B6"/>
    <w:rsid w:val="009907AA"/>
    <w:rsid w:val="009A2E99"/>
    <w:rsid w:val="009A609A"/>
    <w:rsid w:val="009F72FF"/>
    <w:rsid w:val="00A2386A"/>
    <w:rsid w:val="00A32DA5"/>
    <w:rsid w:val="00A87C35"/>
    <w:rsid w:val="00AB669E"/>
    <w:rsid w:val="00AD14BF"/>
    <w:rsid w:val="00AE679E"/>
    <w:rsid w:val="00B10318"/>
    <w:rsid w:val="00B72D6D"/>
    <w:rsid w:val="00BA249F"/>
    <w:rsid w:val="00BE7C79"/>
    <w:rsid w:val="00BF7B0C"/>
    <w:rsid w:val="00C501C1"/>
    <w:rsid w:val="00C87D09"/>
    <w:rsid w:val="00CB069F"/>
    <w:rsid w:val="00CB67A0"/>
    <w:rsid w:val="00CC476A"/>
    <w:rsid w:val="00CE25F0"/>
    <w:rsid w:val="00D35631"/>
    <w:rsid w:val="00D42732"/>
    <w:rsid w:val="00D6757C"/>
    <w:rsid w:val="00D76374"/>
    <w:rsid w:val="00D8346A"/>
    <w:rsid w:val="00D8515A"/>
    <w:rsid w:val="00DA2D22"/>
    <w:rsid w:val="00E41222"/>
    <w:rsid w:val="00E54023"/>
    <w:rsid w:val="00E74072"/>
    <w:rsid w:val="00E80817"/>
    <w:rsid w:val="00E8210B"/>
    <w:rsid w:val="00EB0EB8"/>
    <w:rsid w:val="00EF2B3A"/>
    <w:rsid w:val="00F736F5"/>
    <w:rsid w:val="00F80786"/>
    <w:rsid w:val="00FE2FE9"/>
    <w:rsid w:val="00FF3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289F2"/>
  <w14:defaultImageDpi w14:val="300"/>
  <w15:docId w15:val="{087C212A-7BBB-334C-B1FE-1424A8B4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8E6"/>
    <w:rPr>
      <w:sz w:val="24"/>
      <w:szCs w:val="24"/>
      <w:lang w:val="en-GB" w:eastAsia="en-US"/>
    </w:rPr>
  </w:style>
  <w:style w:type="paragraph" w:styleId="Heading1">
    <w:name w:val="heading 1"/>
    <w:basedOn w:val="Normal"/>
    <w:link w:val="Heading1Char"/>
    <w:qFormat/>
    <w:rsid w:val="001B5EE7"/>
    <w:pPr>
      <w:spacing w:before="100" w:after="100"/>
      <w:outlineLvl w:val="0"/>
    </w:pPr>
    <w:rPr>
      <w:b/>
      <w:bCs/>
      <w:kern w:val="36"/>
      <w:sz w:val="48"/>
      <w:szCs w:val="48"/>
      <w:lang w:val="es-ES_tradnl" w:eastAsia="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rsid w:val="001B5EE7"/>
    <w:rPr>
      <w:rFonts w:ascii="Arial" w:hAnsi="Arial" w:cs="Arial"/>
      <w:color w:val="0000FF"/>
      <w:sz w:val="22"/>
      <w:szCs w:val="22"/>
      <w:u w:val="single" w:color="0000FF"/>
    </w:rPr>
  </w:style>
  <w:style w:type="character" w:styleId="PageNumber">
    <w:name w:val="page number"/>
    <w:basedOn w:val="DefaultParagraphFont"/>
    <w:rsid w:val="001B5EE7"/>
  </w:style>
  <w:style w:type="character" w:customStyle="1" w:styleId="Heading1Char">
    <w:name w:val="Heading 1 Char"/>
    <w:link w:val="Heading1"/>
    <w:locked/>
    <w:rsid w:val="001B5EE7"/>
    <w:rPr>
      <w:rFonts w:eastAsia="Arial Unicode MS" w:hAnsi="Arial Unicode MS" w:cs="Arial Unicode MS"/>
      <w:b/>
      <w:bCs/>
      <w:color w:val="000000"/>
      <w:kern w:val="36"/>
      <w:sz w:val="48"/>
      <w:szCs w:val="48"/>
      <w:u w:color="000000"/>
      <w:lang w:val="es-ES_tradnl" w:eastAsia="ca-ES" w:bidi="ar-SA"/>
    </w:rPr>
  </w:style>
  <w:style w:type="character" w:styleId="Hyperlink">
    <w:name w:val="Hyperlink"/>
    <w:rsid w:val="001B5EE7"/>
    <w:rPr>
      <w:rFonts w:cs="Times New Roman"/>
      <w:u w:val="single"/>
    </w:rPr>
  </w:style>
  <w:style w:type="table" w:customStyle="1" w:styleId="TableNormal1">
    <w:name w:val="Table Normal1"/>
    <w:rsid w:val="001B5EE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lang w:val="ca-ES" w:eastAsia="ca-ES"/>
    </w:rPr>
    <w:tblPr>
      <w:tblInd w:w="0" w:type="dxa"/>
      <w:tblCellMar>
        <w:top w:w="0" w:type="dxa"/>
        <w:left w:w="0" w:type="dxa"/>
        <w:bottom w:w="0" w:type="dxa"/>
        <w:right w:w="0" w:type="dxa"/>
      </w:tblCellMar>
    </w:tblPr>
  </w:style>
  <w:style w:type="paragraph" w:styleId="Header">
    <w:name w:val="header"/>
    <w:basedOn w:val="Normal"/>
    <w:link w:val="HeaderChar"/>
    <w:rsid w:val="001B5EE7"/>
    <w:pPr>
      <w:tabs>
        <w:tab w:val="center" w:pos="4252"/>
        <w:tab w:val="right" w:pos="8504"/>
      </w:tabs>
    </w:pPr>
    <w:rPr>
      <w:lang w:eastAsia="ca-ES"/>
    </w:rPr>
  </w:style>
  <w:style w:type="character" w:customStyle="1" w:styleId="HeaderChar">
    <w:name w:val="Header Char"/>
    <w:link w:val="Header"/>
    <w:semiHidden/>
    <w:locked/>
    <w:rsid w:val="001B5EE7"/>
    <w:rPr>
      <w:rFonts w:eastAsia="Arial Unicode MS" w:hAnsi="Arial Unicode MS" w:cs="Arial Unicode MS"/>
      <w:color w:val="000000"/>
      <w:sz w:val="24"/>
      <w:szCs w:val="24"/>
      <w:u w:color="000000"/>
      <w:lang w:val="en-US" w:eastAsia="ca-ES" w:bidi="ar-SA"/>
    </w:rPr>
  </w:style>
  <w:style w:type="paragraph" w:customStyle="1" w:styleId="Capaleraipeudepg">
    <w:name w:val="Capçalera i peu de pàg."/>
    <w:rsid w:val="001B5EE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ca-ES" w:eastAsia="ca-ES"/>
    </w:rPr>
  </w:style>
  <w:style w:type="paragraph" w:styleId="FootnoteText">
    <w:name w:val="footnote text"/>
    <w:basedOn w:val="Normal"/>
    <w:link w:val="FootnoteTextChar"/>
    <w:rsid w:val="001B5EE7"/>
    <w:rPr>
      <w:sz w:val="20"/>
      <w:szCs w:val="20"/>
      <w:lang w:val="ca-ES" w:eastAsia="ca-ES"/>
    </w:rPr>
  </w:style>
  <w:style w:type="character" w:customStyle="1" w:styleId="FootnoteTextChar">
    <w:name w:val="Footnote Text Char"/>
    <w:link w:val="FootnoteText"/>
    <w:semiHidden/>
    <w:locked/>
    <w:rsid w:val="001B5EE7"/>
    <w:rPr>
      <w:rFonts w:eastAsia="Arial Unicode MS"/>
      <w:color w:val="000000"/>
      <w:u w:color="000000"/>
      <w:lang w:val="ca-ES" w:eastAsia="ca-ES" w:bidi="ar-SA"/>
    </w:rPr>
  </w:style>
  <w:style w:type="paragraph" w:styleId="HTMLPreformatted">
    <w:name w:val="HTML Preformatted"/>
    <w:basedOn w:val="Normal"/>
    <w:link w:val="HTMLPreformattedChar"/>
    <w:rsid w:val="001B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sz w:val="20"/>
      <w:szCs w:val="20"/>
      <w:lang w:val="es-ES_tradnl" w:eastAsia="ca-ES"/>
    </w:rPr>
  </w:style>
  <w:style w:type="character" w:customStyle="1" w:styleId="HTMLPreformattedChar">
    <w:name w:val="HTML Preformatted Char"/>
    <w:link w:val="HTMLPreformatted"/>
    <w:semiHidden/>
    <w:locked/>
    <w:rsid w:val="001B5EE7"/>
    <w:rPr>
      <w:rFonts w:ascii="Courier New" w:eastAsia="Arial Unicode MS" w:hAnsi="Arial Unicode MS" w:cs="Arial Unicode MS"/>
      <w:color w:val="000000"/>
      <w:u w:color="000000"/>
      <w:lang w:val="es-ES_tradnl" w:eastAsia="ca-ES" w:bidi="ar-SA"/>
    </w:rPr>
  </w:style>
  <w:style w:type="character" w:customStyle="1" w:styleId="Hyperlink1">
    <w:name w:val="Hyperlink.1"/>
    <w:rsid w:val="001B5EE7"/>
    <w:rPr>
      <w:rFonts w:ascii="Arial" w:hAnsi="Arial" w:cs="Arial"/>
      <w:color w:val="0000FF"/>
      <w:sz w:val="22"/>
      <w:szCs w:val="22"/>
      <w:u w:val="single" w:color="0000FF"/>
      <w:lang w:val="en-US" w:eastAsia="x-none"/>
    </w:rPr>
  </w:style>
  <w:style w:type="character" w:customStyle="1" w:styleId="Hyperlink2">
    <w:name w:val="Hyperlink.2"/>
    <w:rsid w:val="001B5EE7"/>
    <w:rPr>
      <w:rFonts w:ascii="Arial" w:hAnsi="Arial" w:cs="Arial"/>
      <w:sz w:val="22"/>
      <w:szCs w:val="22"/>
      <w:lang w:val="en-US" w:eastAsia="x-none"/>
    </w:rPr>
  </w:style>
  <w:style w:type="character" w:styleId="CommentReference">
    <w:name w:val="annotation reference"/>
    <w:semiHidden/>
    <w:rsid w:val="001B5EE7"/>
    <w:rPr>
      <w:rFonts w:cs="Times New Roman"/>
      <w:sz w:val="16"/>
      <w:szCs w:val="16"/>
    </w:rPr>
  </w:style>
  <w:style w:type="paragraph" w:styleId="CommentText">
    <w:name w:val="annotation text"/>
    <w:basedOn w:val="Normal"/>
    <w:link w:val="CommentTextChar"/>
    <w:semiHidden/>
    <w:rsid w:val="001B5EE7"/>
    <w:rPr>
      <w:sz w:val="20"/>
      <w:szCs w:val="20"/>
    </w:rPr>
  </w:style>
  <w:style w:type="character" w:customStyle="1" w:styleId="CommentTextChar">
    <w:name w:val="Comment Text Char"/>
    <w:link w:val="CommentText"/>
    <w:semiHidden/>
    <w:locked/>
    <w:rsid w:val="001B5EE7"/>
    <w:rPr>
      <w:rFonts w:eastAsia="Arial Unicode MS" w:hAnsi="Arial Unicode MS" w:cs="Arial Unicode MS"/>
      <w:color w:val="000000"/>
      <w:u w:color="000000"/>
      <w:lang w:val="en-US" w:eastAsia="en-US" w:bidi="ar-SA"/>
    </w:rPr>
  </w:style>
  <w:style w:type="paragraph" w:styleId="CommentSubject">
    <w:name w:val="annotation subject"/>
    <w:basedOn w:val="CommentText"/>
    <w:next w:val="CommentText"/>
    <w:link w:val="CommentSubjectChar"/>
    <w:semiHidden/>
    <w:rsid w:val="001B5EE7"/>
    <w:rPr>
      <w:b/>
      <w:bCs/>
    </w:rPr>
  </w:style>
  <w:style w:type="character" w:customStyle="1" w:styleId="CommentSubjectChar">
    <w:name w:val="Comment Subject Char"/>
    <w:link w:val="CommentSubject"/>
    <w:semiHidden/>
    <w:locked/>
    <w:rsid w:val="001B5EE7"/>
    <w:rPr>
      <w:rFonts w:eastAsia="Arial Unicode MS" w:hAnsi="Arial Unicode MS" w:cs="Arial Unicode MS"/>
      <w:b/>
      <w:bCs/>
      <w:color w:val="000000"/>
      <w:u w:color="000000"/>
      <w:lang w:val="en-US" w:eastAsia="en-US" w:bidi="ar-SA"/>
    </w:rPr>
  </w:style>
  <w:style w:type="paragraph" w:styleId="BalloonText">
    <w:name w:val="Balloon Text"/>
    <w:basedOn w:val="Normal"/>
    <w:link w:val="BalloonTextChar"/>
    <w:semiHidden/>
    <w:rsid w:val="001B5EE7"/>
    <w:rPr>
      <w:rFonts w:ascii="Tahoma" w:hAnsi="Tahoma" w:cs="Tahoma"/>
      <w:sz w:val="16"/>
      <w:szCs w:val="16"/>
    </w:rPr>
  </w:style>
  <w:style w:type="character" w:customStyle="1" w:styleId="BalloonTextChar">
    <w:name w:val="Balloon Text Char"/>
    <w:link w:val="BalloonText"/>
    <w:semiHidden/>
    <w:locked/>
    <w:rsid w:val="001B5EE7"/>
    <w:rPr>
      <w:rFonts w:ascii="Tahoma" w:eastAsia="Arial Unicode MS" w:hAnsi="Tahoma" w:cs="Tahoma"/>
      <w:color w:val="000000"/>
      <w:sz w:val="16"/>
      <w:szCs w:val="16"/>
      <w:u w:color="000000"/>
      <w:lang w:val="en-US" w:eastAsia="en-US" w:bidi="ar-SA"/>
    </w:rPr>
  </w:style>
  <w:style w:type="numbering" w:customStyle="1" w:styleId="Gui">
    <w:name w:val="Guió"/>
    <w:rsid w:val="001B5EE7"/>
    <w:pPr>
      <w:numPr>
        <w:numId w:val="3"/>
      </w:numPr>
    </w:pPr>
  </w:style>
  <w:style w:type="character" w:customStyle="1" w:styleId="hps">
    <w:name w:val="hps"/>
    <w:rsid w:val="001B5EE7"/>
    <w:rPr>
      <w:rFonts w:cs="Times New Roman"/>
    </w:rPr>
  </w:style>
  <w:style w:type="paragraph" w:styleId="Footer">
    <w:name w:val="footer"/>
    <w:basedOn w:val="Normal"/>
    <w:rsid w:val="001B5EE7"/>
    <w:pPr>
      <w:tabs>
        <w:tab w:val="center" w:pos="4252"/>
        <w:tab w:val="right" w:pos="8504"/>
      </w:tabs>
    </w:pPr>
  </w:style>
  <w:style w:type="paragraph" w:customStyle="1" w:styleId="u-mb-2">
    <w:name w:val="u-mb-2"/>
    <w:basedOn w:val="Normal"/>
    <w:rsid w:val="0086751E"/>
    <w:pPr>
      <w:spacing w:before="100" w:beforeAutospacing="1" w:after="100" w:afterAutospacing="1"/>
    </w:pPr>
  </w:style>
  <w:style w:type="character" w:customStyle="1" w:styleId="authorsname">
    <w:name w:val="authors__name"/>
    <w:basedOn w:val="DefaultParagraphFont"/>
    <w:rsid w:val="0086751E"/>
  </w:style>
  <w:style w:type="character" w:customStyle="1" w:styleId="authorscontact">
    <w:name w:val="authors__contact"/>
    <w:basedOn w:val="DefaultParagraphFont"/>
    <w:rsid w:val="0086751E"/>
  </w:style>
  <w:style w:type="character" w:customStyle="1" w:styleId="journaltitle">
    <w:name w:val="journaltitle"/>
    <w:basedOn w:val="DefaultParagraphFont"/>
    <w:rsid w:val="0086751E"/>
  </w:style>
  <w:style w:type="character" w:customStyle="1" w:styleId="articlecitationvolume">
    <w:name w:val="articlecitation_volume"/>
    <w:basedOn w:val="DefaultParagraphFont"/>
    <w:rsid w:val="0086751E"/>
  </w:style>
  <w:style w:type="character" w:customStyle="1" w:styleId="articlecitationpages">
    <w:name w:val="articlecitation_pages"/>
    <w:basedOn w:val="DefaultParagraphFont"/>
    <w:rsid w:val="0086751E"/>
  </w:style>
  <w:style w:type="character" w:styleId="FootnoteReference">
    <w:name w:val="footnote reference"/>
    <w:basedOn w:val="DefaultParagraphFont"/>
    <w:semiHidden/>
    <w:unhideWhenUsed/>
    <w:rsid w:val="00CB069F"/>
    <w:rPr>
      <w:vertAlign w:val="superscript"/>
    </w:rPr>
  </w:style>
  <w:style w:type="paragraph" w:styleId="ListParagraph">
    <w:name w:val="List Paragraph"/>
    <w:basedOn w:val="Normal"/>
    <w:uiPriority w:val="34"/>
    <w:qFormat/>
    <w:rsid w:val="003B7AC9"/>
    <w:pPr>
      <w:ind w:left="720"/>
      <w:contextualSpacing/>
    </w:pPr>
  </w:style>
  <w:style w:type="character" w:styleId="UnresolvedMention">
    <w:name w:val="Unresolved Mention"/>
    <w:basedOn w:val="DefaultParagraphFont"/>
    <w:uiPriority w:val="99"/>
    <w:semiHidden/>
    <w:unhideWhenUsed/>
    <w:rsid w:val="003B7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7753">
      <w:bodyDiv w:val="1"/>
      <w:marLeft w:val="0"/>
      <w:marRight w:val="0"/>
      <w:marTop w:val="0"/>
      <w:marBottom w:val="0"/>
      <w:divBdr>
        <w:top w:val="none" w:sz="0" w:space="0" w:color="auto"/>
        <w:left w:val="none" w:sz="0" w:space="0" w:color="auto"/>
        <w:bottom w:val="none" w:sz="0" w:space="0" w:color="auto"/>
        <w:right w:val="none" w:sz="0" w:space="0" w:color="auto"/>
      </w:divBdr>
    </w:div>
    <w:div w:id="174195677">
      <w:bodyDiv w:val="1"/>
      <w:marLeft w:val="0"/>
      <w:marRight w:val="0"/>
      <w:marTop w:val="0"/>
      <w:marBottom w:val="0"/>
      <w:divBdr>
        <w:top w:val="none" w:sz="0" w:space="0" w:color="auto"/>
        <w:left w:val="none" w:sz="0" w:space="0" w:color="auto"/>
        <w:bottom w:val="none" w:sz="0" w:space="0" w:color="auto"/>
        <w:right w:val="none" w:sz="0" w:space="0" w:color="auto"/>
      </w:divBdr>
    </w:div>
    <w:div w:id="234899879">
      <w:bodyDiv w:val="1"/>
      <w:marLeft w:val="0"/>
      <w:marRight w:val="0"/>
      <w:marTop w:val="0"/>
      <w:marBottom w:val="0"/>
      <w:divBdr>
        <w:top w:val="none" w:sz="0" w:space="0" w:color="auto"/>
        <w:left w:val="none" w:sz="0" w:space="0" w:color="auto"/>
        <w:bottom w:val="none" w:sz="0" w:space="0" w:color="auto"/>
        <w:right w:val="none" w:sz="0" w:space="0" w:color="auto"/>
      </w:divBdr>
    </w:div>
    <w:div w:id="534738027">
      <w:bodyDiv w:val="1"/>
      <w:marLeft w:val="0"/>
      <w:marRight w:val="0"/>
      <w:marTop w:val="0"/>
      <w:marBottom w:val="0"/>
      <w:divBdr>
        <w:top w:val="none" w:sz="0" w:space="0" w:color="auto"/>
        <w:left w:val="none" w:sz="0" w:space="0" w:color="auto"/>
        <w:bottom w:val="none" w:sz="0" w:space="0" w:color="auto"/>
        <w:right w:val="none" w:sz="0" w:space="0" w:color="auto"/>
      </w:divBdr>
    </w:div>
    <w:div w:id="637609094">
      <w:bodyDiv w:val="1"/>
      <w:marLeft w:val="0"/>
      <w:marRight w:val="0"/>
      <w:marTop w:val="0"/>
      <w:marBottom w:val="0"/>
      <w:divBdr>
        <w:top w:val="none" w:sz="0" w:space="0" w:color="auto"/>
        <w:left w:val="none" w:sz="0" w:space="0" w:color="auto"/>
        <w:bottom w:val="none" w:sz="0" w:space="0" w:color="auto"/>
        <w:right w:val="none" w:sz="0" w:space="0" w:color="auto"/>
      </w:divBdr>
    </w:div>
    <w:div w:id="667635173">
      <w:bodyDiv w:val="1"/>
      <w:marLeft w:val="0"/>
      <w:marRight w:val="0"/>
      <w:marTop w:val="0"/>
      <w:marBottom w:val="0"/>
      <w:divBdr>
        <w:top w:val="none" w:sz="0" w:space="0" w:color="auto"/>
        <w:left w:val="none" w:sz="0" w:space="0" w:color="auto"/>
        <w:bottom w:val="none" w:sz="0" w:space="0" w:color="auto"/>
        <w:right w:val="none" w:sz="0" w:space="0" w:color="auto"/>
      </w:divBdr>
    </w:div>
    <w:div w:id="759645398">
      <w:bodyDiv w:val="1"/>
      <w:marLeft w:val="0"/>
      <w:marRight w:val="0"/>
      <w:marTop w:val="0"/>
      <w:marBottom w:val="0"/>
      <w:divBdr>
        <w:top w:val="none" w:sz="0" w:space="0" w:color="auto"/>
        <w:left w:val="none" w:sz="0" w:space="0" w:color="auto"/>
        <w:bottom w:val="none" w:sz="0" w:space="0" w:color="auto"/>
        <w:right w:val="none" w:sz="0" w:space="0" w:color="auto"/>
      </w:divBdr>
      <w:divsChild>
        <w:div w:id="549154134">
          <w:marLeft w:val="0"/>
          <w:marRight w:val="0"/>
          <w:marTop w:val="0"/>
          <w:marBottom w:val="0"/>
          <w:divBdr>
            <w:top w:val="none" w:sz="0" w:space="0" w:color="auto"/>
            <w:left w:val="none" w:sz="0" w:space="0" w:color="auto"/>
            <w:bottom w:val="none" w:sz="0" w:space="0" w:color="auto"/>
            <w:right w:val="none" w:sz="0" w:space="0" w:color="auto"/>
          </w:divBdr>
        </w:div>
      </w:divsChild>
    </w:div>
    <w:div w:id="783499690">
      <w:bodyDiv w:val="1"/>
      <w:marLeft w:val="0"/>
      <w:marRight w:val="0"/>
      <w:marTop w:val="0"/>
      <w:marBottom w:val="0"/>
      <w:divBdr>
        <w:top w:val="none" w:sz="0" w:space="0" w:color="auto"/>
        <w:left w:val="none" w:sz="0" w:space="0" w:color="auto"/>
        <w:bottom w:val="none" w:sz="0" w:space="0" w:color="auto"/>
        <w:right w:val="none" w:sz="0" w:space="0" w:color="auto"/>
      </w:divBdr>
    </w:div>
    <w:div w:id="970287745">
      <w:bodyDiv w:val="1"/>
      <w:marLeft w:val="0"/>
      <w:marRight w:val="0"/>
      <w:marTop w:val="0"/>
      <w:marBottom w:val="0"/>
      <w:divBdr>
        <w:top w:val="none" w:sz="0" w:space="0" w:color="auto"/>
        <w:left w:val="none" w:sz="0" w:space="0" w:color="auto"/>
        <w:bottom w:val="none" w:sz="0" w:space="0" w:color="auto"/>
        <w:right w:val="none" w:sz="0" w:space="0" w:color="auto"/>
      </w:divBdr>
    </w:div>
    <w:div w:id="1227571277">
      <w:bodyDiv w:val="1"/>
      <w:marLeft w:val="0"/>
      <w:marRight w:val="0"/>
      <w:marTop w:val="0"/>
      <w:marBottom w:val="0"/>
      <w:divBdr>
        <w:top w:val="none" w:sz="0" w:space="0" w:color="auto"/>
        <w:left w:val="none" w:sz="0" w:space="0" w:color="auto"/>
        <w:bottom w:val="none" w:sz="0" w:space="0" w:color="auto"/>
        <w:right w:val="none" w:sz="0" w:space="0" w:color="auto"/>
      </w:divBdr>
    </w:div>
    <w:div w:id="1241793570">
      <w:bodyDiv w:val="1"/>
      <w:marLeft w:val="0"/>
      <w:marRight w:val="0"/>
      <w:marTop w:val="0"/>
      <w:marBottom w:val="0"/>
      <w:divBdr>
        <w:top w:val="none" w:sz="0" w:space="0" w:color="auto"/>
        <w:left w:val="none" w:sz="0" w:space="0" w:color="auto"/>
        <w:bottom w:val="none" w:sz="0" w:space="0" w:color="auto"/>
        <w:right w:val="none" w:sz="0" w:space="0" w:color="auto"/>
      </w:divBdr>
    </w:div>
    <w:div w:id="1300762659">
      <w:bodyDiv w:val="1"/>
      <w:marLeft w:val="0"/>
      <w:marRight w:val="0"/>
      <w:marTop w:val="0"/>
      <w:marBottom w:val="0"/>
      <w:divBdr>
        <w:top w:val="none" w:sz="0" w:space="0" w:color="auto"/>
        <w:left w:val="none" w:sz="0" w:space="0" w:color="auto"/>
        <w:bottom w:val="none" w:sz="0" w:space="0" w:color="auto"/>
        <w:right w:val="none" w:sz="0" w:space="0" w:color="auto"/>
      </w:divBdr>
    </w:div>
    <w:div w:id="1335259033">
      <w:bodyDiv w:val="1"/>
      <w:marLeft w:val="0"/>
      <w:marRight w:val="0"/>
      <w:marTop w:val="0"/>
      <w:marBottom w:val="0"/>
      <w:divBdr>
        <w:top w:val="none" w:sz="0" w:space="0" w:color="auto"/>
        <w:left w:val="none" w:sz="0" w:space="0" w:color="auto"/>
        <w:bottom w:val="none" w:sz="0" w:space="0" w:color="auto"/>
        <w:right w:val="none" w:sz="0" w:space="0" w:color="auto"/>
      </w:divBdr>
    </w:div>
    <w:div w:id="1388725949">
      <w:bodyDiv w:val="1"/>
      <w:marLeft w:val="0"/>
      <w:marRight w:val="0"/>
      <w:marTop w:val="0"/>
      <w:marBottom w:val="0"/>
      <w:divBdr>
        <w:top w:val="none" w:sz="0" w:space="0" w:color="auto"/>
        <w:left w:val="none" w:sz="0" w:space="0" w:color="auto"/>
        <w:bottom w:val="none" w:sz="0" w:space="0" w:color="auto"/>
        <w:right w:val="none" w:sz="0" w:space="0" w:color="auto"/>
      </w:divBdr>
    </w:div>
    <w:div w:id="1431855702">
      <w:bodyDiv w:val="1"/>
      <w:marLeft w:val="0"/>
      <w:marRight w:val="0"/>
      <w:marTop w:val="0"/>
      <w:marBottom w:val="0"/>
      <w:divBdr>
        <w:top w:val="none" w:sz="0" w:space="0" w:color="auto"/>
        <w:left w:val="none" w:sz="0" w:space="0" w:color="auto"/>
        <w:bottom w:val="none" w:sz="0" w:space="0" w:color="auto"/>
        <w:right w:val="none" w:sz="0" w:space="0" w:color="auto"/>
      </w:divBdr>
    </w:div>
    <w:div w:id="1499223436">
      <w:bodyDiv w:val="1"/>
      <w:marLeft w:val="0"/>
      <w:marRight w:val="0"/>
      <w:marTop w:val="0"/>
      <w:marBottom w:val="0"/>
      <w:divBdr>
        <w:top w:val="none" w:sz="0" w:space="0" w:color="auto"/>
        <w:left w:val="none" w:sz="0" w:space="0" w:color="auto"/>
        <w:bottom w:val="none" w:sz="0" w:space="0" w:color="auto"/>
        <w:right w:val="none" w:sz="0" w:space="0" w:color="auto"/>
      </w:divBdr>
    </w:div>
    <w:div w:id="154648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math.ntnu.no/~hrue/r-inla.org/"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9.png"/><Relationship Id="rId27"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28</Pages>
  <Words>7112</Words>
  <Characters>40540</Characters>
  <Application>Microsoft Office Word</Application>
  <DocSecurity>0</DocSecurity>
  <Lines>337</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 natural experiment for assessing the effects of copayment in primary health care in Catalonia, Spain: The case of the ‘Euro per Prescription’</vt:lpstr>
      <vt:lpstr>A natural experiment for assessing the effects of copayment in primary health care in Catalonia, Spain: The case of the ‘Euro per Prescription’</vt:lpstr>
    </vt:vector>
  </TitlesOfParts>
  <Company>GRECS, UdG</Company>
  <LinksUpToDate>false</LinksUpToDate>
  <CharactersWithSpaces>47557</CharactersWithSpaces>
  <SharedDoc>false</SharedDoc>
  <HLinks>
    <vt:vector size="48" baseType="variant">
      <vt:variant>
        <vt:i4>7733268</vt:i4>
      </vt:variant>
      <vt:variant>
        <vt:i4>21</vt:i4>
      </vt:variant>
      <vt:variant>
        <vt:i4>0</vt:i4>
      </vt:variant>
      <vt:variant>
        <vt:i4>5</vt:i4>
      </vt:variant>
      <vt:variant>
        <vt:lpwstr>http://mpra.ub.uni-muenchen.de/23035/1/mpra_paper_23035.pdf</vt:lpwstr>
      </vt:variant>
      <vt:variant>
        <vt:lpwstr/>
      </vt:variant>
      <vt:variant>
        <vt:i4>65555</vt:i4>
      </vt:variant>
      <vt:variant>
        <vt:i4>18</vt:i4>
      </vt:variant>
      <vt:variant>
        <vt:i4>0</vt:i4>
      </vt:variant>
      <vt:variant>
        <vt:i4>5</vt:i4>
      </vt:variant>
      <vt:variant>
        <vt:lpwstr>http://www.math.ntnu.no/~hrue/r-inla.org/papers/inla-rss.pdf</vt:lpwstr>
      </vt:variant>
      <vt:variant>
        <vt:lpwstr/>
      </vt:variant>
      <vt:variant>
        <vt:i4>3276923</vt:i4>
      </vt:variant>
      <vt:variant>
        <vt:i4>15</vt:i4>
      </vt:variant>
      <vt:variant>
        <vt:i4>0</vt:i4>
      </vt:variant>
      <vt:variant>
        <vt:i4>5</vt:i4>
      </vt:variant>
      <vt:variant>
        <vt:lpwstr>http://www.math.ntnu.no/inla/r-inla.org/doc/latent/rw1.pdf</vt:lpwstr>
      </vt:variant>
      <vt:variant>
        <vt:lpwstr/>
      </vt:variant>
      <vt:variant>
        <vt:i4>6226037</vt:i4>
      </vt:variant>
      <vt:variant>
        <vt:i4>12</vt:i4>
      </vt:variant>
      <vt:variant>
        <vt:i4>0</vt:i4>
      </vt:variant>
      <vt:variant>
        <vt:i4>5</vt:i4>
      </vt:variant>
      <vt:variant>
        <vt:lpwstr>http://www.r-project.org/</vt:lpwstr>
      </vt:variant>
      <vt:variant>
        <vt:lpwstr/>
      </vt:variant>
      <vt:variant>
        <vt:i4>7274502</vt:i4>
      </vt:variant>
      <vt:variant>
        <vt:i4>9</vt:i4>
      </vt:variant>
      <vt:variant>
        <vt:i4>0</vt:i4>
      </vt:variant>
      <vt:variant>
        <vt:i4>5</vt:i4>
      </vt:variant>
      <vt:variant>
        <vt:lpwstr>http://www.ncbi.nlm.nih.gov/pubmed?term=sutton%20m%5bauthor%5d&amp;cauthor=true&amp;cauthor_uid=15626522</vt:lpwstr>
      </vt:variant>
      <vt:variant>
        <vt:lpwstr/>
      </vt:variant>
      <vt:variant>
        <vt:i4>65557</vt:i4>
      </vt:variant>
      <vt:variant>
        <vt:i4>6</vt:i4>
      </vt:variant>
      <vt:variant>
        <vt:i4>0</vt:i4>
      </vt:variant>
      <vt:variant>
        <vt:i4>5</vt:i4>
      </vt:variant>
      <vt:variant>
        <vt:lpwstr>http://www.york.ac.uk/media/economics/documents/herc/wp/09_09.pdf</vt:lpwstr>
      </vt:variant>
      <vt:variant>
        <vt:lpwstr/>
      </vt:variant>
      <vt:variant>
        <vt:i4>2555974</vt:i4>
      </vt:variant>
      <vt:variant>
        <vt:i4>3</vt:i4>
      </vt:variant>
      <vt:variant>
        <vt:i4>0</vt:i4>
      </vt:variant>
      <vt:variant>
        <vt:i4>5</vt:i4>
      </vt:variant>
      <vt:variant>
        <vt:lpwstr>http://www.idescat.cat/</vt:lpwstr>
      </vt:variant>
      <vt:variant>
        <vt:lpwstr/>
      </vt:variant>
      <vt:variant>
        <vt:i4>3866719</vt:i4>
      </vt:variant>
      <vt:variant>
        <vt:i4>0</vt:i4>
      </vt:variant>
      <vt:variant>
        <vt:i4>0</vt:i4>
      </vt:variant>
      <vt:variant>
        <vt:i4>5</vt:i4>
      </vt:variant>
      <vt:variant>
        <vt:lpwstr>http://www.mrc.ac.uk/utilities/documentrecord/index.htm?d=mrc008043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natural experiment for assessing the effects of copayment in primary health care in Catalonia, Spain: The case of the ‘Euro per Prescription’</dc:title>
  <dc:subject/>
  <dc:creator>Marc Saez</dc:creator>
  <cp:keywords/>
  <dc:description/>
  <cp:lastModifiedBy>Maynou-Pujolras,L</cp:lastModifiedBy>
  <cp:revision>19</cp:revision>
  <dcterms:created xsi:type="dcterms:W3CDTF">2019-08-05T10:16:00Z</dcterms:created>
  <dcterms:modified xsi:type="dcterms:W3CDTF">2019-08-05T11:01:00Z</dcterms:modified>
</cp:coreProperties>
</file>