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930D8F" w14:textId="77777777" w:rsidR="00D510F3" w:rsidRDefault="00D510F3" w:rsidP="001F6190">
      <w:pPr>
        <w:spacing w:line="480" w:lineRule="auto"/>
        <w:jc w:val="center"/>
        <w:rPr>
          <w:rFonts w:ascii="Helvetica" w:hAnsi="Helvetica" w:cs="Times New Roman"/>
          <w:b/>
          <w:sz w:val="22"/>
          <w:szCs w:val="22"/>
        </w:rPr>
      </w:pPr>
    </w:p>
    <w:p w14:paraId="673E611E" w14:textId="5F004B22" w:rsidR="001F6190" w:rsidRDefault="001F6190" w:rsidP="001F6190">
      <w:pPr>
        <w:spacing w:line="480" w:lineRule="auto"/>
        <w:jc w:val="center"/>
        <w:rPr>
          <w:rFonts w:ascii="Helvetica" w:hAnsi="Helvetica" w:cs="Times New Roman"/>
          <w:b/>
          <w:sz w:val="22"/>
          <w:szCs w:val="22"/>
        </w:rPr>
      </w:pPr>
    </w:p>
    <w:p w14:paraId="5F20BB46" w14:textId="77777777" w:rsidR="001F6190" w:rsidRDefault="001F6190" w:rsidP="001F6190">
      <w:pPr>
        <w:spacing w:line="480" w:lineRule="auto"/>
        <w:jc w:val="center"/>
        <w:rPr>
          <w:rFonts w:ascii="Helvetica" w:hAnsi="Helvetica" w:cs="Times New Roman"/>
          <w:b/>
          <w:sz w:val="22"/>
          <w:szCs w:val="22"/>
        </w:rPr>
      </w:pPr>
    </w:p>
    <w:p w14:paraId="05BD648B" w14:textId="77777777" w:rsidR="001F6190" w:rsidRDefault="001F6190" w:rsidP="001F6190">
      <w:pPr>
        <w:spacing w:line="480" w:lineRule="auto"/>
        <w:jc w:val="center"/>
        <w:rPr>
          <w:rFonts w:ascii="Helvetica" w:hAnsi="Helvetica" w:cs="Times New Roman"/>
          <w:b/>
          <w:sz w:val="22"/>
          <w:szCs w:val="22"/>
        </w:rPr>
      </w:pPr>
    </w:p>
    <w:p w14:paraId="4DC6E27D" w14:textId="77777777" w:rsidR="001F6190" w:rsidRDefault="001F6190" w:rsidP="001F6190">
      <w:pPr>
        <w:spacing w:line="480" w:lineRule="auto"/>
        <w:jc w:val="center"/>
        <w:rPr>
          <w:rFonts w:ascii="Helvetica" w:hAnsi="Helvetica" w:cs="Times New Roman"/>
          <w:b/>
          <w:sz w:val="22"/>
          <w:szCs w:val="22"/>
        </w:rPr>
      </w:pPr>
    </w:p>
    <w:p w14:paraId="61EBC5E0" w14:textId="77777777" w:rsidR="001F6190" w:rsidRDefault="001F6190" w:rsidP="001F6190">
      <w:pPr>
        <w:spacing w:line="480" w:lineRule="auto"/>
        <w:jc w:val="center"/>
        <w:rPr>
          <w:rFonts w:ascii="Helvetica" w:hAnsi="Helvetica" w:cs="Times New Roman"/>
          <w:b/>
          <w:sz w:val="22"/>
          <w:szCs w:val="22"/>
        </w:rPr>
      </w:pPr>
    </w:p>
    <w:p w14:paraId="2D1314DE" w14:textId="77777777" w:rsidR="001F6190" w:rsidRPr="00BD6FFE" w:rsidRDefault="001F6190" w:rsidP="001F6190">
      <w:pPr>
        <w:spacing w:line="480" w:lineRule="auto"/>
        <w:jc w:val="center"/>
        <w:rPr>
          <w:rFonts w:ascii="Helvetica" w:hAnsi="Helvetica" w:cs="Times New Roman"/>
          <w:i/>
          <w:sz w:val="22"/>
          <w:szCs w:val="22"/>
        </w:rPr>
      </w:pPr>
      <w:r w:rsidRPr="00BD6FFE">
        <w:rPr>
          <w:rFonts w:ascii="Helvetica" w:hAnsi="Helvetica" w:cs="Times New Roman"/>
          <w:b/>
          <w:sz w:val="22"/>
          <w:szCs w:val="22"/>
        </w:rPr>
        <w:t xml:space="preserve">Researching </w:t>
      </w:r>
      <w:r>
        <w:rPr>
          <w:rFonts w:ascii="Helvetica" w:hAnsi="Helvetica" w:cs="Times New Roman"/>
          <w:b/>
          <w:sz w:val="22"/>
          <w:szCs w:val="22"/>
        </w:rPr>
        <w:t>cross-national p</w:t>
      </w:r>
      <w:r w:rsidRPr="00BD6FFE">
        <w:rPr>
          <w:rFonts w:ascii="Helvetica" w:hAnsi="Helvetica" w:cs="Times New Roman"/>
          <w:b/>
          <w:sz w:val="22"/>
          <w:szCs w:val="22"/>
        </w:rPr>
        <w:t>olic</w:t>
      </w:r>
      <w:r>
        <w:rPr>
          <w:rFonts w:ascii="Helvetica" w:hAnsi="Helvetica" w:cs="Times New Roman"/>
          <w:b/>
          <w:sz w:val="22"/>
          <w:szCs w:val="22"/>
        </w:rPr>
        <w:t>y mobilities in crime control</w:t>
      </w:r>
    </w:p>
    <w:p w14:paraId="5014511A" w14:textId="77777777" w:rsidR="001F6190" w:rsidRDefault="001F6190" w:rsidP="001F6190">
      <w:pPr>
        <w:spacing w:line="480" w:lineRule="auto"/>
        <w:jc w:val="center"/>
        <w:rPr>
          <w:rFonts w:ascii="Helvetica" w:hAnsi="Helvetica" w:cs="Times New Roman"/>
          <w:sz w:val="22"/>
          <w:szCs w:val="22"/>
        </w:rPr>
      </w:pPr>
    </w:p>
    <w:p w14:paraId="36784516" w14:textId="77777777" w:rsidR="001F6190" w:rsidRDefault="001F6190" w:rsidP="001F6190">
      <w:pPr>
        <w:spacing w:line="480" w:lineRule="auto"/>
        <w:jc w:val="center"/>
        <w:rPr>
          <w:rFonts w:ascii="Helvetica" w:hAnsi="Helvetica" w:cs="Times New Roman"/>
          <w:sz w:val="22"/>
          <w:szCs w:val="22"/>
        </w:rPr>
      </w:pPr>
    </w:p>
    <w:p w14:paraId="3EFF3363" w14:textId="77777777" w:rsidR="001F6190" w:rsidRDefault="001F6190" w:rsidP="001F6190">
      <w:pPr>
        <w:spacing w:line="480" w:lineRule="auto"/>
        <w:jc w:val="center"/>
        <w:rPr>
          <w:rFonts w:ascii="Helvetica" w:hAnsi="Helvetica" w:cs="Times New Roman"/>
          <w:sz w:val="22"/>
          <w:szCs w:val="22"/>
        </w:rPr>
      </w:pPr>
    </w:p>
    <w:p w14:paraId="5F632100" w14:textId="77777777" w:rsidR="001F6190" w:rsidRDefault="001F6190" w:rsidP="001F6190">
      <w:pPr>
        <w:spacing w:line="480" w:lineRule="auto"/>
        <w:jc w:val="center"/>
        <w:rPr>
          <w:rFonts w:ascii="Helvetica" w:hAnsi="Helvetica" w:cs="Times New Roman"/>
          <w:sz w:val="22"/>
          <w:szCs w:val="22"/>
        </w:rPr>
      </w:pPr>
    </w:p>
    <w:p w14:paraId="78F5D423" w14:textId="17CB3C07" w:rsidR="001F6190" w:rsidRDefault="001F6190" w:rsidP="001F6190">
      <w:pPr>
        <w:spacing w:line="480" w:lineRule="auto"/>
        <w:jc w:val="center"/>
        <w:rPr>
          <w:rFonts w:ascii="Helvetica" w:hAnsi="Helvetica" w:cs="Times New Roman"/>
          <w:sz w:val="22"/>
          <w:szCs w:val="22"/>
        </w:rPr>
      </w:pPr>
      <w:r>
        <w:rPr>
          <w:rFonts w:ascii="Helvetica" w:hAnsi="Helvetica" w:cs="Times New Roman"/>
          <w:sz w:val="22"/>
          <w:szCs w:val="22"/>
        </w:rPr>
        <w:t>Trevor Jone</w:t>
      </w:r>
      <w:r w:rsidR="00E7557F">
        <w:rPr>
          <w:rFonts w:ascii="Helvetica" w:hAnsi="Helvetica" w:cs="Times New Roman"/>
          <w:sz w:val="22"/>
          <w:szCs w:val="22"/>
        </w:rPr>
        <w:t>s</w:t>
      </w:r>
      <w:r>
        <w:rPr>
          <w:rFonts w:ascii="Helvetica" w:hAnsi="Helvetica" w:cs="Times New Roman"/>
          <w:sz w:val="22"/>
          <w:szCs w:val="22"/>
        </w:rPr>
        <w:t xml:space="preserve">, Jarrett </w:t>
      </w:r>
      <w:proofErr w:type="spellStart"/>
      <w:r>
        <w:rPr>
          <w:rFonts w:ascii="Helvetica" w:hAnsi="Helvetica" w:cs="Times New Roman"/>
          <w:sz w:val="22"/>
          <w:szCs w:val="22"/>
        </w:rPr>
        <w:t>Blaustein</w:t>
      </w:r>
      <w:proofErr w:type="spellEnd"/>
      <w:r>
        <w:rPr>
          <w:rFonts w:ascii="Helvetica" w:hAnsi="Helvetica" w:cs="Times New Roman"/>
          <w:sz w:val="22"/>
          <w:szCs w:val="22"/>
        </w:rPr>
        <w:t xml:space="preserve"> and Tim Newburn</w:t>
      </w:r>
    </w:p>
    <w:p w14:paraId="09D84C70" w14:textId="77777777" w:rsidR="001F6190" w:rsidRPr="00BD6FFE" w:rsidRDefault="001F6190" w:rsidP="001F6190">
      <w:pPr>
        <w:spacing w:line="480" w:lineRule="auto"/>
        <w:rPr>
          <w:rFonts w:ascii="Helvetica" w:hAnsi="Helvetica" w:cs="Times New Roman"/>
          <w:sz w:val="22"/>
          <w:szCs w:val="22"/>
        </w:rPr>
      </w:pPr>
    </w:p>
    <w:p w14:paraId="49F912C5" w14:textId="6107FF95" w:rsidR="001F6190" w:rsidRDefault="001F6190" w:rsidP="001F6190">
      <w:pPr>
        <w:spacing w:line="480" w:lineRule="auto"/>
        <w:rPr>
          <w:rFonts w:ascii="Helvetica" w:hAnsi="Helvetica" w:cs="Times New Roman"/>
          <w:b/>
          <w:sz w:val="22"/>
          <w:szCs w:val="22"/>
        </w:rPr>
      </w:pPr>
    </w:p>
    <w:p w14:paraId="0AE4ED38" w14:textId="0B6D3B03" w:rsidR="00E7557F" w:rsidRDefault="00E7557F" w:rsidP="001F6190">
      <w:pPr>
        <w:spacing w:line="480" w:lineRule="auto"/>
        <w:rPr>
          <w:rFonts w:ascii="Helvetica" w:hAnsi="Helvetica" w:cs="Times New Roman"/>
          <w:b/>
          <w:sz w:val="22"/>
          <w:szCs w:val="22"/>
        </w:rPr>
      </w:pPr>
    </w:p>
    <w:p w14:paraId="787DA85F" w14:textId="07B12CE4" w:rsidR="00E7557F" w:rsidRDefault="00E7557F" w:rsidP="001F6190">
      <w:pPr>
        <w:spacing w:line="480" w:lineRule="auto"/>
        <w:rPr>
          <w:rFonts w:ascii="Helvetica" w:hAnsi="Helvetica" w:cs="Times New Roman"/>
          <w:b/>
          <w:sz w:val="22"/>
          <w:szCs w:val="22"/>
        </w:rPr>
      </w:pPr>
    </w:p>
    <w:p w14:paraId="3313DB5B" w14:textId="1BD2F233" w:rsidR="00E7557F" w:rsidRDefault="00E7557F" w:rsidP="001F6190">
      <w:pPr>
        <w:spacing w:line="480" w:lineRule="auto"/>
        <w:rPr>
          <w:rFonts w:ascii="Helvetica" w:hAnsi="Helvetica" w:cs="Times New Roman"/>
          <w:b/>
          <w:sz w:val="22"/>
          <w:szCs w:val="22"/>
        </w:rPr>
      </w:pPr>
    </w:p>
    <w:p w14:paraId="06A25497" w14:textId="1C93D1F7" w:rsidR="00E7557F" w:rsidRDefault="00E7557F" w:rsidP="001F6190">
      <w:pPr>
        <w:spacing w:line="480" w:lineRule="auto"/>
        <w:rPr>
          <w:rFonts w:ascii="Helvetica" w:hAnsi="Helvetica" w:cs="Times New Roman"/>
          <w:b/>
          <w:sz w:val="22"/>
          <w:szCs w:val="22"/>
        </w:rPr>
      </w:pPr>
    </w:p>
    <w:p w14:paraId="6DEAB18A" w14:textId="77777777" w:rsidR="00E7557F" w:rsidRPr="00281BBB" w:rsidRDefault="00E7557F" w:rsidP="001F6190">
      <w:pPr>
        <w:spacing w:line="480" w:lineRule="auto"/>
        <w:rPr>
          <w:rFonts w:ascii="Arial" w:hAnsi="Arial" w:cs="Arial"/>
          <w:b/>
          <w:sz w:val="22"/>
          <w:szCs w:val="22"/>
        </w:rPr>
      </w:pPr>
    </w:p>
    <w:p w14:paraId="5F886A15" w14:textId="23297C2A" w:rsidR="00E7557F" w:rsidRPr="000D5DA7" w:rsidRDefault="00E7557F" w:rsidP="000D5DA7">
      <w:pPr>
        <w:rPr>
          <w:rFonts w:ascii="Arial" w:hAnsi="Arial" w:cs="Arial"/>
          <w:color w:val="000000" w:themeColor="text1"/>
          <w:sz w:val="22"/>
          <w:szCs w:val="22"/>
        </w:rPr>
      </w:pPr>
      <w:r w:rsidRPr="00281BBB">
        <w:rPr>
          <w:rFonts w:ascii="Arial" w:hAnsi="Arial" w:cs="Arial"/>
          <w:bCs/>
          <w:sz w:val="22"/>
          <w:szCs w:val="22"/>
        </w:rPr>
        <w:t xml:space="preserve">Trevor Jones is Professor of Criminology, </w:t>
      </w:r>
      <w:r w:rsidRPr="000D5DA7">
        <w:rPr>
          <w:rFonts w:ascii="Arial" w:hAnsi="Arial" w:cs="Arial"/>
          <w:bCs/>
          <w:color w:val="000000" w:themeColor="text1"/>
          <w:sz w:val="22"/>
          <w:szCs w:val="22"/>
        </w:rPr>
        <w:t xml:space="preserve">School of Social Sciences, Cardiff University, UK. email: </w:t>
      </w:r>
      <w:hyperlink r:id="rId8" w:history="1">
        <w:r w:rsidRPr="000D5DA7">
          <w:rPr>
            <w:rStyle w:val="Hyperlink"/>
            <w:rFonts w:ascii="Arial" w:hAnsi="Arial" w:cs="Arial"/>
            <w:bCs/>
            <w:color w:val="000000" w:themeColor="text1"/>
            <w:sz w:val="22"/>
            <w:szCs w:val="22"/>
          </w:rPr>
          <w:t>jonestd2@cardiff.ac.uk</w:t>
        </w:r>
      </w:hyperlink>
      <w:r w:rsidR="000D5DA7" w:rsidRPr="000D5DA7">
        <w:rPr>
          <w:rFonts w:ascii="Arial" w:hAnsi="Arial" w:cs="Arial"/>
          <w:bCs/>
          <w:color w:val="000000" w:themeColor="text1"/>
          <w:sz w:val="22"/>
          <w:szCs w:val="22"/>
        </w:rPr>
        <w:t xml:space="preserve">; </w:t>
      </w:r>
      <w:proofErr w:type="spellStart"/>
      <w:r w:rsidR="000D5DA7" w:rsidRPr="000D5DA7">
        <w:rPr>
          <w:rFonts w:ascii="Arial" w:hAnsi="Arial" w:cs="Arial"/>
          <w:bCs/>
          <w:color w:val="000000" w:themeColor="text1"/>
          <w:sz w:val="22"/>
          <w:szCs w:val="22"/>
        </w:rPr>
        <w:t>tel</w:t>
      </w:r>
      <w:proofErr w:type="spellEnd"/>
      <w:r w:rsidR="000D5DA7" w:rsidRPr="000D5DA7">
        <w:rPr>
          <w:rFonts w:ascii="Arial" w:hAnsi="Arial" w:cs="Arial"/>
          <w:bCs/>
          <w:color w:val="000000" w:themeColor="text1"/>
          <w:sz w:val="22"/>
          <w:szCs w:val="22"/>
        </w:rPr>
        <w:t xml:space="preserve">: </w:t>
      </w:r>
      <w:r w:rsidR="000D5DA7" w:rsidRPr="000D5DA7">
        <w:rPr>
          <w:rFonts w:ascii="Arial" w:hAnsi="Arial" w:cs="Arial"/>
          <w:color w:val="000000" w:themeColor="text1"/>
          <w:sz w:val="22"/>
          <w:szCs w:val="22"/>
          <w:shd w:val="clear" w:color="auto" w:fill="FFFFFF"/>
        </w:rPr>
        <w:t>+44 29208 75039</w:t>
      </w:r>
    </w:p>
    <w:p w14:paraId="78EAB624" w14:textId="77777777" w:rsidR="000D5DA7" w:rsidRPr="000D5DA7" w:rsidRDefault="000D5DA7" w:rsidP="000D5DA7">
      <w:bookmarkStart w:id="0" w:name="_GoBack"/>
      <w:bookmarkEnd w:id="0"/>
    </w:p>
    <w:p w14:paraId="68132864" w14:textId="77777777" w:rsidR="00E7557F" w:rsidRPr="00281BBB" w:rsidRDefault="00E7557F" w:rsidP="001F6190">
      <w:pPr>
        <w:spacing w:after="160" w:line="259" w:lineRule="auto"/>
        <w:rPr>
          <w:rFonts w:ascii="Arial" w:hAnsi="Arial" w:cs="Arial"/>
          <w:b/>
          <w:sz w:val="22"/>
          <w:szCs w:val="22"/>
        </w:rPr>
      </w:pPr>
      <w:r w:rsidRPr="00281BBB">
        <w:rPr>
          <w:rFonts w:ascii="Arial" w:hAnsi="Arial" w:cs="Arial"/>
          <w:bCs/>
          <w:sz w:val="22"/>
          <w:szCs w:val="22"/>
        </w:rPr>
        <w:t xml:space="preserve">Jarrett </w:t>
      </w:r>
      <w:proofErr w:type="spellStart"/>
      <w:r w:rsidRPr="00281BBB">
        <w:rPr>
          <w:rFonts w:ascii="Arial" w:hAnsi="Arial" w:cs="Arial"/>
          <w:bCs/>
          <w:sz w:val="22"/>
          <w:szCs w:val="22"/>
        </w:rPr>
        <w:t>Blaustein</w:t>
      </w:r>
      <w:proofErr w:type="spellEnd"/>
      <w:r w:rsidRPr="00281BBB">
        <w:rPr>
          <w:rFonts w:ascii="Arial" w:hAnsi="Arial" w:cs="Arial"/>
          <w:bCs/>
          <w:sz w:val="22"/>
          <w:szCs w:val="22"/>
        </w:rPr>
        <w:t xml:space="preserve"> is Senior Lecturer in Criminology, School of Social Sciences, Monash University, Australia. email: </w:t>
      </w:r>
      <w:hyperlink r:id="rId9" w:history="1">
        <w:r w:rsidRPr="00281BBB">
          <w:rPr>
            <w:rStyle w:val="Hyperlink"/>
            <w:rFonts w:ascii="Arial" w:hAnsi="Arial" w:cs="Arial"/>
            <w:sz w:val="22"/>
            <w:szCs w:val="22"/>
          </w:rPr>
          <w:t>Jarrett.Blaustein@Monash.edu</w:t>
        </w:r>
      </w:hyperlink>
      <w:r w:rsidRPr="00281BBB">
        <w:rPr>
          <w:rFonts w:ascii="Arial" w:hAnsi="Arial" w:cs="Arial"/>
          <w:b/>
          <w:sz w:val="22"/>
          <w:szCs w:val="22"/>
        </w:rPr>
        <w:t xml:space="preserve">  </w:t>
      </w:r>
    </w:p>
    <w:p w14:paraId="27098E37" w14:textId="5E883CFF" w:rsidR="00E7557F" w:rsidRPr="000D5DA7" w:rsidRDefault="00E7557F" w:rsidP="001F6190">
      <w:pPr>
        <w:spacing w:after="160" w:line="259" w:lineRule="auto"/>
        <w:rPr>
          <w:rFonts w:ascii="Arial" w:hAnsi="Arial" w:cs="Arial"/>
          <w:bCs/>
          <w:color w:val="000000" w:themeColor="text1"/>
          <w:sz w:val="22"/>
          <w:szCs w:val="22"/>
        </w:rPr>
      </w:pPr>
      <w:r w:rsidRPr="00281BBB">
        <w:rPr>
          <w:rFonts w:ascii="Arial" w:hAnsi="Arial" w:cs="Arial"/>
          <w:bCs/>
          <w:sz w:val="22"/>
          <w:szCs w:val="22"/>
        </w:rPr>
        <w:t xml:space="preserve">Tim Newburn is Professor of Criminology and Social Policy, Department of Social Policy, London School of Economics, UK. email: </w:t>
      </w:r>
      <w:hyperlink r:id="rId10" w:history="1">
        <w:r w:rsidRPr="00281BBB">
          <w:rPr>
            <w:rStyle w:val="Hyperlink"/>
            <w:rFonts w:ascii="Arial" w:hAnsi="Arial" w:cs="Arial"/>
            <w:bCs/>
            <w:sz w:val="22"/>
            <w:szCs w:val="22"/>
          </w:rPr>
          <w:t>t.newburn@lse.ac.uk</w:t>
        </w:r>
      </w:hyperlink>
      <w:r w:rsidR="000D5DA7">
        <w:rPr>
          <w:rStyle w:val="Hyperlink"/>
          <w:rFonts w:ascii="Arial" w:hAnsi="Arial" w:cs="Arial"/>
          <w:bCs/>
          <w:sz w:val="22"/>
          <w:szCs w:val="22"/>
        </w:rPr>
        <w:t>;</w:t>
      </w:r>
      <w:r w:rsidR="000D5DA7">
        <w:rPr>
          <w:rStyle w:val="Hyperlink"/>
          <w:rFonts w:ascii="Arial" w:hAnsi="Arial" w:cs="Arial"/>
          <w:bCs/>
          <w:sz w:val="22"/>
          <w:szCs w:val="22"/>
          <w:u w:val="none"/>
        </w:rPr>
        <w:t xml:space="preserve"> </w:t>
      </w:r>
      <w:proofErr w:type="spellStart"/>
      <w:r w:rsidR="000D5DA7">
        <w:rPr>
          <w:rStyle w:val="Hyperlink"/>
          <w:rFonts w:ascii="Arial" w:hAnsi="Arial" w:cs="Arial"/>
          <w:bCs/>
          <w:color w:val="000000" w:themeColor="text1"/>
          <w:sz w:val="22"/>
          <w:szCs w:val="22"/>
          <w:u w:val="none"/>
        </w:rPr>
        <w:t>tel</w:t>
      </w:r>
      <w:proofErr w:type="spellEnd"/>
      <w:r w:rsidR="000D5DA7">
        <w:rPr>
          <w:rStyle w:val="Hyperlink"/>
          <w:rFonts w:ascii="Arial" w:hAnsi="Arial" w:cs="Arial"/>
          <w:bCs/>
          <w:color w:val="000000" w:themeColor="text1"/>
          <w:sz w:val="22"/>
          <w:szCs w:val="22"/>
          <w:u w:val="none"/>
        </w:rPr>
        <w:t>: +44 207 955 6220</w:t>
      </w:r>
    </w:p>
    <w:p w14:paraId="4CF767EE" w14:textId="77777777" w:rsidR="00E7557F" w:rsidRPr="00281BBB" w:rsidRDefault="00E7557F" w:rsidP="001F6190">
      <w:pPr>
        <w:spacing w:after="160" w:line="259" w:lineRule="auto"/>
        <w:rPr>
          <w:rFonts w:ascii="Arial" w:hAnsi="Arial" w:cs="Arial"/>
          <w:bCs/>
          <w:sz w:val="22"/>
          <w:szCs w:val="22"/>
        </w:rPr>
      </w:pPr>
    </w:p>
    <w:p w14:paraId="1BD22336" w14:textId="77777777" w:rsidR="00E7557F" w:rsidRPr="00281BBB" w:rsidRDefault="00E7557F" w:rsidP="001F6190">
      <w:pPr>
        <w:spacing w:after="160" w:line="259" w:lineRule="auto"/>
        <w:rPr>
          <w:rFonts w:ascii="Arial" w:hAnsi="Arial" w:cs="Arial"/>
          <w:bCs/>
          <w:sz w:val="22"/>
          <w:szCs w:val="22"/>
        </w:rPr>
      </w:pPr>
    </w:p>
    <w:p w14:paraId="7351DE3D" w14:textId="552B67F5" w:rsidR="001F6190" w:rsidRDefault="00E7557F" w:rsidP="001F6190">
      <w:pPr>
        <w:spacing w:after="160" w:line="259" w:lineRule="auto"/>
        <w:rPr>
          <w:rFonts w:ascii="Helvetica" w:hAnsi="Helvetica" w:cs="Times New Roman"/>
          <w:b/>
          <w:sz w:val="22"/>
          <w:szCs w:val="22"/>
        </w:rPr>
      </w:pPr>
      <w:r>
        <w:rPr>
          <w:rFonts w:ascii="Helvetica" w:hAnsi="Helvetica" w:cs="Times New Roman"/>
          <w:bCs/>
          <w:sz w:val="22"/>
          <w:szCs w:val="22"/>
        </w:rPr>
        <w:t>Word count: 9,681</w:t>
      </w:r>
      <w:r w:rsidR="001F6190">
        <w:rPr>
          <w:rFonts w:ascii="Helvetica" w:hAnsi="Helvetica" w:cs="Times New Roman"/>
          <w:b/>
          <w:sz w:val="22"/>
          <w:szCs w:val="22"/>
        </w:rPr>
        <w:br w:type="page"/>
      </w:r>
    </w:p>
    <w:p w14:paraId="78B7E6DB" w14:textId="77777777" w:rsidR="00E7557F" w:rsidRPr="00BD6FFE" w:rsidRDefault="00E7557F" w:rsidP="00E7557F">
      <w:pPr>
        <w:spacing w:line="276" w:lineRule="auto"/>
        <w:rPr>
          <w:rFonts w:ascii="Helvetica" w:hAnsi="Helvetica" w:cs="Times New Roman"/>
          <w:sz w:val="22"/>
          <w:szCs w:val="22"/>
        </w:rPr>
      </w:pPr>
      <w:r w:rsidRPr="00BD6FFE">
        <w:rPr>
          <w:rFonts w:ascii="Helvetica" w:hAnsi="Helvetica" w:cs="Times New Roman"/>
          <w:b/>
          <w:sz w:val="22"/>
          <w:szCs w:val="22"/>
        </w:rPr>
        <w:lastRenderedPageBreak/>
        <w:t>Key Words:</w:t>
      </w:r>
    </w:p>
    <w:p w14:paraId="42205C77" w14:textId="77777777" w:rsidR="00E7557F" w:rsidRDefault="00E7557F" w:rsidP="00E7557F">
      <w:pPr>
        <w:spacing w:line="276" w:lineRule="auto"/>
        <w:rPr>
          <w:rFonts w:ascii="Helvetica" w:hAnsi="Helvetica" w:cs="Times New Roman"/>
          <w:sz w:val="22"/>
          <w:szCs w:val="22"/>
        </w:rPr>
      </w:pPr>
      <w:r w:rsidRPr="00BD6FFE">
        <w:rPr>
          <w:rFonts w:ascii="Helvetica" w:hAnsi="Helvetica" w:cs="Times New Roman"/>
          <w:sz w:val="22"/>
          <w:szCs w:val="22"/>
        </w:rPr>
        <w:t xml:space="preserve">Policy mobilities; </w:t>
      </w:r>
      <w:r>
        <w:rPr>
          <w:rFonts w:ascii="Helvetica" w:hAnsi="Helvetica" w:cs="Times New Roman"/>
          <w:sz w:val="22"/>
          <w:szCs w:val="22"/>
        </w:rPr>
        <w:t xml:space="preserve">policy transfer; crime control policy, </w:t>
      </w:r>
      <w:r w:rsidRPr="00BD6FFE">
        <w:rPr>
          <w:rFonts w:ascii="Helvetica" w:hAnsi="Helvetica" w:cs="Times New Roman"/>
          <w:sz w:val="22"/>
          <w:szCs w:val="22"/>
        </w:rPr>
        <w:t>comparative criminology; methodology; ethics</w:t>
      </w:r>
    </w:p>
    <w:p w14:paraId="26C7BFB9" w14:textId="77777777" w:rsidR="001F6190" w:rsidRDefault="001F6190" w:rsidP="001F6190">
      <w:pPr>
        <w:spacing w:line="480" w:lineRule="auto"/>
        <w:rPr>
          <w:rFonts w:ascii="Helvetica" w:hAnsi="Helvetica" w:cs="Times New Roman"/>
          <w:b/>
          <w:sz w:val="22"/>
          <w:szCs w:val="22"/>
        </w:rPr>
      </w:pPr>
    </w:p>
    <w:p w14:paraId="5812F5E5" w14:textId="77777777" w:rsidR="001F6190" w:rsidRDefault="001F6190" w:rsidP="001F6190">
      <w:pPr>
        <w:spacing w:line="480" w:lineRule="auto"/>
        <w:rPr>
          <w:rFonts w:ascii="Helvetica" w:hAnsi="Helvetica" w:cs="Times New Roman"/>
          <w:b/>
          <w:sz w:val="22"/>
          <w:szCs w:val="22"/>
        </w:rPr>
      </w:pPr>
      <w:r>
        <w:rPr>
          <w:rFonts w:ascii="Helvetica" w:hAnsi="Helvetica" w:cs="Times New Roman"/>
          <w:b/>
          <w:sz w:val="22"/>
          <w:szCs w:val="22"/>
        </w:rPr>
        <w:t>Abstract:</w:t>
      </w:r>
    </w:p>
    <w:p w14:paraId="3410C96E" w14:textId="48AD715D" w:rsidR="001F6190" w:rsidRPr="00BD6FFE" w:rsidRDefault="001F6190" w:rsidP="001F6190">
      <w:pPr>
        <w:spacing w:line="480" w:lineRule="auto"/>
        <w:rPr>
          <w:rFonts w:ascii="Helvetica" w:hAnsi="Helvetica" w:cs="Times New Roman"/>
          <w:sz w:val="22"/>
          <w:szCs w:val="22"/>
        </w:rPr>
      </w:pPr>
      <w:r>
        <w:rPr>
          <w:rFonts w:ascii="Helvetica" w:hAnsi="Helvetica" w:cs="Times New Roman"/>
          <w:sz w:val="22"/>
          <w:szCs w:val="22"/>
        </w:rPr>
        <w:t xml:space="preserve">The empirical study of ‘policy transfer’ and related topics remains a relatively rare enterprise in criminology. Comparative studies of crime control policy have tended to focus on broader structural explanations on the one hand, or more focused socio-cultural analyses on the other. By contrast, scholars from other disciplinary traditions – including political science, public administration, comparative social policy, and human geography – have developed a vibrant body of empirical research into the dynamics and wider impacts of cross-jurisdictional flows of policy ideas, programmes and practices. </w:t>
      </w:r>
      <w:r w:rsidR="00B84211">
        <w:rPr>
          <w:rFonts w:ascii="Helvetica" w:hAnsi="Helvetica" w:cs="Times New Roman"/>
          <w:sz w:val="22"/>
          <w:szCs w:val="22"/>
        </w:rPr>
        <w:t xml:space="preserve">This body of work provides helpful methodological pointers to criminologists interested in carrying out such work within the field of crime control. </w:t>
      </w:r>
      <w:r>
        <w:rPr>
          <w:rFonts w:ascii="Helvetica" w:hAnsi="Helvetica" w:cs="Times New Roman"/>
          <w:sz w:val="22"/>
          <w:szCs w:val="22"/>
        </w:rPr>
        <w:t xml:space="preserve"> </w:t>
      </w:r>
      <w:r w:rsidR="00B84211">
        <w:rPr>
          <w:rFonts w:ascii="Helvetica" w:hAnsi="Helvetica" w:cs="Times New Roman"/>
          <w:sz w:val="22"/>
          <w:szCs w:val="22"/>
        </w:rPr>
        <w:t xml:space="preserve">The paper </w:t>
      </w:r>
      <w:r>
        <w:rPr>
          <w:rFonts w:ascii="Helvetica" w:hAnsi="Helvetica" w:cs="Times New Roman"/>
          <w:sz w:val="22"/>
          <w:szCs w:val="22"/>
        </w:rPr>
        <w:t>argue</w:t>
      </w:r>
      <w:r w:rsidR="00B84211">
        <w:rPr>
          <w:rFonts w:ascii="Helvetica" w:hAnsi="Helvetica" w:cs="Times New Roman"/>
          <w:sz w:val="22"/>
          <w:szCs w:val="22"/>
        </w:rPr>
        <w:t>s</w:t>
      </w:r>
      <w:r>
        <w:rPr>
          <w:rFonts w:ascii="Helvetica" w:hAnsi="Helvetica" w:cs="Times New Roman"/>
          <w:sz w:val="22"/>
          <w:szCs w:val="22"/>
        </w:rPr>
        <w:t xml:space="preserve"> that the relative lack of empirical research on cross-national crime policy movement arises from two main factors: first, a generalised sense that the topic is of rather minor importance and second, a lack of methodological clarity about how such research might proceed. Such methodological barriers have arguably been further strengthened by major critiques of the political science frameworks of ‘policy transfer’ that have been influential in the field. </w:t>
      </w:r>
      <w:r w:rsidR="00152BC6">
        <w:rPr>
          <w:rFonts w:ascii="Helvetica" w:hAnsi="Helvetica" w:cs="Times New Roman"/>
          <w:sz w:val="22"/>
          <w:szCs w:val="22"/>
        </w:rPr>
        <w:t>Our</w:t>
      </w:r>
      <w:r>
        <w:rPr>
          <w:rFonts w:ascii="Helvetica" w:hAnsi="Helvetica" w:cs="Times New Roman"/>
          <w:sz w:val="22"/>
          <w:szCs w:val="22"/>
        </w:rPr>
        <w:t xml:space="preserve"> starting point </w:t>
      </w:r>
      <w:r w:rsidR="00152BC6">
        <w:rPr>
          <w:rFonts w:ascii="Helvetica" w:hAnsi="Helvetica" w:cs="Times New Roman"/>
          <w:sz w:val="22"/>
          <w:szCs w:val="22"/>
        </w:rPr>
        <w:t xml:space="preserve">is </w:t>
      </w:r>
      <w:r>
        <w:rPr>
          <w:rFonts w:ascii="Helvetica" w:hAnsi="Helvetica" w:cs="Times New Roman"/>
          <w:sz w:val="22"/>
          <w:szCs w:val="22"/>
        </w:rPr>
        <w:t>that cross-national policy movement is a worthwhile and important subject for criminologists to explore</w:t>
      </w:r>
      <w:r w:rsidR="001A2D20">
        <w:rPr>
          <w:rFonts w:ascii="Helvetica" w:hAnsi="Helvetica" w:cs="Times New Roman"/>
          <w:sz w:val="22"/>
          <w:szCs w:val="22"/>
        </w:rPr>
        <w:t xml:space="preserve">, and the paper considers extant methodological approaches and potential future directions, drawing </w:t>
      </w:r>
      <w:r w:rsidR="00041A94">
        <w:rPr>
          <w:rFonts w:ascii="Helvetica" w:hAnsi="Helvetica" w:cs="Times New Roman"/>
          <w:sz w:val="22"/>
          <w:szCs w:val="22"/>
        </w:rPr>
        <w:t xml:space="preserve">in particular </w:t>
      </w:r>
      <w:r w:rsidR="001A2D20">
        <w:rPr>
          <w:rFonts w:ascii="Helvetica" w:hAnsi="Helvetica" w:cs="Times New Roman"/>
          <w:sz w:val="22"/>
          <w:szCs w:val="22"/>
        </w:rPr>
        <w:t xml:space="preserve">on wider work within political science and human geography. We argue that there is significant potential for criminologists to both learn from, and contribute to, the methodological approaches that have been deployed by researchers working in other disciplines and thus enhance substantive knowledge about the concept of policy mobilities. </w:t>
      </w:r>
    </w:p>
    <w:p w14:paraId="030C53E9" w14:textId="77777777" w:rsidR="001F6190" w:rsidRDefault="001F6190" w:rsidP="001F6190">
      <w:pPr>
        <w:spacing w:line="480" w:lineRule="auto"/>
        <w:rPr>
          <w:rFonts w:ascii="Helvetica" w:hAnsi="Helvetica" w:cs="Times New Roman"/>
          <w:b/>
          <w:sz w:val="22"/>
          <w:szCs w:val="22"/>
        </w:rPr>
      </w:pPr>
    </w:p>
    <w:p w14:paraId="4FE56DF1" w14:textId="77777777" w:rsidR="001F6190" w:rsidRDefault="001F6190" w:rsidP="001F6190"/>
    <w:p w14:paraId="6FD93BF1" w14:textId="1D37FE50" w:rsidR="008603EF" w:rsidRDefault="008603EF">
      <w:pPr>
        <w:rPr>
          <w:rFonts w:ascii="Helvetica" w:hAnsi="Helvetica" w:cs="Times New Roman"/>
          <w:sz w:val="22"/>
          <w:szCs w:val="22"/>
        </w:rPr>
      </w:pPr>
    </w:p>
    <w:p w14:paraId="64428234" w14:textId="42E4D85F" w:rsidR="002D754A" w:rsidRPr="00BD6FFE" w:rsidRDefault="0022613D" w:rsidP="00BD6FFE">
      <w:pPr>
        <w:spacing w:line="480" w:lineRule="auto"/>
        <w:rPr>
          <w:rFonts w:ascii="Helvetica" w:hAnsi="Helvetica" w:cs="Times New Roman"/>
          <w:b/>
          <w:sz w:val="22"/>
          <w:szCs w:val="22"/>
        </w:rPr>
      </w:pPr>
      <w:r w:rsidRPr="00BD6FFE">
        <w:rPr>
          <w:rFonts w:ascii="Helvetica" w:hAnsi="Helvetica" w:cs="Times New Roman"/>
          <w:b/>
          <w:sz w:val="22"/>
          <w:szCs w:val="22"/>
        </w:rPr>
        <w:t>Introduction</w:t>
      </w:r>
      <w:r w:rsidR="00BF3E61">
        <w:rPr>
          <w:rStyle w:val="FootnoteReference"/>
          <w:rFonts w:ascii="Helvetica" w:hAnsi="Helvetica" w:cs="Times New Roman"/>
          <w:b/>
          <w:sz w:val="22"/>
          <w:szCs w:val="22"/>
        </w:rPr>
        <w:footnoteReference w:id="1"/>
      </w:r>
    </w:p>
    <w:p w14:paraId="4AD9EC1D" w14:textId="57091042" w:rsidR="00E8058C" w:rsidRPr="00782C9E" w:rsidRDefault="00A33C31" w:rsidP="00E8058C">
      <w:pPr>
        <w:spacing w:line="480" w:lineRule="auto"/>
        <w:rPr>
          <w:rFonts w:ascii="Helvetica" w:hAnsi="Helvetica" w:cs="Times New Roman"/>
          <w:sz w:val="22"/>
          <w:szCs w:val="22"/>
        </w:rPr>
      </w:pPr>
      <w:r>
        <w:rPr>
          <w:rFonts w:ascii="Helvetica" w:hAnsi="Helvetica" w:cs="Times New Roman"/>
          <w:sz w:val="22"/>
          <w:szCs w:val="22"/>
        </w:rPr>
        <w:t>This paper reflects on issues of research design and methodology in the study of crime policy ‘transfer’ and related concepts</w:t>
      </w:r>
      <w:r w:rsidR="0035370F">
        <w:rPr>
          <w:rFonts w:ascii="Helvetica" w:hAnsi="Helvetica" w:cs="Times New Roman"/>
          <w:sz w:val="22"/>
          <w:szCs w:val="22"/>
        </w:rPr>
        <w:t xml:space="preserve"> – matters rarely explicitly dealt with in any detail in the literature</w:t>
      </w:r>
      <w:r>
        <w:rPr>
          <w:rFonts w:ascii="Helvetica" w:hAnsi="Helvetica" w:cs="Times New Roman"/>
          <w:sz w:val="22"/>
          <w:szCs w:val="22"/>
        </w:rPr>
        <w:t>. C</w:t>
      </w:r>
      <w:r w:rsidR="00FE36A4" w:rsidRPr="00BD6FFE">
        <w:rPr>
          <w:rFonts w:ascii="Helvetica" w:hAnsi="Helvetica" w:cs="Times New Roman"/>
          <w:sz w:val="22"/>
          <w:szCs w:val="22"/>
        </w:rPr>
        <w:t xml:space="preserve">ross-national policy </w:t>
      </w:r>
      <w:r w:rsidR="00490EF8">
        <w:rPr>
          <w:rFonts w:ascii="Helvetica" w:hAnsi="Helvetica" w:cs="Times New Roman"/>
          <w:sz w:val="22"/>
          <w:szCs w:val="22"/>
        </w:rPr>
        <w:t>movement</w:t>
      </w:r>
      <w:r w:rsidR="00FE36A4" w:rsidRPr="00BD6FFE">
        <w:rPr>
          <w:rFonts w:ascii="Helvetica" w:hAnsi="Helvetica" w:cs="Times New Roman"/>
          <w:sz w:val="22"/>
          <w:szCs w:val="22"/>
        </w:rPr>
        <w:t xml:space="preserve"> </w:t>
      </w:r>
      <w:r w:rsidR="00771CDD">
        <w:rPr>
          <w:rFonts w:ascii="Helvetica" w:hAnsi="Helvetica" w:cs="Times New Roman"/>
          <w:sz w:val="22"/>
          <w:szCs w:val="22"/>
        </w:rPr>
        <w:t xml:space="preserve">is now </w:t>
      </w:r>
      <w:r w:rsidR="00F44245">
        <w:rPr>
          <w:rFonts w:ascii="Helvetica" w:hAnsi="Helvetica" w:cs="Times New Roman"/>
          <w:sz w:val="22"/>
          <w:szCs w:val="22"/>
        </w:rPr>
        <w:t xml:space="preserve">an important </w:t>
      </w:r>
      <w:r w:rsidR="00BD6FFE">
        <w:rPr>
          <w:rFonts w:ascii="Helvetica" w:hAnsi="Helvetica" w:cs="Times New Roman"/>
          <w:sz w:val="22"/>
          <w:szCs w:val="22"/>
        </w:rPr>
        <w:t xml:space="preserve">research </w:t>
      </w:r>
      <w:r w:rsidR="00F44245">
        <w:rPr>
          <w:rFonts w:ascii="Helvetica" w:hAnsi="Helvetica" w:cs="Times New Roman"/>
          <w:sz w:val="22"/>
          <w:szCs w:val="22"/>
        </w:rPr>
        <w:t xml:space="preserve">focus </w:t>
      </w:r>
      <w:r w:rsidR="008603EF">
        <w:rPr>
          <w:rFonts w:ascii="Helvetica" w:hAnsi="Helvetica" w:cs="Times New Roman"/>
          <w:sz w:val="22"/>
          <w:szCs w:val="22"/>
        </w:rPr>
        <w:t>in</w:t>
      </w:r>
      <w:r w:rsidR="00F44245">
        <w:rPr>
          <w:rFonts w:ascii="Helvetica" w:hAnsi="Helvetica" w:cs="Times New Roman"/>
          <w:sz w:val="22"/>
          <w:szCs w:val="22"/>
        </w:rPr>
        <w:t xml:space="preserve"> </w:t>
      </w:r>
      <w:r w:rsidR="00105A13">
        <w:rPr>
          <w:rFonts w:ascii="Helvetica" w:hAnsi="Helvetica" w:cs="Times New Roman"/>
          <w:sz w:val="22"/>
          <w:szCs w:val="22"/>
        </w:rPr>
        <w:t>several</w:t>
      </w:r>
      <w:r w:rsidR="00F44245">
        <w:rPr>
          <w:rFonts w:ascii="Helvetica" w:hAnsi="Helvetica" w:cs="Times New Roman"/>
          <w:sz w:val="22"/>
          <w:szCs w:val="22"/>
        </w:rPr>
        <w:t xml:space="preserve"> disciplinary areas including political science, public administration</w:t>
      </w:r>
      <w:r w:rsidR="00BD6FFE">
        <w:rPr>
          <w:rFonts w:ascii="Helvetica" w:hAnsi="Helvetica" w:cs="Times New Roman"/>
          <w:sz w:val="22"/>
          <w:szCs w:val="22"/>
        </w:rPr>
        <w:t>, comparative social policy</w:t>
      </w:r>
      <w:r w:rsidR="00F44245">
        <w:rPr>
          <w:rFonts w:ascii="Helvetica" w:hAnsi="Helvetica" w:cs="Times New Roman"/>
          <w:sz w:val="22"/>
          <w:szCs w:val="22"/>
        </w:rPr>
        <w:t xml:space="preserve"> and human geography.</w:t>
      </w:r>
      <w:r w:rsidR="00FE36A4" w:rsidRPr="00BD6FFE">
        <w:rPr>
          <w:rFonts w:ascii="Helvetica" w:hAnsi="Helvetica" w:cs="Times New Roman"/>
          <w:sz w:val="22"/>
          <w:szCs w:val="22"/>
        </w:rPr>
        <w:t xml:space="preserve"> </w:t>
      </w:r>
      <w:r w:rsidR="009341FD">
        <w:rPr>
          <w:rFonts w:ascii="Helvetica" w:hAnsi="Helvetica" w:cs="Times New Roman"/>
          <w:sz w:val="22"/>
          <w:szCs w:val="22"/>
        </w:rPr>
        <w:t>T</w:t>
      </w:r>
      <w:r w:rsidR="00E857AE">
        <w:rPr>
          <w:rFonts w:ascii="Helvetica" w:hAnsi="Helvetica" w:cs="Times New Roman"/>
          <w:sz w:val="22"/>
          <w:szCs w:val="22"/>
        </w:rPr>
        <w:t>h</w:t>
      </w:r>
      <w:r w:rsidR="00771CDD">
        <w:rPr>
          <w:rFonts w:ascii="Helvetica" w:hAnsi="Helvetica" w:cs="Times New Roman"/>
          <w:sz w:val="22"/>
          <w:szCs w:val="22"/>
        </w:rPr>
        <w:t>is reflects</w:t>
      </w:r>
      <w:r w:rsidR="00E857AE">
        <w:rPr>
          <w:rFonts w:ascii="Helvetica" w:hAnsi="Helvetica" w:cs="Times New Roman"/>
          <w:sz w:val="22"/>
          <w:szCs w:val="22"/>
        </w:rPr>
        <w:t xml:space="preserve"> a strong perception that </w:t>
      </w:r>
      <w:r w:rsidR="005C1515">
        <w:rPr>
          <w:rFonts w:ascii="Helvetica" w:hAnsi="Helvetica" w:cs="Times New Roman"/>
          <w:sz w:val="22"/>
          <w:szCs w:val="22"/>
        </w:rPr>
        <w:t>‘</w:t>
      </w:r>
      <w:r w:rsidR="00E857AE">
        <w:rPr>
          <w:rFonts w:ascii="Helvetica" w:hAnsi="Helvetica" w:cs="Times New Roman"/>
          <w:sz w:val="22"/>
          <w:szCs w:val="22"/>
        </w:rPr>
        <w:t>lea</w:t>
      </w:r>
      <w:r w:rsidR="00F9432A">
        <w:rPr>
          <w:rFonts w:ascii="Helvetica" w:hAnsi="Helvetica" w:cs="Times New Roman"/>
          <w:sz w:val="22"/>
          <w:szCs w:val="22"/>
        </w:rPr>
        <w:t>r</w:t>
      </w:r>
      <w:r w:rsidR="00E857AE">
        <w:rPr>
          <w:rFonts w:ascii="Helvetica" w:hAnsi="Helvetica" w:cs="Times New Roman"/>
          <w:sz w:val="22"/>
          <w:szCs w:val="22"/>
        </w:rPr>
        <w:t>ning from elsewhere</w:t>
      </w:r>
      <w:r w:rsidR="005C1515">
        <w:rPr>
          <w:rFonts w:ascii="Helvetica" w:hAnsi="Helvetica" w:cs="Times New Roman"/>
          <w:sz w:val="22"/>
          <w:szCs w:val="22"/>
        </w:rPr>
        <w:t>’</w:t>
      </w:r>
      <w:r w:rsidR="00E857AE">
        <w:rPr>
          <w:rFonts w:ascii="Helvetica" w:hAnsi="Helvetica" w:cs="Times New Roman"/>
          <w:sz w:val="22"/>
          <w:szCs w:val="22"/>
        </w:rPr>
        <w:t xml:space="preserve"> is an increasingly </w:t>
      </w:r>
      <w:r w:rsidR="00F9432A">
        <w:rPr>
          <w:rFonts w:ascii="Helvetica" w:hAnsi="Helvetica" w:cs="Times New Roman"/>
          <w:sz w:val="22"/>
          <w:szCs w:val="22"/>
        </w:rPr>
        <w:t>staple feature</w:t>
      </w:r>
      <w:r w:rsidR="00E857AE">
        <w:rPr>
          <w:rFonts w:ascii="Helvetica" w:hAnsi="Helvetica" w:cs="Times New Roman"/>
          <w:sz w:val="22"/>
          <w:szCs w:val="22"/>
        </w:rPr>
        <w:t xml:space="preserve"> of the policy-making process and that as a result, public polic</w:t>
      </w:r>
      <w:r w:rsidR="00F9432A">
        <w:rPr>
          <w:rFonts w:ascii="Helvetica" w:hAnsi="Helvetica" w:cs="Times New Roman"/>
          <w:sz w:val="22"/>
          <w:szCs w:val="22"/>
        </w:rPr>
        <w:t>y ideas and programmes</w:t>
      </w:r>
      <w:r w:rsidR="00E857AE">
        <w:rPr>
          <w:rFonts w:ascii="Helvetica" w:hAnsi="Helvetica" w:cs="Times New Roman"/>
          <w:sz w:val="22"/>
          <w:szCs w:val="22"/>
        </w:rPr>
        <w:t xml:space="preserve"> are circulating between countries with increasing frequency and velocity</w:t>
      </w:r>
      <w:r w:rsidR="008A592B">
        <w:rPr>
          <w:rFonts w:ascii="Helvetica" w:hAnsi="Helvetica" w:cs="Times New Roman"/>
          <w:sz w:val="22"/>
          <w:szCs w:val="22"/>
        </w:rPr>
        <w:t xml:space="preserve"> (Peck and Theodore 2009)</w:t>
      </w:r>
      <w:r w:rsidR="00E857AE">
        <w:rPr>
          <w:rFonts w:ascii="Helvetica" w:hAnsi="Helvetica" w:cs="Times New Roman"/>
          <w:sz w:val="22"/>
          <w:szCs w:val="22"/>
        </w:rPr>
        <w:t xml:space="preserve">. </w:t>
      </w:r>
      <w:r w:rsidR="00BD6FFE">
        <w:rPr>
          <w:rFonts w:ascii="Helvetica" w:hAnsi="Helvetica" w:cs="Times New Roman"/>
          <w:sz w:val="22"/>
          <w:szCs w:val="22"/>
        </w:rPr>
        <w:t>However</w:t>
      </w:r>
      <w:r w:rsidR="00F44245">
        <w:rPr>
          <w:rFonts w:ascii="Helvetica" w:hAnsi="Helvetica" w:cs="Times New Roman"/>
          <w:sz w:val="22"/>
          <w:szCs w:val="22"/>
        </w:rPr>
        <w:t xml:space="preserve">, </w:t>
      </w:r>
      <w:r w:rsidR="005C1515">
        <w:rPr>
          <w:rFonts w:ascii="Helvetica" w:hAnsi="Helvetica" w:cs="Times New Roman"/>
          <w:sz w:val="22"/>
          <w:szCs w:val="22"/>
        </w:rPr>
        <w:t>whilst</w:t>
      </w:r>
      <w:r w:rsidR="00F44245">
        <w:rPr>
          <w:rFonts w:ascii="Helvetica" w:hAnsi="Helvetica" w:cs="Times New Roman"/>
          <w:sz w:val="22"/>
          <w:szCs w:val="22"/>
        </w:rPr>
        <w:t xml:space="preserve"> criminologists acknowledge the</w:t>
      </w:r>
      <w:r w:rsidR="00F44245" w:rsidRPr="00782C9E">
        <w:rPr>
          <w:rFonts w:ascii="Helvetica" w:hAnsi="Helvetica" w:cs="Times New Roman"/>
          <w:sz w:val="22"/>
          <w:szCs w:val="22"/>
        </w:rPr>
        <w:t xml:space="preserve"> complex,</w:t>
      </w:r>
      <w:r w:rsidR="009341FD">
        <w:rPr>
          <w:rFonts w:ascii="Helvetica" w:hAnsi="Helvetica" w:cs="Times New Roman"/>
          <w:sz w:val="22"/>
          <w:szCs w:val="22"/>
        </w:rPr>
        <w:t xml:space="preserve"> dynamic and</w:t>
      </w:r>
      <w:r w:rsidR="00F44245" w:rsidRPr="00782C9E">
        <w:rPr>
          <w:rFonts w:ascii="Helvetica" w:hAnsi="Helvetica" w:cs="Times New Roman"/>
          <w:sz w:val="22"/>
          <w:szCs w:val="22"/>
        </w:rPr>
        <w:t xml:space="preserve"> multi-scalar</w:t>
      </w:r>
      <w:r w:rsidR="00F44245">
        <w:rPr>
          <w:rFonts w:ascii="Helvetica" w:hAnsi="Helvetica" w:cs="Times New Roman"/>
          <w:sz w:val="22"/>
          <w:szCs w:val="22"/>
        </w:rPr>
        <w:t xml:space="preserve"> nature of </w:t>
      </w:r>
      <w:r w:rsidR="00F44245" w:rsidRPr="00782C9E">
        <w:rPr>
          <w:rFonts w:ascii="Helvetica" w:hAnsi="Helvetica" w:cs="Times New Roman"/>
          <w:sz w:val="22"/>
          <w:szCs w:val="22"/>
        </w:rPr>
        <w:t>crime and crime control policy</w:t>
      </w:r>
      <w:r w:rsidR="00F44245">
        <w:rPr>
          <w:rFonts w:ascii="Helvetica" w:hAnsi="Helvetica" w:cs="Times New Roman"/>
          <w:sz w:val="22"/>
          <w:szCs w:val="22"/>
        </w:rPr>
        <w:t xml:space="preserve">, to date the empirical study of crime policy flows has been rather marginal </w:t>
      </w:r>
      <w:r w:rsidR="0035370F">
        <w:rPr>
          <w:rFonts w:ascii="Helvetica" w:hAnsi="Helvetica" w:cs="Times New Roman"/>
          <w:sz w:val="22"/>
          <w:szCs w:val="22"/>
        </w:rPr>
        <w:t xml:space="preserve">to </w:t>
      </w:r>
      <w:r w:rsidR="00F44245">
        <w:rPr>
          <w:rFonts w:ascii="Helvetica" w:hAnsi="Helvetica" w:cs="Times New Roman"/>
          <w:sz w:val="22"/>
          <w:szCs w:val="22"/>
        </w:rPr>
        <w:t xml:space="preserve">criminological thinking. </w:t>
      </w:r>
      <w:r w:rsidR="004C432D">
        <w:rPr>
          <w:rFonts w:ascii="Helvetica" w:hAnsi="Helvetica" w:cs="Times New Roman"/>
          <w:sz w:val="22"/>
          <w:szCs w:val="22"/>
        </w:rPr>
        <w:t xml:space="preserve">This partly reflects a long-standing tendency of criminologists to focus upon the broad trajectories and general impact of crime control policies, rather than detailed empirical examinations of their </w:t>
      </w:r>
      <w:r w:rsidR="00F9432A">
        <w:rPr>
          <w:rFonts w:ascii="Helvetica" w:hAnsi="Helvetica" w:cs="Times New Roman"/>
          <w:sz w:val="22"/>
          <w:szCs w:val="22"/>
        </w:rPr>
        <w:t>provenance</w:t>
      </w:r>
      <w:r w:rsidR="005E3E0B">
        <w:rPr>
          <w:rFonts w:ascii="Helvetica" w:hAnsi="Helvetica" w:cs="Times New Roman"/>
          <w:sz w:val="22"/>
          <w:szCs w:val="22"/>
        </w:rPr>
        <w:t xml:space="preserve">. </w:t>
      </w:r>
      <w:r w:rsidR="005E3E0B" w:rsidRPr="005E3E0B">
        <w:rPr>
          <w:rFonts w:ascii="Helvetica" w:hAnsi="Helvetica" w:cs="Times New Roman"/>
          <w:sz w:val="22"/>
          <w:szCs w:val="22"/>
        </w:rPr>
        <w:t>It may also reflect assumptions that where ‘policy transfers’ occur they can be understood in a relatively straightforward manner that does not require a significant degree of further reflection or methodological debate</w:t>
      </w:r>
      <w:r w:rsidR="005E3E0B">
        <w:rPr>
          <w:rFonts w:ascii="Helvetica" w:hAnsi="Helvetica" w:cs="Times New Roman"/>
          <w:sz w:val="22"/>
          <w:szCs w:val="22"/>
        </w:rPr>
        <w:t>. T</w:t>
      </w:r>
      <w:r w:rsidR="00771CDD">
        <w:rPr>
          <w:rFonts w:ascii="Helvetica" w:hAnsi="Helvetica" w:cs="Times New Roman"/>
          <w:sz w:val="22"/>
          <w:szCs w:val="22"/>
        </w:rPr>
        <w:t xml:space="preserve">his paper proceeds from the position that sees cross national </w:t>
      </w:r>
      <w:r w:rsidR="00BF3E61">
        <w:rPr>
          <w:rFonts w:ascii="Helvetica" w:hAnsi="Helvetica" w:cs="Times New Roman"/>
          <w:sz w:val="22"/>
          <w:szCs w:val="22"/>
        </w:rPr>
        <w:t xml:space="preserve">crime </w:t>
      </w:r>
      <w:r w:rsidR="00771CDD">
        <w:rPr>
          <w:rFonts w:ascii="Helvetica" w:hAnsi="Helvetica" w:cs="Times New Roman"/>
          <w:sz w:val="22"/>
          <w:szCs w:val="22"/>
        </w:rPr>
        <w:t xml:space="preserve">policy movement as an interesting and important </w:t>
      </w:r>
      <w:r w:rsidR="00F44245">
        <w:rPr>
          <w:rFonts w:ascii="Helvetica" w:hAnsi="Helvetica" w:cs="Times New Roman"/>
          <w:sz w:val="22"/>
          <w:szCs w:val="22"/>
        </w:rPr>
        <w:t>phenomenon</w:t>
      </w:r>
      <w:r w:rsidR="00771CDD">
        <w:rPr>
          <w:rFonts w:ascii="Helvetica" w:hAnsi="Helvetica" w:cs="Times New Roman"/>
          <w:sz w:val="22"/>
          <w:szCs w:val="22"/>
        </w:rPr>
        <w:t xml:space="preserve"> that requires further empirical and conceptual attention from c</w:t>
      </w:r>
      <w:r w:rsidR="00F44245">
        <w:rPr>
          <w:rFonts w:ascii="Helvetica" w:hAnsi="Helvetica" w:cs="Times New Roman"/>
          <w:sz w:val="22"/>
          <w:szCs w:val="22"/>
        </w:rPr>
        <w:t>riminologists</w:t>
      </w:r>
      <w:r w:rsidR="00771CDD">
        <w:rPr>
          <w:rFonts w:ascii="Helvetica" w:hAnsi="Helvetica" w:cs="Times New Roman"/>
          <w:sz w:val="22"/>
          <w:szCs w:val="22"/>
        </w:rPr>
        <w:t xml:space="preserve"> (see also </w:t>
      </w:r>
      <w:proofErr w:type="spellStart"/>
      <w:r w:rsidR="00771CDD">
        <w:rPr>
          <w:rFonts w:ascii="Helvetica" w:hAnsi="Helvetica" w:cs="Times New Roman"/>
          <w:sz w:val="22"/>
          <w:szCs w:val="22"/>
        </w:rPr>
        <w:t>McMenzie</w:t>
      </w:r>
      <w:proofErr w:type="spellEnd"/>
      <w:r w:rsidR="00771CDD">
        <w:rPr>
          <w:rFonts w:ascii="Helvetica" w:hAnsi="Helvetica" w:cs="Times New Roman"/>
          <w:sz w:val="22"/>
          <w:szCs w:val="22"/>
        </w:rPr>
        <w:t xml:space="preserve"> </w:t>
      </w:r>
      <w:r w:rsidR="00771CDD" w:rsidRPr="00771CDD">
        <w:rPr>
          <w:rFonts w:ascii="Helvetica" w:hAnsi="Helvetica" w:cs="Times New Roman"/>
          <w:i/>
          <w:sz w:val="22"/>
          <w:szCs w:val="22"/>
        </w:rPr>
        <w:t>et al</w:t>
      </w:r>
      <w:r w:rsidR="00E7557F">
        <w:rPr>
          <w:rFonts w:ascii="Helvetica" w:hAnsi="Helvetica" w:cs="Times New Roman"/>
          <w:sz w:val="22"/>
          <w:szCs w:val="22"/>
        </w:rPr>
        <w:t>,</w:t>
      </w:r>
      <w:r w:rsidR="00771CDD">
        <w:rPr>
          <w:rFonts w:ascii="Helvetica" w:hAnsi="Helvetica" w:cs="Times New Roman"/>
          <w:sz w:val="22"/>
          <w:szCs w:val="22"/>
        </w:rPr>
        <w:t xml:space="preserve"> </w:t>
      </w:r>
      <w:r w:rsidR="00E7557F">
        <w:rPr>
          <w:rFonts w:ascii="Helvetica" w:hAnsi="Helvetica" w:cs="Times New Roman"/>
          <w:sz w:val="22"/>
          <w:szCs w:val="22"/>
        </w:rPr>
        <w:t>2019</w:t>
      </w:r>
      <w:r w:rsidR="00771CDD">
        <w:rPr>
          <w:rFonts w:ascii="Helvetica" w:hAnsi="Helvetica" w:cs="Times New Roman"/>
          <w:sz w:val="22"/>
          <w:szCs w:val="22"/>
        </w:rPr>
        <w:t>)</w:t>
      </w:r>
      <w:r w:rsidR="00B24633">
        <w:rPr>
          <w:rFonts w:ascii="Helvetica" w:hAnsi="Helvetica" w:cs="Times New Roman"/>
          <w:sz w:val="22"/>
          <w:szCs w:val="22"/>
        </w:rPr>
        <w:t xml:space="preserve">. It </w:t>
      </w:r>
      <w:r w:rsidR="004C432D">
        <w:rPr>
          <w:rFonts w:ascii="Helvetica" w:hAnsi="Helvetica" w:cs="Times New Roman"/>
          <w:sz w:val="22"/>
          <w:szCs w:val="22"/>
        </w:rPr>
        <w:t xml:space="preserve">examines the approaches adopted </w:t>
      </w:r>
      <w:r w:rsidR="00771CDD">
        <w:rPr>
          <w:rFonts w:ascii="Helvetica" w:hAnsi="Helvetica" w:cs="Times New Roman"/>
          <w:sz w:val="22"/>
          <w:szCs w:val="22"/>
        </w:rPr>
        <w:t>by researchers in the relatively rare studies of cross national crime policy movement</w:t>
      </w:r>
      <w:r w:rsidR="004C432D">
        <w:rPr>
          <w:rFonts w:ascii="Helvetica" w:hAnsi="Helvetica" w:cs="Times New Roman"/>
          <w:sz w:val="22"/>
          <w:szCs w:val="22"/>
        </w:rPr>
        <w:t xml:space="preserve"> </w:t>
      </w:r>
      <w:r w:rsidR="00F44245">
        <w:rPr>
          <w:rFonts w:ascii="Helvetica" w:hAnsi="Helvetica" w:cs="Times New Roman"/>
          <w:sz w:val="22"/>
          <w:szCs w:val="22"/>
        </w:rPr>
        <w:t>that have been conducted</w:t>
      </w:r>
      <w:r w:rsidR="004C432D">
        <w:rPr>
          <w:rFonts w:ascii="Helvetica" w:hAnsi="Helvetica" w:cs="Times New Roman"/>
          <w:sz w:val="22"/>
          <w:szCs w:val="22"/>
        </w:rPr>
        <w:t>, before moving on to assess some of the main methodological challenges faced by researchers in this field</w:t>
      </w:r>
      <w:r w:rsidR="009341FD">
        <w:rPr>
          <w:rFonts w:ascii="Helvetica" w:hAnsi="Helvetica" w:cs="Times New Roman"/>
          <w:sz w:val="22"/>
          <w:szCs w:val="22"/>
        </w:rPr>
        <w:t xml:space="preserve">, drawing </w:t>
      </w:r>
      <w:r w:rsidR="00771CDD">
        <w:rPr>
          <w:rFonts w:ascii="Helvetica" w:hAnsi="Helvetica" w:cs="Times New Roman"/>
          <w:sz w:val="22"/>
          <w:szCs w:val="22"/>
        </w:rPr>
        <w:t xml:space="preserve">also </w:t>
      </w:r>
      <w:r w:rsidR="009341FD">
        <w:rPr>
          <w:rFonts w:ascii="Helvetica" w:hAnsi="Helvetica" w:cs="Times New Roman"/>
          <w:sz w:val="22"/>
          <w:szCs w:val="22"/>
        </w:rPr>
        <w:t xml:space="preserve">on the </w:t>
      </w:r>
      <w:r w:rsidR="009341FD">
        <w:rPr>
          <w:rFonts w:ascii="Helvetica" w:hAnsi="Helvetica" w:cs="Times New Roman"/>
          <w:sz w:val="22"/>
          <w:szCs w:val="22"/>
        </w:rPr>
        <w:lastRenderedPageBreak/>
        <w:t xml:space="preserve">broader body of work beyond criminology on policy transfer and </w:t>
      </w:r>
      <w:r w:rsidR="004D4B62">
        <w:rPr>
          <w:rFonts w:ascii="Helvetica" w:hAnsi="Helvetica" w:cs="Times New Roman"/>
          <w:sz w:val="22"/>
          <w:szCs w:val="22"/>
        </w:rPr>
        <w:t>‘</w:t>
      </w:r>
      <w:r w:rsidR="009341FD">
        <w:rPr>
          <w:rFonts w:ascii="Helvetica" w:hAnsi="Helvetica" w:cs="Times New Roman"/>
          <w:sz w:val="22"/>
          <w:szCs w:val="22"/>
        </w:rPr>
        <w:t>policy mobilities</w:t>
      </w:r>
      <w:r w:rsidR="004D4B62">
        <w:rPr>
          <w:rFonts w:ascii="Helvetica" w:hAnsi="Helvetica" w:cs="Times New Roman"/>
          <w:sz w:val="22"/>
          <w:szCs w:val="22"/>
        </w:rPr>
        <w:t>’</w:t>
      </w:r>
      <w:r w:rsidR="004C432D">
        <w:rPr>
          <w:rFonts w:ascii="Helvetica" w:hAnsi="Helvetica" w:cs="Times New Roman"/>
          <w:sz w:val="22"/>
          <w:szCs w:val="22"/>
        </w:rPr>
        <w:t xml:space="preserve">. </w:t>
      </w:r>
      <w:r w:rsidR="009341FD">
        <w:rPr>
          <w:rFonts w:ascii="Helvetica" w:hAnsi="Helvetica" w:cs="Times New Roman"/>
          <w:sz w:val="22"/>
          <w:szCs w:val="22"/>
        </w:rPr>
        <w:t>Building</w:t>
      </w:r>
      <w:r w:rsidR="00E8058C">
        <w:rPr>
          <w:rFonts w:ascii="Helvetica" w:hAnsi="Helvetica" w:cs="Times New Roman"/>
          <w:sz w:val="22"/>
          <w:szCs w:val="22"/>
        </w:rPr>
        <w:t xml:space="preserve"> on this</w:t>
      </w:r>
      <w:r w:rsidR="00BD6FFE">
        <w:rPr>
          <w:rFonts w:ascii="Helvetica" w:hAnsi="Helvetica" w:cs="Times New Roman"/>
          <w:sz w:val="22"/>
          <w:szCs w:val="22"/>
        </w:rPr>
        <w:t xml:space="preserve"> discussion</w:t>
      </w:r>
      <w:r w:rsidR="00E8058C">
        <w:rPr>
          <w:rFonts w:ascii="Helvetica" w:hAnsi="Helvetica" w:cs="Times New Roman"/>
          <w:sz w:val="22"/>
          <w:szCs w:val="22"/>
        </w:rPr>
        <w:t>, the paper</w:t>
      </w:r>
      <w:r w:rsidR="00E8058C" w:rsidRPr="00782C9E">
        <w:rPr>
          <w:rFonts w:ascii="Helvetica" w:hAnsi="Helvetica" w:cs="Times New Roman"/>
          <w:sz w:val="22"/>
          <w:szCs w:val="22"/>
        </w:rPr>
        <w:t xml:space="preserve"> identifies ways forward</w:t>
      </w:r>
      <w:r w:rsidR="00490EF8">
        <w:rPr>
          <w:rFonts w:ascii="Helvetica" w:hAnsi="Helvetica" w:cs="Times New Roman"/>
          <w:sz w:val="22"/>
          <w:szCs w:val="22"/>
        </w:rPr>
        <w:t xml:space="preserve"> for criminologists interested</w:t>
      </w:r>
      <w:r w:rsidR="00E8058C" w:rsidRPr="00782C9E">
        <w:rPr>
          <w:rFonts w:ascii="Helvetica" w:hAnsi="Helvetica" w:cs="Times New Roman"/>
          <w:sz w:val="22"/>
          <w:szCs w:val="22"/>
        </w:rPr>
        <w:t xml:space="preserve"> in </w:t>
      </w:r>
      <w:r w:rsidR="00E8058C">
        <w:rPr>
          <w:rFonts w:ascii="Helvetica" w:hAnsi="Helvetica" w:cs="Times New Roman"/>
          <w:sz w:val="22"/>
          <w:szCs w:val="22"/>
        </w:rPr>
        <w:t>studying this phenomenon</w:t>
      </w:r>
      <w:r w:rsidR="00E8058C" w:rsidRPr="00782C9E">
        <w:rPr>
          <w:rFonts w:ascii="Helvetica" w:hAnsi="Helvetica" w:cs="Times New Roman"/>
          <w:sz w:val="22"/>
          <w:szCs w:val="22"/>
        </w:rPr>
        <w:t xml:space="preserve"> that are both valid </w:t>
      </w:r>
      <w:r w:rsidR="0035370F">
        <w:rPr>
          <w:rFonts w:ascii="Helvetica" w:hAnsi="Helvetica" w:cs="Times New Roman"/>
          <w:sz w:val="22"/>
          <w:szCs w:val="22"/>
        </w:rPr>
        <w:t>and,</w:t>
      </w:r>
      <w:r w:rsidR="0035370F" w:rsidRPr="00782C9E">
        <w:rPr>
          <w:rFonts w:ascii="Helvetica" w:hAnsi="Helvetica" w:cs="Times New Roman"/>
          <w:sz w:val="22"/>
          <w:szCs w:val="22"/>
        </w:rPr>
        <w:t xml:space="preserve"> </w:t>
      </w:r>
      <w:r w:rsidR="00E8058C" w:rsidRPr="00782C9E">
        <w:rPr>
          <w:rFonts w:ascii="Helvetica" w:hAnsi="Helvetica" w:cs="Times New Roman"/>
          <w:sz w:val="22"/>
          <w:szCs w:val="22"/>
        </w:rPr>
        <w:t xml:space="preserve">crucially, practicable and realistic. </w:t>
      </w:r>
    </w:p>
    <w:p w14:paraId="7DA52CE6" w14:textId="77777777" w:rsidR="00BD6FFE" w:rsidRDefault="00BD6FFE" w:rsidP="00BD6FFE">
      <w:pPr>
        <w:spacing w:line="480" w:lineRule="auto"/>
        <w:rPr>
          <w:rFonts w:ascii="Helvetica" w:hAnsi="Helvetica" w:cs="Times New Roman"/>
          <w:b/>
          <w:i/>
          <w:sz w:val="22"/>
          <w:szCs w:val="22"/>
        </w:rPr>
      </w:pPr>
    </w:p>
    <w:p w14:paraId="64DBDC2A" w14:textId="10621413" w:rsidR="008F29FC" w:rsidRDefault="0035370F" w:rsidP="000C65FA">
      <w:pPr>
        <w:spacing w:line="480" w:lineRule="auto"/>
        <w:rPr>
          <w:rFonts w:ascii="Helvetica" w:hAnsi="Helvetica" w:cs="Times New Roman"/>
          <w:sz w:val="22"/>
          <w:szCs w:val="22"/>
        </w:rPr>
      </w:pPr>
      <w:r>
        <w:rPr>
          <w:rFonts w:ascii="Helvetica" w:hAnsi="Helvetica" w:cs="Times New Roman"/>
          <w:sz w:val="22"/>
          <w:szCs w:val="22"/>
        </w:rPr>
        <w:t xml:space="preserve">The study of cross-national policy movement has been a focus of a </w:t>
      </w:r>
      <w:r w:rsidRPr="00BD6FFE">
        <w:rPr>
          <w:rFonts w:ascii="Helvetica" w:hAnsi="Helvetica" w:cs="Times New Roman"/>
          <w:sz w:val="22"/>
          <w:szCs w:val="22"/>
        </w:rPr>
        <w:t xml:space="preserve">substantial body of research </w:t>
      </w:r>
      <w:r>
        <w:rPr>
          <w:rFonts w:ascii="Helvetica" w:hAnsi="Helvetica" w:cs="Times New Roman"/>
          <w:sz w:val="22"/>
          <w:szCs w:val="22"/>
        </w:rPr>
        <w:t>in other disciplines (see for example, Dolowitz and Marsh 2000, Marsh and Evans 2012, McCann and Ward 2012a, Peck and Theodore 2010) and, a</w:t>
      </w:r>
      <w:r w:rsidR="00B24633">
        <w:rPr>
          <w:rFonts w:ascii="Helvetica" w:hAnsi="Helvetica" w:cs="Times New Roman"/>
          <w:sz w:val="22"/>
          <w:szCs w:val="22"/>
        </w:rPr>
        <w:t>s argued in more detail elsewhere (</w:t>
      </w:r>
      <w:r w:rsidR="00E7557F">
        <w:rPr>
          <w:rFonts w:ascii="Helvetica" w:hAnsi="Helvetica" w:cs="Times New Roman"/>
          <w:sz w:val="22"/>
          <w:szCs w:val="22"/>
        </w:rPr>
        <w:t>Newburn et al, 2018</w:t>
      </w:r>
      <w:r w:rsidR="00B24633">
        <w:rPr>
          <w:rFonts w:ascii="Helvetica" w:hAnsi="Helvetica" w:cs="Times New Roman"/>
          <w:sz w:val="22"/>
          <w:szCs w:val="22"/>
        </w:rPr>
        <w:t xml:space="preserve">), there are </w:t>
      </w:r>
      <w:r w:rsidR="00F35E3A">
        <w:rPr>
          <w:rFonts w:ascii="Helvetica" w:hAnsi="Helvetica" w:cs="Times New Roman"/>
          <w:sz w:val="22"/>
          <w:szCs w:val="22"/>
        </w:rPr>
        <w:t>many</w:t>
      </w:r>
      <w:r w:rsidR="00B24633">
        <w:rPr>
          <w:rFonts w:ascii="Helvetica" w:hAnsi="Helvetica" w:cs="Times New Roman"/>
          <w:sz w:val="22"/>
          <w:szCs w:val="22"/>
        </w:rPr>
        <w:t xml:space="preserve"> reasons why the study of cross-national policy movement </w:t>
      </w:r>
      <w:r>
        <w:rPr>
          <w:rFonts w:ascii="Helvetica" w:hAnsi="Helvetica" w:cs="Times New Roman"/>
          <w:sz w:val="22"/>
          <w:szCs w:val="22"/>
        </w:rPr>
        <w:t xml:space="preserve">would appear to be of growing importance </w:t>
      </w:r>
      <w:r w:rsidR="00B24633">
        <w:rPr>
          <w:rFonts w:ascii="Helvetica" w:hAnsi="Helvetica" w:cs="Times New Roman"/>
          <w:sz w:val="22"/>
          <w:szCs w:val="22"/>
        </w:rPr>
        <w:t>to criminology. Within the field of crime control</w:t>
      </w:r>
      <w:r w:rsidR="009B4564">
        <w:rPr>
          <w:rFonts w:ascii="Helvetica" w:hAnsi="Helvetica" w:cs="Times New Roman"/>
          <w:sz w:val="22"/>
          <w:szCs w:val="22"/>
        </w:rPr>
        <w:t>,</w:t>
      </w:r>
      <w:r w:rsidR="00B24633">
        <w:rPr>
          <w:rFonts w:ascii="Helvetica" w:hAnsi="Helvetica" w:cs="Times New Roman"/>
          <w:sz w:val="22"/>
          <w:szCs w:val="22"/>
        </w:rPr>
        <w:t xml:space="preserve"> </w:t>
      </w:r>
      <w:r w:rsidR="003B2C01">
        <w:rPr>
          <w:rFonts w:ascii="Helvetica" w:hAnsi="Helvetica" w:cs="Times New Roman"/>
          <w:sz w:val="22"/>
          <w:szCs w:val="22"/>
        </w:rPr>
        <w:t xml:space="preserve">as with other areas of public policy, the </w:t>
      </w:r>
      <w:r w:rsidR="000709FD" w:rsidRPr="000709FD">
        <w:rPr>
          <w:rFonts w:ascii="Helvetica" w:hAnsi="Helvetica" w:cs="Times New Roman"/>
          <w:sz w:val="22"/>
          <w:szCs w:val="22"/>
        </w:rPr>
        <w:t xml:space="preserve">increasingly inter-connected </w:t>
      </w:r>
      <w:r w:rsidR="003B2C01">
        <w:rPr>
          <w:rFonts w:ascii="Helvetica" w:hAnsi="Helvetica" w:cs="Times New Roman"/>
          <w:sz w:val="22"/>
          <w:szCs w:val="22"/>
        </w:rPr>
        <w:t xml:space="preserve">nature of the </w:t>
      </w:r>
      <w:r w:rsidR="000709FD" w:rsidRPr="000709FD">
        <w:rPr>
          <w:rFonts w:ascii="Helvetica" w:hAnsi="Helvetica" w:cs="Times New Roman"/>
          <w:sz w:val="22"/>
          <w:szCs w:val="22"/>
        </w:rPr>
        <w:t>world</w:t>
      </w:r>
      <w:r w:rsidR="003B2C01">
        <w:rPr>
          <w:rFonts w:ascii="Helvetica" w:hAnsi="Helvetica" w:cs="Times New Roman"/>
          <w:sz w:val="22"/>
          <w:szCs w:val="22"/>
        </w:rPr>
        <w:t xml:space="preserve"> makes</w:t>
      </w:r>
      <w:r w:rsidR="000709FD" w:rsidRPr="000709FD">
        <w:rPr>
          <w:rFonts w:ascii="Helvetica" w:hAnsi="Helvetica" w:cs="Times New Roman"/>
          <w:sz w:val="22"/>
          <w:szCs w:val="22"/>
        </w:rPr>
        <w:t xml:space="preserve"> </w:t>
      </w:r>
      <w:r w:rsidR="004D4B62">
        <w:rPr>
          <w:rFonts w:ascii="Helvetica" w:hAnsi="Helvetica" w:cs="Times New Roman"/>
          <w:sz w:val="22"/>
          <w:szCs w:val="22"/>
        </w:rPr>
        <w:t xml:space="preserve">the </w:t>
      </w:r>
      <w:r w:rsidR="000709FD" w:rsidRPr="000709FD">
        <w:rPr>
          <w:rFonts w:ascii="Helvetica" w:hAnsi="Helvetica" w:cs="Times New Roman"/>
          <w:sz w:val="22"/>
          <w:szCs w:val="22"/>
        </w:rPr>
        <w:t xml:space="preserve">circulation </w:t>
      </w:r>
      <w:r w:rsidR="009B4564">
        <w:rPr>
          <w:rFonts w:ascii="Helvetica" w:hAnsi="Helvetica" w:cs="Times New Roman"/>
          <w:sz w:val="22"/>
          <w:szCs w:val="22"/>
        </w:rPr>
        <w:t>of policy ideas and approaches a</w:t>
      </w:r>
      <w:r w:rsidR="00D30EC9">
        <w:rPr>
          <w:rFonts w:ascii="Helvetica" w:hAnsi="Helvetica" w:cs="Times New Roman"/>
          <w:sz w:val="22"/>
          <w:szCs w:val="22"/>
        </w:rPr>
        <w:t>n important empirical phenomenon requir</w:t>
      </w:r>
      <w:r w:rsidR="003B2C01">
        <w:rPr>
          <w:rFonts w:ascii="Helvetica" w:hAnsi="Helvetica" w:cs="Times New Roman"/>
          <w:sz w:val="22"/>
          <w:szCs w:val="22"/>
        </w:rPr>
        <w:t>ing</w:t>
      </w:r>
      <w:r w:rsidR="00D30EC9">
        <w:rPr>
          <w:rFonts w:ascii="Helvetica" w:hAnsi="Helvetica" w:cs="Times New Roman"/>
          <w:sz w:val="22"/>
          <w:szCs w:val="22"/>
        </w:rPr>
        <w:t xml:space="preserve"> interrogation and investigation.</w:t>
      </w:r>
      <w:r w:rsidR="00B24633">
        <w:rPr>
          <w:rFonts w:ascii="Helvetica" w:hAnsi="Helvetica" w:cs="Times New Roman"/>
          <w:sz w:val="22"/>
          <w:szCs w:val="22"/>
        </w:rPr>
        <w:t xml:space="preserve"> </w:t>
      </w:r>
      <w:r w:rsidR="000C65FA">
        <w:rPr>
          <w:rFonts w:ascii="Helvetica" w:hAnsi="Helvetica" w:cs="Times New Roman"/>
          <w:sz w:val="22"/>
          <w:szCs w:val="22"/>
        </w:rPr>
        <w:t xml:space="preserve">There is, of course, </w:t>
      </w:r>
      <w:r w:rsidR="005E5265">
        <w:rPr>
          <w:rFonts w:ascii="Helvetica" w:hAnsi="Helvetica" w:cs="Times New Roman"/>
          <w:sz w:val="22"/>
          <w:szCs w:val="22"/>
        </w:rPr>
        <w:t>long-standing</w:t>
      </w:r>
      <w:r w:rsidR="000C65FA">
        <w:rPr>
          <w:rFonts w:ascii="Helvetica" w:hAnsi="Helvetica" w:cs="Times New Roman"/>
          <w:sz w:val="22"/>
          <w:szCs w:val="22"/>
        </w:rPr>
        <w:t xml:space="preserve"> criminological </w:t>
      </w:r>
      <w:r w:rsidR="000C65FA" w:rsidRPr="000709FD">
        <w:rPr>
          <w:rFonts w:ascii="Helvetica" w:hAnsi="Helvetica" w:cs="Times New Roman"/>
          <w:sz w:val="22"/>
          <w:szCs w:val="22"/>
        </w:rPr>
        <w:t xml:space="preserve">interest in comparative crime control and what factors might explain similarities and differences </w:t>
      </w:r>
      <w:r w:rsidR="000C65FA">
        <w:rPr>
          <w:rFonts w:ascii="Helvetica" w:hAnsi="Helvetica" w:cs="Times New Roman"/>
          <w:sz w:val="22"/>
          <w:szCs w:val="22"/>
        </w:rPr>
        <w:t xml:space="preserve">in approaches </w:t>
      </w:r>
      <w:r w:rsidR="000C65FA" w:rsidRPr="000709FD">
        <w:rPr>
          <w:rFonts w:ascii="Helvetica" w:hAnsi="Helvetica" w:cs="Times New Roman"/>
          <w:sz w:val="22"/>
          <w:szCs w:val="22"/>
        </w:rPr>
        <w:t>in different jurisdictional contexts</w:t>
      </w:r>
      <w:r w:rsidR="000C65FA">
        <w:rPr>
          <w:rFonts w:ascii="Helvetica" w:hAnsi="Helvetica" w:cs="Times New Roman"/>
          <w:sz w:val="22"/>
          <w:szCs w:val="22"/>
        </w:rPr>
        <w:t xml:space="preserve"> (</w:t>
      </w:r>
      <w:r w:rsidR="003B2C01">
        <w:rPr>
          <w:rFonts w:ascii="Helvetica" w:hAnsi="Helvetica" w:cs="Times New Roman"/>
          <w:sz w:val="22"/>
          <w:szCs w:val="22"/>
        </w:rPr>
        <w:t xml:space="preserve">Downes, 1988, </w:t>
      </w:r>
      <w:r w:rsidR="000C65FA">
        <w:rPr>
          <w:rFonts w:ascii="Helvetica" w:hAnsi="Helvetica" w:cs="Times New Roman"/>
          <w:sz w:val="22"/>
          <w:szCs w:val="22"/>
        </w:rPr>
        <w:t xml:space="preserve">Garland 2001, </w:t>
      </w:r>
      <w:proofErr w:type="spellStart"/>
      <w:r w:rsidR="000C65FA">
        <w:rPr>
          <w:rFonts w:ascii="Helvetica" w:hAnsi="Helvetica" w:cs="Times New Roman"/>
          <w:sz w:val="22"/>
          <w:szCs w:val="22"/>
        </w:rPr>
        <w:t>Cavadino</w:t>
      </w:r>
      <w:proofErr w:type="spellEnd"/>
      <w:r w:rsidR="000C65FA">
        <w:rPr>
          <w:rFonts w:ascii="Helvetica" w:hAnsi="Helvetica" w:cs="Times New Roman"/>
          <w:sz w:val="22"/>
          <w:szCs w:val="22"/>
        </w:rPr>
        <w:t xml:space="preserve"> and Dignan 2005, Lac</w:t>
      </w:r>
      <w:r w:rsidR="00F35E3A">
        <w:rPr>
          <w:rFonts w:ascii="Helvetica" w:hAnsi="Helvetica" w:cs="Times New Roman"/>
          <w:sz w:val="22"/>
          <w:szCs w:val="22"/>
        </w:rPr>
        <w:t>e</w:t>
      </w:r>
      <w:r w:rsidR="000C65FA">
        <w:rPr>
          <w:rFonts w:ascii="Helvetica" w:hAnsi="Helvetica" w:cs="Times New Roman"/>
          <w:sz w:val="22"/>
          <w:szCs w:val="22"/>
        </w:rPr>
        <w:t xml:space="preserve">y 2011). Such studies have provided important insights into both the broader macro-social influences over crime control policy, and the association of distinctive national political and institutional structures with different policy approaches. But to date, such studies </w:t>
      </w:r>
      <w:r w:rsidR="001424F5">
        <w:rPr>
          <w:rFonts w:ascii="Helvetica" w:hAnsi="Helvetica" w:cs="Times New Roman"/>
          <w:sz w:val="22"/>
          <w:szCs w:val="22"/>
        </w:rPr>
        <w:t xml:space="preserve">provide only limited empirical engagement with </w:t>
      </w:r>
      <w:r w:rsidR="000C65FA">
        <w:rPr>
          <w:rFonts w:ascii="Helvetica" w:hAnsi="Helvetica" w:cs="Times New Roman"/>
          <w:sz w:val="22"/>
          <w:szCs w:val="22"/>
        </w:rPr>
        <w:t xml:space="preserve">the </w:t>
      </w:r>
      <w:r w:rsidR="000C65FA" w:rsidRPr="00BD6FFE">
        <w:rPr>
          <w:rFonts w:ascii="Helvetica" w:hAnsi="Helvetica" w:cs="Times New Roman"/>
          <w:i/>
          <w:sz w:val="22"/>
          <w:szCs w:val="22"/>
        </w:rPr>
        <w:t>processes</w:t>
      </w:r>
      <w:r w:rsidR="000C65FA">
        <w:rPr>
          <w:rFonts w:ascii="Helvetica" w:hAnsi="Helvetica" w:cs="Times New Roman"/>
          <w:sz w:val="22"/>
          <w:szCs w:val="22"/>
        </w:rPr>
        <w:t xml:space="preserve"> of policy change and the role played by cross-national movement of ideas, policies and practices.</w:t>
      </w:r>
      <w:r w:rsidR="00B24633">
        <w:rPr>
          <w:rFonts w:ascii="Helvetica" w:hAnsi="Helvetica" w:cs="Times New Roman"/>
          <w:sz w:val="22"/>
          <w:szCs w:val="22"/>
        </w:rPr>
        <w:t xml:space="preserve"> </w:t>
      </w:r>
      <w:r w:rsidR="00230325">
        <w:rPr>
          <w:rFonts w:ascii="Helvetica" w:hAnsi="Helvetica" w:cs="Times New Roman"/>
          <w:sz w:val="22"/>
          <w:szCs w:val="22"/>
        </w:rPr>
        <w:t>Although</w:t>
      </w:r>
      <w:r w:rsidR="00F9432A">
        <w:rPr>
          <w:rFonts w:ascii="Helvetica" w:hAnsi="Helvetica" w:cs="Times New Roman"/>
          <w:sz w:val="22"/>
          <w:szCs w:val="22"/>
        </w:rPr>
        <w:t xml:space="preserve"> some </w:t>
      </w:r>
      <w:r w:rsidR="001424F5">
        <w:rPr>
          <w:rFonts w:ascii="Helvetica" w:hAnsi="Helvetica" w:cs="Times New Roman"/>
          <w:sz w:val="22"/>
          <w:szCs w:val="22"/>
        </w:rPr>
        <w:t xml:space="preserve">criminologists </w:t>
      </w:r>
      <w:r w:rsidR="00F9432A">
        <w:rPr>
          <w:rFonts w:ascii="Helvetica" w:hAnsi="Helvetica" w:cs="Times New Roman"/>
          <w:sz w:val="22"/>
          <w:szCs w:val="22"/>
        </w:rPr>
        <w:t>do acknowledge</w:t>
      </w:r>
      <w:r w:rsidR="00B24633">
        <w:rPr>
          <w:rFonts w:ascii="Helvetica" w:hAnsi="Helvetica" w:cs="Times New Roman"/>
          <w:sz w:val="22"/>
          <w:szCs w:val="22"/>
        </w:rPr>
        <w:t xml:space="preserve"> the</w:t>
      </w:r>
      <w:r w:rsidR="00F9432A">
        <w:rPr>
          <w:rFonts w:ascii="Helvetica" w:hAnsi="Helvetica" w:cs="Times New Roman"/>
          <w:sz w:val="22"/>
          <w:szCs w:val="22"/>
        </w:rPr>
        <w:t xml:space="preserve"> importance of the </w:t>
      </w:r>
      <w:r w:rsidR="00820DC8">
        <w:rPr>
          <w:rFonts w:ascii="Helvetica" w:hAnsi="Helvetica" w:cs="Times New Roman"/>
          <w:sz w:val="22"/>
          <w:szCs w:val="22"/>
        </w:rPr>
        <w:t>international</w:t>
      </w:r>
      <w:r w:rsidR="00B24633">
        <w:rPr>
          <w:rFonts w:ascii="Helvetica" w:hAnsi="Helvetica" w:cs="Times New Roman"/>
          <w:sz w:val="22"/>
          <w:szCs w:val="22"/>
        </w:rPr>
        <w:t xml:space="preserve"> ‘import-export trade</w:t>
      </w:r>
      <w:r w:rsidR="00F9432A">
        <w:rPr>
          <w:rFonts w:ascii="Helvetica" w:hAnsi="Helvetica" w:cs="Times New Roman"/>
          <w:sz w:val="22"/>
          <w:szCs w:val="22"/>
        </w:rPr>
        <w:t>’</w:t>
      </w:r>
      <w:r w:rsidR="00B24633">
        <w:rPr>
          <w:rFonts w:ascii="Helvetica" w:hAnsi="Helvetica" w:cs="Times New Roman"/>
          <w:sz w:val="22"/>
          <w:szCs w:val="22"/>
        </w:rPr>
        <w:t xml:space="preserve"> </w:t>
      </w:r>
      <w:r w:rsidR="00820DC8">
        <w:rPr>
          <w:rFonts w:ascii="Helvetica" w:hAnsi="Helvetica" w:cs="Times New Roman"/>
          <w:sz w:val="22"/>
          <w:szCs w:val="22"/>
        </w:rPr>
        <w:t>in</w:t>
      </w:r>
      <w:r w:rsidR="00B24633">
        <w:rPr>
          <w:rFonts w:ascii="Helvetica" w:hAnsi="Helvetica" w:cs="Times New Roman"/>
          <w:sz w:val="22"/>
          <w:szCs w:val="22"/>
        </w:rPr>
        <w:t xml:space="preserve"> crime and security policies</w:t>
      </w:r>
      <w:r w:rsidR="00F9432A">
        <w:rPr>
          <w:rFonts w:ascii="Helvetica" w:hAnsi="Helvetica" w:cs="Times New Roman"/>
          <w:sz w:val="22"/>
          <w:szCs w:val="22"/>
        </w:rPr>
        <w:t xml:space="preserve"> (not least in its contribution</w:t>
      </w:r>
      <w:r w:rsidR="00820DC8">
        <w:rPr>
          <w:rFonts w:ascii="Helvetica" w:hAnsi="Helvetica" w:cs="Times New Roman"/>
          <w:sz w:val="22"/>
          <w:szCs w:val="22"/>
        </w:rPr>
        <w:t xml:space="preserve"> to</w:t>
      </w:r>
      <w:r w:rsidR="00F9432A">
        <w:rPr>
          <w:rFonts w:ascii="Helvetica" w:hAnsi="Helvetica" w:cs="Times New Roman"/>
          <w:sz w:val="22"/>
          <w:szCs w:val="22"/>
        </w:rPr>
        <w:t xml:space="preserve"> processes of </w:t>
      </w:r>
      <w:r w:rsidR="00820DC8">
        <w:rPr>
          <w:rFonts w:ascii="Helvetica" w:hAnsi="Helvetica" w:cs="Times New Roman"/>
          <w:sz w:val="22"/>
          <w:szCs w:val="22"/>
        </w:rPr>
        <w:t>‘securitization’</w:t>
      </w:r>
      <w:r w:rsidR="00F9432A">
        <w:rPr>
          <w:rFonts w:ascii="Helvetica" w:hAnsi="Helvetica" w:cs="Times New Roman"/>
          <w:sz w:val="22"/>
          <w:szCs w:val="22"/>
        </w:rPr>
        <w:t xml:space="preserve">, </w:t>
      </w:r>
      <w:r w:rsidR="00820DC8">
        <w:rPr>
          <w:rFonts w:ascii="Helvetica" w:hAnsi="Helvetica" w:cs="Times New Roman"/>
          <w:sz w:val="22"/>
          <w:szCs w:val="22"/>
        </w:rPr>
        <w:t xml:space="preserve">see for example, Wacquant 1999, </w:t>
      </w:r>
      <w:proofErr w:type="spellStart"/>
      <w:r w:rsidR="00820DC8">
        <w:rPr>
          <w:rFonts w:ascii="Helvetica" w:hAnsi="Helvetica" w:cs="Times New Roman"/>
          <w:sz w:val="22"/>
          <w:szCs w:val="22"/>
        </w:rPr>
        <w:t>Hallsworth</w:t>
      </w:r>
      <w:proofErr w:type="spellEnd"/>
      <w:r w:rsidR="00820DC8">
        <w:rPr>
          <w:rFonts w:ascii="Helvetica" w:hAnsi="Helvetica" w:cs="Times New Roman"/>
          <w:sz w:val="22"/>
          <w:szCs w:val="22"/>
        </w:rPr>
        <w:t xml:space="preserve"> and Lea 2011</w:t>
      </w:r>
      <w:r w:rsidR="004D4B62">
        <w:rPr>
          <w:rFonts w:ascii="Helvetica" w:hAnsi="Helvetica" w:cs="Times New Roman"/>
          <w:sz w:val="22"/>
          <w:szCs w:val="22"/>
        </w:rPr>
        <w:t>, Roach 2011</w:t>
      </w:r>
      <w:r w:rsidR="00820DC8">
        <w:rPr>
          <w:rFonts w:ascii="Helvetica" w:hAnsi="Helvetica" w:cs="Times New Roman"/>
          <w:sz w:val="22"/>
          <w:szCs w:val="22"/>
        </w:rPr>
        <w:t xml:space="preserve">) detailed empirical studies </w:t>
      </w:r>
      <w:r w:rsidR="00297801">
        <w:rPr>
          <w:rFonts w:ascii="Helvetica" w:hAnsi="Helvetica" w:cs="Times New Roman"/>
          <w:sz w:val="22"/>
          <w:szCs w:val="22"/>
        </w:rPr>
        <w:t>remain rare</w:t>
      </w:r>
      <w:r w:rsidR="00820DC8">
        <w:rPr>
          <w:rFonts w:ascii="Helvetica" w:hAnsi="Helvetica" w:cs="Times New Roman"/>
          <w:sz w:val="22"/>
          <w:szCs w:val="22"/>
        </w:rPr>
        <w:t xml:space="preserve">. </w:t>
      </w:r>
    </w:p>
    <w:p w14:paraId="70F5E213" w14:textId="77777777" w:rsidR="008F29FC" w:rsidRDefault="008F29FC" w:rsidP="000C65FA">
      <w:pPr>
        <w:spacing w:line="480" w:lineRule="auto"/>
        <w:rPr>
          <w:rFonts w:ascii="Helvetica" w:hAnsi="Helvetica" w:cs="Times New Roman"/>
          <w:sz w:val="22"/>
          <w:szCs w:val="22"/>
        </w:rPr>
      </w:pPr>
    </w:p>
    <w:p w14:paraId="2A9E43B2" w14:textId="0C3CDC58" w:rsidR="000C65FA" w:rsidRDefault="001424F5" w:rsidP="000C65FA">
      <w:pPr>
        <w:spacing w:line="480" w:lineRule="auto"/>
        <w:rPr>
          <w:rFonts w:ascii="Helvetica" w:hAnsi="Helvetica" w:cs="Times New Roman"/>
          <w:sz w:val="22"/>
          <w:szCs w:val="22"/>
        </w:rPr>
      </w:pPr>
      <w:r>
        <w:rPr>
          <w:rFonts w:ascii="Helvetica" w:hAnsi="Helvetica" w:cs="Times New Roman"/>
          <w:sz w:val="22"/>
          <w:szCs w:val="22"/>
        </w:rPr>
        <w:t xml:space="preserve">In a thoughtful review of the state of cross-national comparison in contemporary criminological scholarship, Michael </w:t>
      </w:r>
      <w:proofErr w:type="spellStart"/>
      <w:r>
        <w:rPr>
          <w:rFonts w:ascii="Helvetica" w:hAnsi="Helvetica" w:cs="Times New Roman"/>
          <w:sz w:val="22"/>
          <w:szCs w:val="22"/>
        </w:rPr>
        <w:t>Tonry</w:t>
      </w:r>
      <w:proofErr w:type="spellEnd"/>
      <w:r>
        <w:rPr>
          <w:rFonts w:ascii="Helvetica" w:hAnsi="Helvetica" w:cs="Times New Roman"/>
          <w:sz w:val="22"/>
          <w:szCs w:val="22"/>
        </w:rPr>
        <w:t xml:space="preserve"> (2015: 506) identifies three ‘latent’ functions of cross-national comparative research. The first two of these are directly associated with ideas of </w:t>
      </w:r>
      <w:r w:rsidR="00CD4DAA">
        <w:rPr>
          <w:rFonts w:ascii="Helvetica" w:hAnsi="Helvetica" w:cs="Times New Roman"/>
          <w:sz w:val="22"/>
          <w:szCs w:val="22"/>
        </w:rPr>
        <w:t>‘</w:t>
      </w:r>
      <w:r>
        <w:rPr>
          <w:rFonts w:ascii="Helvetica" w:hAnsi="Helvetica" w:cs="Times New Roman"/>
          <w:sz w:val="22"/>
          <w:szCs w:val="22"/>
        </w:rPr>
        <w:t>policy transfer</w:t>
      </w:r>
      <w:r w:rsidR="00CD4DAA">
        <w:rPr>
          <w:rFonts w:ascii="Helvetica" w:hAnsi="Helvetica" w:cs="Times New Roman"/>
          <w:sz w:val="22"/>
          <w:szCs w:val="22"/>
        </w:rPr>
        <w:t>’</w:t>
      </w:r>
      <w:r>
        <w:rPr>
          <w:rFonts w:ascii="Helvetica" w:hAnsi="Helvetica" w:cs="Times New Roman"/>
          <w:sz w:val="22"/>
          <w:szCs w:val="22"/>
        </w:rPr>
        <w:t>: to help policy-makers look across national boundaries and ‘learn from elsewhere’, and ‘to examine the extent to which, and the conditions under which, countries successfully import ideas from elsewhere’</w:t>
      </w:r>
      <w:r>
        <w:rPr>
          <w:rStyle w:val="FootnoteReference"/>
          <w:rFonts w:ascii="Helvetica" w:hAnsi="Helvetica" w:cs="Times New Roman"/>
          <w:sz w:val="22"/>
          <w:szCs w:val="22"/>
        </w:rPr>
        <w:footnoteReference w:id="2"/>
      </w:r>
      <w:r>
        <w:rPr>
          <w:rFonts w:ascii="Helvetica" w:hAnsi="Helvetica" w:cs="Times New Roman"/>
          <w:sz w:val="22"/>
          <w:szCs w:val="22"/>
        </w:rPr>
        <w:t xml:space="preserve">. </w:t>
      </w:r>
      <w:proofErr w:type="spellStart"/>
      <w:r w:rsidR="00230325">
        <w:rPr>
          <w:rFonts w:ascii="Helvetica" w:hAnsi="Helvetica" w:cs="Times New Roman"/>
          <w:sz w:val="22"/>
          <w:szCs w:val="22"/>
        </w:rPr>
        <w:t>Tonry</w:t>
      </w:r>
      <w:proofErr w:type="spellEnd"/>
      <w:r w:rsidR="00230325">
        <w:rPr>
          <w:rFonts w:ascii="Helvetica" w:hAnsi="Helvetica" w:cs="Times New Roman"/>
          <w:sz w:val="22"/>
          <w:szCs w:val="22"/>
        </w:rPr>
        <w:t xml:space="preserve"> remarks on the relative lack of systematic scholarship on these topics which, he argues, require ‘serious attention’ by researchers (2015: 513). The remainder of this paper responds to </w:t>
      </w:r>
      <w:proofErr w:type="spellStart"/>
      <w:r w:rsidR="00230325">
        <w:rPr>
          <w:rFonts w:ascii="Helvetica" w:hAnsi="Helvetica" w:cs="Times New Roman"/>
          <w:sz w:val="22"/>
          <w:szCs w:val="22"/>
        </w:rPr>
        <w:t>Tonry’s</w:t>
      </w:r>
      <w:proofErr w:type="spellEnd"/>
      <w:r w:rsidR="00230325">
        <w:rPr>
          <w:rFonts w:ascii="Helvetica" w:hAnsi="Helvetica" w:cs="Times New Roman"/>
          <w:sz w:val="22"/>
          <w:szCs w:val="22"/>
        </w:rPr>
        <w:t xml:space="preserve"> challenge by seeking to develop greater methodological clarity about how such work might be undertaken. </w:t>
      </w:r>
    </w:p>
    <w:p w14:paraId="46EDC896" w14:textId="77777777" w:rsidR="004A0332" w:rsidRDefault="004A0332" w:rsidP="004A0332">
      <w:pPr>
        <w:spacing w:line="480" w:lineRule="auto"/>
        <w:rPr>
          <w:rFonts w:ascii="Helvetica" w:hAnsi="Helvetica" w:cs="Times New Roman"/>
          <w:sz w:val="22"/>
          <w:szCs w:val="22"/>
        </w:rPr>
      </w:pPr>
    </w:p>
    <w:p w14:paraId="57E6E46F" w14:textId="6AF310FF" w:rsidR="002D754A" w:rsidRPr="00BD6FFE" w:rsidRDefault="008E63AE" w:rsidP="00BD6FFE">
      <w:pPr>
        <w:spacing w:line="480" w:lineRule="auto"/>
        <w:rPr>
          <w:rFonts w:ascii="Helvetica" w:hAnsi="Helvetica" w:cs="Times New Roman"/>
          <w:b/>
          <w:sz w:val="22"/>
          <w:szCs w:val="22"/>
        </w:rPr>
      </w:pPr>
      <w:r>
        <w:rPr>
          <w:rFonts w:ascii="Helvetica" w:hAnsi="Helvetica" w:cs="Times New Roman"/>
          <w:b/>
          <w:sz w:val="22"/>
          <w:szCs w:val="22"/>
        </w:rPr>
        <w:t>S</w:t>
      </w:r>
      <w:r w:rsidR="002D754A" w:rsidRPr="00BD6FFE">
        <w:rPr>
          <w:rFonts w:ascii="Helvetica" w:hAnsi="Helvetica" w:cs="Times New Roman"/>
          <w:b/>
          <w:sz w:val="22"/>
          <w:szCs w:val="22"/>
        </w:rPr>
        <w:t>tudying cross-national policy movement</w:t>
      </w:r>
      <w:r w:rsidR="000C65FA">
        <w:rPr>
          <w:rFonts w:ascii="Helvetica" w:hAnsi="Helvetica" w:cs="Times New Roman"/>
          <w:b/>
          <w:sz w:val="22"/>
          <w:szCs w:val="22"/>
        </w:rPr>
        <w:t xml:space="preserve"> in crime control</w:t>
      </w:r>
    </w:p>
    <w:p w14:paraId="0A8DBD04" w14:textId="780B95ED" w:rsidR="007B3001" w:rsidRPr="007B3001" w:rsidRDefault="005C1515" w:rsidP="007B3001">
      <w:pPr>
        <w:spacing w:line="480" w:lineRule="auto"/>
        <w:rPr>
          <w:rFonts w:ascii="Helvetica" w:hAnsi="Helvetica" w:cs="Times New Roman"/>
          <w:sz w:val="22"/>
          <w:szCs w:val="22"/>
        </w:rPr>
      </w:pPr>
      <w:r>
        <w:rPr>
          <w:rFonts w:ascii="Helvetica" w:hAnsi="Helvetica" w:cs="Times New Roman"/>
          <w:sz w:val="22"/>
          <w:szCs w:val="22"/>
        </w:rPr>
        <w:t>The study of policy transfer is generally recognised as emerging from an earlier tradition of research on</w:t>
      </w:r>
      <w:r w:rsidR="00C502A7">
        <w:rPr>
          <w:rFonts w:ascii="Helvetica" w:hAnsi="Helvetica" w:cs="Times New Roman"/>
          <w:sz w:val="22"/>
          <w:szCs w:val="22"/>
        </w:rPr>
        <w:t xml:space="preserve"> the</w:t>
      </w:r>
      <w:r>
        <w:rPr>
          <w:rFonts w:ascii="Helvetica" w:hAnsi="Helvetica" w:cs="Times New Roman"/>
          <w:sz w:val="22"/>
          <w:szCs w:val="22"/>
        </w:rPr>
        <w:t xml:space="preserve"> phenomenon of cross-jurisdictional </w:t>
      </w:r>
      <w:r w:rsidRPr="00BD6FFE">
        <w:rPr>
          <w:rFonts w:ascii="Helvetica" w:hAnsi="Helvetica" w:cs="Times New Roman"/>
          <w:sz w:val="22"/>
          <w:szCs w:val="22"/>
        </w:rPr>
        <w:t>policy ‘diffusion’ (Walker 1969, Eyestone 1977)</w:t>
      </w:r>
      <w:r w:rsidR="009969CA">
        <w:rPr>
          <w:rFonts w:ascii="Helvetica" w:hAnsi="Helvetica" w:cs="Times New Roman"/>
          <w:sz w:val="22"/>
          <w:szCs w:val="22"/>
        </w:rPr>
        <w:t>, which ‘</w:t>
      </w:r>
      <w:r w:rsidRPr="00BD6FFE">
        <w:rPr>
          <w:rFonts w:ascii="Helvetica" w:hAnsi="Helvetica" w:cs="Times New Roman"/>
          <w:sz w:val="22"/>
          <w:szCs w:val="22"/>
        </w:rPr>
        <w:t>connotes spreading, dispersion and dissemination of ideas or practices from a common source or point of origin</w:t>
      </w:r>
      <w:r w:rsidR="00FA75F6">
        <w:rPr>
          <w:rFonts w:ascii="Helvetica" w:hAnsi="Helvetica" w:cs="Times New Roman"/>
          <w:sz w:val="22"/>
          <w:szCs w:val="22"/>
        </w:rPr>
        <w:t>’</w:t>
      </w:r>
      <w:r w:rsidRPr="00BD6FFE">
        <w:rPr>
          <w:rFonts w:ascii="Helvetica" w:hAnsi="Helvetica" w:cs="Times New Roman"/>
          <w:sz w:val="22"/>
          <w:szCs w:val="22"/>
        </w:rPr>
        <w:t xml:space="preserve"> (Stone 2004: 546). </w:t>
      </w:r>
      <w:r>
        <w:rPr>
          <w:rFonts w:ascii="Helvetica" w:hAnsi="Helvetica" w:cs="Times New Roman"/>
          <w:sz w:val="22"/>
          <w:szCs w:val="22"/>
        </w:rPr>
        <w:t>M</w:t>
      </w:r>
      <w:r w:rsidRPr="00BD6FFE">
        <w:rPr>
          <w:rFonts w:ascii="Helvetica" w:hAnsi="Helvetica" w:cs="Times New Roman"/>
          <w:sz w:val="22"/>
          <w:szCs w:val="22"/>
        </w:rPr>
        <w:t xml:space="preserve">ost </w:t>
      </w:r>
      <w:r w:rsidR="007B3001">
        <w:rPr>
          <w:rFonts w:ascii="Helvetica" w:hAnsi="Helvetica" w:cs="Times New Roman"/>
          <w:sz w:val="22"/>
          <w:szCs w:val="22"/>
        </w:rPr>
        <w:t>research on policy diffusion</w:t>
      </w:r>
      <w:r>
        <w:rPr>
          <w:rFonts w:ascii="Helvetica" w:hAnsi="Helvetica" w:cs="Times New Roman"/>
          <w:sz w:val="22"/>
          <w:szCs w:val="22"/>
        </w:rPr>
        <w:t xml:space="preserve"> is based on</w:t>
      </w:r>
      <w:r w:rsidRPr="00BD6FFE">
        <w:rPr>
          <w:rFonts w:ascii="Helvetica" w:hAnsi="Helvetica" w:cs="Times New Roman"/>
          <w:sz w:val="22"/>
          <w:szCs w:val="22"/>
        </w:rPr>
        <w:t xml:space="preserve"> large-scale statistical research designs that</w:t>
      </w:r>
      <w:r>
        <w:rPr>
          <w:rFonts w:ascii="Helvetica" w:hAnsi="Helvetica" w:cs="Times New Roman"/>
          <w:sz w:val="22"/>
          <w:szCs w:val="22"/>
        </w:rPr>
        <w:t xml:space="preserve"> </w:t>
      </w:r>
      <w:r w:rsidRPr="00BD6FFE">
        <w:rPr>
          <w:rFonts w:ascii="Helvetica" w:hAnsi="Helvetica" w:cs="Times New Roman"/>
          <w:sz w:val="22"/>
          <w:szCs w:val="22"/>
        </w:rPr>
        <w:t>develop and test general theories about patterns of</w:t>
      </w:r>
      <w:r w:rsidR="007B3001">
        <w:rPr>
          <w:rFonts w:ascii="Helvetica" w:hAnsi="Helvetica" w:cs="Times New Roman"/>
          <w:sz w:val="22"/>
          <w:szCs w:val="22"/>
        </w:rPr>
        <w:t>,</w:t>
      </w:r>
      <w:r w:rsidRPr="00BD6FFE">
        <w:rPr>
          <w:rFonts w:ascii="Helvetica" w:hAnsi="Helvetica" w:cs="Times New Roman"/>
          <w:sz w:val="22"/>
          <w:szCs w:val="22"/>
        </w:rPr>
        <w:t xml:space="preserve"> and explanations</w:t>
      </w:r>
      <w:r w:rsidR="007B3001">
        <w:rPr>
          <w:rFonts w:ascii="Helvetica" w:hAnsi="Helvetica" w:cs="Times New Roman"/>
          <w:sz w:val="22"/>
          <w:szCs w:val="22"/>
        </w:rPr>
        <w:t>,</w:t>
      </w:r>
      <w:r w:rsidRPr="00BD6FFE">
        <w:rPr>
          <w:rFonts w:ascii="Helvetica" w:hAnsi="Helvetica" w:cs="Times New Roman"/>
          <w:sz w:val="22"/>
          <w:szCs w:val="22"/>
        </w:rPr>
        <w:t xml:space="preserve"> for policy diffusion</w:t>
      </w:r>
      <w:r>
        <w:rPr>
          <w:rFonts w:ascii="Helvetica" w:hAnsi="Helvetica" w:cs="Times New Roman"/>
          <w:sz w:val="22"/>
          <w:szCs w:val="22"/>
        </w:rPr>
        <w:t xml:space="preserve">. A </w:t>
      </w:r>
      <w:r w:rsidR="001D53D2">
        <w:rPr>
          <w:rFonts w:ascii="Helvetica" w:hAnsi="Helvetica" w:cs="Times New Roman"/>
          <w:sz w:val="22"/>
          <w:szCs w:val="22"/>
        </w:rPr>
        <w:t xml:space="preserve">valuable </w:t>
      </w:r>
      <w:r>
        <w:rPr>
          <w:rFonts w:ascii="Helvetica" w:hAnsi="Helvetica" w:cs="Times New Roman"/>
          <w:sz w:val="22"/>
          <w:szCs w:val="22"/>
        </w:rPr>
        <w:t xml:space="preserve">recent </w:t>
      </w:r>
      <w:r w:rsidR="000B1A54">
        <w:rPr>
          <w:rFonts w:ascii="Helvetica" w:hAnsi="Helvetica" w:cs="Times New Roman"/>
          <w:sz w:val="22"/>
          <w:szCs w:val="22"/>
        </w:rPr>
        <w:t xml:space="preserve">crime-related </w:t>
      </w:r>
      <w:r>
        <w:rPr>
          <w:rFonts w:ascii="Helvetica" w:hAnsi="Helvetica" w:cs="Times New Roman"/>
          <w:sz w:val="22"/>
          <w:szCs w:val="22"/>
        </w:rPr>
        <w:t xml:space="preserve">example </w:t>
      </w:r>
      <w:r w:rsidR="007F274A">
        <w:rPr>
          <w:rFonts w:ascii="Helvetica" w:hAnsi="Helvetica" w:cs="Times New Roman"/>
          <w:sz w:val="22"/>
          <w:szCs w:val="22"/>
        </w:rPr>
        <w:t>used quantitative network analysis to study</w:t>
      </w:r>
      <w:r w:rsidR="009969CA">
        <w:rPr>
          <w:rFonts w:ascii="Helvetica" w:hAnsi="Helvetica" w:cs="Times New Roman"/>
          <w:sz w:val="22"/>
          <w:szCs w:val="22"/>
        </w:rPr>
        <w:t xml:space="preserve"> </w:t>
      </w:r>
      <w:r w:rsidR="007F274A">
        <w:rPr>
          <w:rFonts w:ascii="Helvetica" w:hAnsi="Helvetica" w:cs="Times New Roman"/>
          <w:sz w:val="22"/>
          <w:szCs w:val="22"/>
        </w:rPr>
        <w:t>the</w:t>
      </w:r>
      <w:r w:rsidR="00476E1A">
        <w:rPr>
          <w:rFonts w:ascii="Helvetica" w:hAnsi="Helvetica" w:cs="Times New Roman"/>
          <w:sz w:val="22"/>
          <w:szCs w:val="22"/>
        </w:rPr>
        <w:t xml:space="preserve"> diffusion and</w:t>
      </w:r>
      <w:r w:rsidR="007F274A">
        <w:rPr>
          <w:rFonts w:ascii="Helvetica" w:hAnsi="Helvetica" w:cs="Times New Roman"/>
          <w:sz w:val="22"/>
          <w:szCs w:val="22"/>
        </w:rPr>
        <w:t xml:space="preserve"> adoption of </w:t>
      </w:r>
      <w:r w:rsidR="00BF3E2E">
        <w:rPr>
          <w:rFonts w:ascii="Helvetica" w:hAnsi="Helvetica" w:cs="Times New Roman"/>
          <w:sz w:val="22"/>
          <w:szCs w:val="22"/>
        </w:rPr>
        <w:t xml:space="preserve">global </w:t>
      </w:r>
      <w:r w:rsidR="007F274A">
        <w:rPr>
          <w:rFonts w:ascii="Helvetica" w:hAnsi="Helvetica" w:cs="Times New Roman"/>
          <w:sz w:val="22"/>
          <w:szCs w:val="22"/>
        </w:rPr>
        <w:t xml:space="preserve">policies and norms relating to </w:t>
      </w:r>
      <w:r w:rsidR="009969CA">
        <w:rPr>
          <w:rFonts w:ascii="Helvetica" w:hAnsi="Helvetica" w:cs="Times New Roman"/>
          <w:sz w:val="22"/>
          <w:szCs w:val="22"/>
        </w:rPr>
        <w:t>transnational crime problems such as</w:t>
      </w:r>
      <w:r w:rsidR="007F274A">
        <w:rPr>
          <w:rFonts w:ascii="Helvetica" w:hAnsi="Helvetica" w:cs="Times New Roman"/>
          <w:sz w:val="22"/>
          <w:szCs w:val="22"/>
        </w:rPr>
        <w:t xml:space="preserve"> corruption,</w:t>
      </w:r>
      <w:r w:rsidR="009969CA">
        <w:rPr>
          <w:rFonts w:ascii="Helvetica" w:hAnsi="Helvetica" w:cs="Times New Roman"/>
          <w:sz w:val="22"/>
          <w:szCs w:val="22"/>
        </w:rPr>
        <w:t xml:space="preserve"> human trafficking, and cybercrime</w:t>
      </w:r>
      <w:r w:rsidR="00BF3E2E">
        <w:rPr>
          <w:rFonts w:ascii="Helvetica" w:hAnsi="Helvetica" w:cs="Times New Roman"/>
          <w:sz w:val="22"/>
          <w:szCs w:val="22"/>
        </w:rPr>
        <w:t xml:space="preserve"> by 193 countries</w:t>
      </w:r>
      <w:r w:rsidR="000F2EA3">
        <w:rPr>
          <w:rFonts w:ascii="Helvetica" w:hAnsi="Helvetica" w:cs="Times New Roman"/>
          <w:sz w:val="22"/>
          <w:szCs w:val="22"/>
        </w:rPr>
        <w:t xml:space="preserve"> (see </w:t>
      </w:r>
      <w:proofErr w:type="spellStart"/>
      <w:r w:rsidR="000F2EA3">
        <w:rPr>
          <w:rFonts w:ascii="Helvetica" w:hAnsi="Helvetica" w:cs="Times New Roman"/>
          <w:sz w:val="22"/>
          <w:szCs w:val="22"/>
        </w:rPr>
        <w:t>Jakobi</w:t>
      </w:r>
      <w:proofErr w:type="spellEnd"/>
      <w:r w:rsidR="000F2EA3">
        <w:rPr>
          <w:rFonts w:ascii="Helvetica" w:hAnsi="Helvetica" w:cs="Times New Roman"/>
          <w:sz w:val="22"/>
          <w:szCs w:val="22"/>
        </w:rPr>
        <w:t xml:space="preserve"> 2013: Appendix 1)</w:t>
      </w:r>
      <w:r w:rsidR="009969CA">
        <w:rPr>
          <w:rFonts w:ascii="Helvetica" w:hAnsi="Helvetica" w:cs="Times New Roman"/>
          <w:sz w:val="22"/>
          <w:szCs w:val="22"/>
        </w:rPr>
        <w:t xml:space="preserve">. </w:t>
      </w:r>
      <w:r w:rsidR="007B3001">
        <w:rPr>
          <w:rFonts w:ascii="Helvetica" w:hAnsi="Helvetica" w:cs="Times New Roman"/>
          <w:sz w:val="22"/>
          <w:szCs w:val="22"/>
        </w:rPr>
        <w:t>A</w:t>
      </w:r>
      <w:r w:rsidR="00BF3E61">
        <w:rPr>
          <w:rFonts w:ascii="Helvetica" w:hAnsi="Helvetica" w:cs="Times New Roman"/>
          <w:sz w:val="22"/>
          <w:szCs w:val="22"/>
        </w:rPr>
        <w:t>nother</w:t>
      </w:r>
      <w:r w:rsidR="007B3001">
        <w:rPr>
          <w:rFonts w:ascii="Helvetica" w:hAnsi="Helvetica" w:cs="Times New Roman"/>
          <w:sz w:val="22"/>
          <w:szCs w:val="22"/>
        </w:rPr>
        <w:t xml:space="preserve"> important study of crime policy diffusion was undert</w:t>
      </w:r>
      <w:r w:rsidR="005E5265">
        <w:rPr>
          <w:rFonts w:ascii="Helvetica" w:hAnsi="Helvetica" w:cs="Times New Roman"/>
          <w:sz w:val="22"/>
          <w:szCs w:val="22"/>
        </w:rPr>
        <w:t>aken</w:t>
      </w:r>
      <w:r w:rsidR="007B3001">
        <w:rPr>
          <w:rFonts w:ascii="Helvetica" w:hAnsi="Helvetica" w:cs="Times New Roman"/>
          <w:sz w:val="22"/>
          <w:szCs w:val="22"/>
        </w:rPr>
        <w:t xml:space="preserve"> by</w:t>
      </w:r>
      <w:r w:rsidR="007B3001" w:rsidRPr="007B3001">
        <w:rPr>
          <w:rFonts w:ascii="Helvetica" w:eastAsia="MS Mincho" w:hAnsi="Helvetica" w:cs="Arial"/>
          <w:color w:val="1A1A1A"/>
          <w:sz w:val="22"/>
          <w:szCs w:val="22"/>
          <w:lang w:eastAsia="ja-JP"/>
        </w:rPr>
        <w:t xml:space="preserve"> </w:t>
      </w:r>
      <w:r w:rsidR="007B3001" w:rsidRPr="007B3001">
        <w:rPr>
          <w:rFonts w:ascii="Helvetica" w:hAnsi="Helvetica" w:cs="Times New Roman"/>
          <w:sz w:val="22"/>
          <w:szCs w:val="22"/>
        </w:rPr>
        <w:t>Sharman (2008)</w:t>
      </w:r>
      <w:r w:rsidR="007B3001">
        <w:rPr>
          <w:rFonts w:ascii="Helvetica" w:hAnsi="Helvetica" w:cs="Times New Roman"/>
          <w:sz w:val="22"/>
          <w:szCs w:val="22"/>
        </w:rPr>
        <w:t xml:space="preserve">, who </w:t>
      </w:r>
      <w:r w:rsidR="007B3001">
        <w:rPr>
          <w:rFonts w:ascii="Helvetica" w:hAnsi="Helvetica" w:cs="Times New Roman"/>
          <w:sz w:val="22"/>
          <w:szCs w:val="22"/>
        </w:rPr>
        <w:lastRenderedPageBreak/>
        <w:t xml:space="preserve">conducted </w:t>
      </w:r>
      <w:r w:rsidR="007B3001" w:rsidRPr="007B3001">
        <w:rPr>
          <w:rFonts w:ascii="Helvetica" w:hAnsi="Helvetica" w:cs="Times New Roman"/>
          <w:sz w:val="22"/>
          <w:szCs w:val="22"/>
        </w:rPr>
        <w:t xml:space="preserve">detailed empirical analysis </w:t>
      </w:r>
      <w:r w:rsidR="007B3001">
        <w:rPr>
          <w:rFonts w:ascii="Helvetica" w:hAnsi="Helvetica" w:cs="Times New Roman"/>
          <w:sz w:val="22"/>
          <w:szCs w:val="22"/>
        </w:rPr>
        <w:t>the diffusion of</w:t>
      </w:r>
      <w:r w:rsidR="007B3001" w:rsidRPr="007B3001">
        <w:rPr>
          <w:rFonts w:ascii="Helvetica" w:hAnsi="Helvetica" w:cs="Times New Roman"/>
          <w:sz w:val="22"/>
          <w:szCs w:val="22"/>
        </w:rPr>
        <w:t xml:space="preserve"> anti</w:t>
      </w:r>
      <w:r w:rsidR="001D53D2">
        <w:rPr>
          <w:rFonts w:ascii="Helvetica" w:hAnsi="Helvetica" w:cs="Times New Roman"/>
          <w:sz w:val="22"/>
          <w:szCs w:val="22"/>
        </w:rPr>
        <w:t>-</w:t>
      </w:r>
      <w:r w:rsidR="007B3001" w:rsidRPr="007B3001">
        <w:rPr>
          <w:rFonts w:ascii="Helvetica" w:hAnsi="Helvetica" w:cs="Times New Roman"/>
          <w:sz w:val="22"/>
          <w:szCs w:val="22"/>
        </w:rPr>
        <w:t xml:space="preserve">money laundering (AML) policies in parts of the developing world. </w:t>
      </w:r>
      <w:r w:rsidR="005E5265">
        <w:rPr>
          <w:rFonts w:ascii="Helvetica" w:hAnsi="Helvetica" w:cs="Times New Roman"/>
          <w:sz w:val="22"/>
          <w:szCs w:val="22"/>
        </w:rPr>
        <w:t xml:space="preserve">In contrast to the statistical approach that characterises much diffusion research, </w:t>
      </w:r>
      <w:r w:rsidR="00795692">
        <w:rPr>
          <w:rFonts w:ascii="Helvetica" w:hAnsi="Helvetica" w:cs="Times New Roman"/>
          <w:sz w:val="22"/>
          <w:szCs w:val="22"/>
        </w:rPr>
        <w:t>Sharman</w:t>
      </w:r>
      <w:r w:rsidR="007B3001">
        <w:rPr>
          <w:rFonts w:ascii="Helvetica" w:hAnsi="Helvetica" w:cs="Times New Roman"/>
          <w:sz w:val="22"/>
          <w:szCs w:val="22"/>
        </w:rPr>
        <w:t xml:space="preserve"> drew heavily on qualitative interviews with key policy actors to demonstrate a</w:t>
      </w:r>
      <w:r w:rsidR="007B3001" w:rsidRPr="007B3001">
        <w:rPr>
          <w:rFonts w:ascii="Helvetica" w:hAnsi="Helvetica" w:cs="Times New Roman"/>
          <w:sz w:val="22"/>
          <w:szCs w:val="22"/>
        </w:rPr>
        <w:t xml:space="preserve"> combination of</w:t>
      </w:r>
      <w:r w:rsidR="00795692">
        <w:rPr>
          <w:rFonts w:ascii="Helvetica" w:hAnsi="Helvetica" w:cs="Times New Roman"/>
          <w:sz w:val="22"/>
          <w:szCs w:val="22"/>
        </w:rPr>
        <w:t xml:space="preserve"> diffusion</w:t>
      </w:r>
      <w:r w:rsidR="007B3001" w:rsidRPr="007B3001">
        <w:rPr>
          <w:rFonts w:ascii="Helvetica" w:hAnsi="Helvetica" w:cs="Times New Roman"/>
          <w:sz w:val="22"/>
          <w:szCs w:val="22"/>
        </w:rPr>
        <w:t xml:space="preserve"> mechanisms in operation at the supra-national level in promoting the widespread </w:t>
      </w:r>
      <w:r w:rsidR="00795692">
        <w:rPr>
          <w:rFonts w:ascii="Helvetica" w:hAnsi="Helvetica" w:cs="Times New Roman"/>
          <w:sz w:val="22"/>
          <w:szCs w:val="22"/>
        </w:rPr>
        <w:t>adoption</w:t>
      </w:r>
      <w:r w:rsidR="001D53D2">
        <w:rPr>
          <w:rFonts w:ascii="Helvetica" w:hAnsi="Helvetica" w:cs="Times New Roman"/>
          <w:sz w:val="22"/>
          <w:szCs w:val="22"/>
        </w:rPr>
        <w:t xml:space="preserve"> </w:t>
      </w:r>
      <w:r w:rsidR="007B3001" w:rsidRPr="007B3001">
        <w:rPr>
          <w:rFonts w:ascii="Helvetica" w:hAnsi="Helvetica" w:cs="Times New Roman"/>
          <w:sz w:val="22"/>
          <w:szCs w:val="22"/>
        </w:rPr>
        <w:t>of AML policies</w:t>
      </w:r>
      <w:r w:rsidR="007B3001">
        <w:rPr>
          <w:rFonts w:ascii="Helvetica" w:hAnsi="Helvetica" w:cs="Times New Roman"/>
          <w:sz w:val="22"/>
          <w:szCs w:val="22"/>
        </w:rPr>
        <w:t xml:space="preserve"> framed by </w:t>
      </w:r>
      <w:r w:rsidR="007B3001" w:rsidRPr="007B3001">
        <w:rPr>
          <w:rFonts w:ascii="Helvetica" w:hAnsi="Helvetica" w:cs="Times New Roman"/>
          <w:sz w:val="22"/>
          <w:szCs w:val="22"/>
        </w:rPr>
        <w:t>the ‘Financial Action Task Force’ (FATF)</w:t>
      </w:r>
      <w:r w:rsidR="007B3001" w:rsidRPr="007B3001">
        <w:rPr>
          <w:rFonts w:ascii="Helvetica" w:hAnsi="Helvetica" w:cs="Times New Roman"/>
          <w:sz w:val="22"/>
          <w:szCs w:val="22"/>
          <w:vertAlign w:val="superscript"/>
        </w:rPr>
        <w:footnoteReference w:id="3"/>
      </w:r>
      <w:r w:rsidR="001D53D2">
        <w:rPr>
          <w:rFonts w:ascii="Helvetica" w:hAnsi="Helvetica" w:cs="Times New Roman"/>
          <w:sz w:val="22"/>
          <w:szCs w:val="22"/>
        </w:rPr>
        <w:t>, despite a lack of strong evidence about their instrumental effectiveness</w:t>
      </w:r>
      <w:r w:rsidR="00795692">
        <w:rPr>
          <w:rFonts w:ascii="Helvetica" w:hAnsi="Helvetica" w:cs="Times New Roman"/>
          <w:sz w:val="22"/>
          <w:szCs w:val="22"/>
        </w:rPr>
        <w:t xml:space="preserve">. These included </w:t>
      </w:r>
      <w:r w:rsidR="007B3001">
        <w:rPr>
          <w:rFonts w:ascii="Helvetica" w:hAnsi="Helvetica" w:cs="Times New Roman"/>
          <w:sz w:val="22"/>
          <w:szCs w:val="22"/>
        </w:rPr>
        <w:t>elements of coercion</w:t>
      </w:r>
      <w:r w:rsidR="00795692">
        <w:rPr>
          <w:rFonts w:ascii="Helvetica" w:hAnsi="Helvetica" w:cs="Times New Roman"/>
          <w:sz w:val="22"/>
          <w:szCs w:val="22"/>
        </w:rPr>
        <w:t xml:space="preserve"> (fear of being blacklisted), competitive pressures to attract inward investment,</w:t>
      </w:r>
      <w:r w:rsidR="007B3001">
        <w:rPr>
          <w:rFonts w:ascii="Helvetica" w:hAnsi="Helvetica" w:cs="Times New Roman"/>
          <w:sz w:val="22"/>
          <w:szCs w:val="22"/>
        </w:rPr>
        <w:t xml:space="preserve"> and a</w:t>
      </w:r>
      <w:r w:rsidR="007B3001" w:rsidRPr="007B3001">
        <w:rPr>
          <w:rFonts w:ascii="Helvetica" w:hAnsi="Helvetica" w:cs="Times New Roman"/>
          <w:sz w:val="22"/>
          <w:szCs w:val="22"/>
        </w:rPr>
        <w:t xml:space="preserve"> degree of policy ‘mimicry’ amongst</w:t>
      </w:r>
      <w:r w:rsidR="007B3001">
        <w:rPr>
          <w:rFonts w:ascii="Helvetica" w:hAnsi="Helvetica" w:cs="Times New Roman"/>
          <w:sz w:val="22"/>
          <w:szCs w:val="22"/>
        </w:rPr>
        <w:t xml:space="preserve"> adopting</w:t>
      </w:r>
      <w:r w:rsidR="007B3001" w:rsidRPr="007B3001">
        <w:rPr>
          <w:rFonts w:ascii="Helvetica" w:hAnsi="Helvetica" w:cs="Times New Roman"/>
          <w:sz w:val="22"/>
          <w:szCs w:val="22"/>
        </w:rPr>
        <w:t xml:space="preserve"> nations</w:t>
      </w:r>
      <w:r w:rsidR="00795692">
        <w:rPr>
          <w:rFonts w:ascii="Helvetica" w:hAnsi="Helvetica" w:cs="Times New Roman"/>
          <w:sz w:val="22"/>
          <w:szCs w:val="22"/>
        </w:rPr>
        <w:t xml:space="preserve">. </w:t>
      </w:r>
      <w:r w:rsidR="007B3001" w:rsidRPr="007B3001">
        <w:rPr>
          <w:rFonts w:ascii="Helvetica" w:hAnsi="Helvetica" w:cs="Times New Roman"/>
          <w:sz w:val="22"/>
          <w:szCs w:val="22"/>
        </w:rPr>
        <w:t xml:space="preserve"> </w:t>
      </w:r>
      <w:r w:rsidR="009969CA">
        <w:rPr>
          <w:rFonts w:ascii="Helvetica" w:hAnsi="Helvetica" w:cs="Times New Roman"/>
          <w:sz w:val="22"/>
          <w:szCs w:val="22"/>
        </w:rPr>
        <w:t>Th</w:t>
      </w:r>
      <w:r w:rsidR="00795692">
        <w:rPr>
          <w:rFonts w:ascii="Helvetica" w:hAnsi="Helvetica" w:cs="Times New Roman"/>
          <w:sz w:val="22"/>
          <w:szCs w:val="22"/>
        </w:rPr>
        <w:t>ese studies of diffusion remain relatively rare within the sphere of crime control</w:t>
      </w:r>
      <w:r w:rsidR="00A33E4B">
        <w:rPr>
          <w:rFonts w:ascii="Helvetica" w:hAnsi="Helvetica" w:cs="Times New Roman"/>
          <w:sz w:val="22"/>
          <w:szCs w:val="22"/>
        </w:rPr>
        <w:t xml:space="preserve">, aside from some works that have examined the spread of certain criminal justice policies between different states of the USA (see for example, </w:t>
      </w:r>
      <w:proofErr w:type="spellStart"/>
      <w:r w:rsidR="00A33E4B">
        <w:rPr>
          <w:rFonts w:ascii="Helvetica" w:hAnsi="Helvetica" w:cs="Times New Roman"/>
          <w:sz w:val="22"/>
          <w:szCs w:val="22"/>
        </w:rPr>
        <w:t>Makse</w:t>
      </w:r>
      <w:proofErr w:type="spellEnd"/>
      <w:r w:rsidR="00A33E4B">
        <w:rPr>
          <w:rFonts w:ascii="Helvetica" w:hAnsi="Helvetica" w:cs="Times New Roman"/>
          <w:sz w:val="22"/>
          <w:szCs w:val="22"/>
        </w:rPr>
        <w:t xml:space="preserve"> and </w:t>
      </w:r>
      <w:proofErr w:type="spellStart"/>
      <w:r w:rsidR="00A33E4B">
        <w:rPr>
          <w:rFonts w:ascii="Helvetica" w:hAnsi="Helvetica" w:cs="Times New Roman"/>
          <w:sz w:val="22"/>
          <w:szCs w:val="22"/>
        </w:rPr>
        <w:t>Volden</w:t>
      </w:r>
      <w:proofErr w:type="spellEnd"/>
      <w:r w:rsidR="00A33E4B">
        <w:rPr>
          <w:rFonts w:ascii="Helvetica" w:hAnsi="Helvetica" w:cs="Times New Roman"/>
          <w:sz w:val="22"/>
          <w:szCs w:val="22"/>
        </w:rPr>
        <w:t xml:space="preserve"> 2011)</w:t>
      </w:r>
      <w:r w:rsidRPr="00BD6FFE">
        <w:rPr>
          <w:rFonts w:ascii="Helvetica" w:hAnsi="Helvetica" w:cs="Times New Roman"/>
          <w:sz w:val="22"/>
          <w:szCs w:val="22"/>
        </w:rPr>
        <w:t xml:space="preserve">. Stone (2004: 547) argues ‘[t]he strength of the diffusion approach has been to generate robust results as to which states are likely to adopt innovations’ but suggests that it is also subject to important limitations. Most notably, measuring policy outcomes with crude dichotomous variables </w:t>
      </w:r>
      <w:r w:rsidR="008C4EF4">
        <w:rPr>
          <w:rFonts w:ascii="Helvetica" w:hAnsi="Helvetica" w:cs="Times New Roman"/>
          <w:sz w:val="22"/>
          <w:szCs w:val="22"/>
        </w:rPr>
        <w:t>offer, at best, correlational findings rather than any ability to</w:t>
      </w:r>
      <w:r w:rsidRPr="00BD6FFE">
        <w:rPr>
          <w:rFonts w:ascii="Helvetica" w:hAnsi="Helvetica" w:cs="Times New Roman"/>
          <w:sz w:val="22"/>
          <w:szCs w:val="22"/>
        </w:rPr>
        <w:t xml:space="preserve"> </w:t>
      </w:r>
      <w:r w:rsidR="008C4EF4">
        <w:rPr>
          <w:rFonts w:ascii="Helvetica" w:hAnsi="Helvetica" w:cs="Times New Roman"/>
          <w:sz w:val="22"/>
          <w:szCs w:val="22"/>
        </w:rPr>
        <w:t xml:space="preserve">something approaching </w:t>
      </w:r>
      <w:r w:rsidRPr="00BD6FFE">
        <w:rPr>
          <w:rFonts w:ascii="Helvetica" w:hAnsi="Helvetica" w:cs="Times New Roman"/>
          <w:sz w:val="22"/>
          <w:szCs w:val="22"/>
        </w:rPr>
        <w:t>causa</w:t>
      </w:r>
      <w:r w:rsidR="008C4EF4">
        <w:rPr>
          <w:rFonts w:ascii="Helvetica" w:hAnsi="Helvetica" w:cs="Times New Roman"/>
          <w:sz w:val="22"/>
          <w:szCs w:val="22"/>
        </w:rPr>
        <w:t>lity</w:t>
      </w:r>
      <w:r w:rsidRPr="00BD6FFE">
        <w:rPr>
          <w:rFonts w:ascii="Helvetica" w:hAnsi="Helvetica" w:cs="Times New Roman"/>
          <w:sz w:val="22"/>
          <w:szCs w:val="22"/>
        </w:rPr>
        <w:t xml:space="preserve">. In other words, </w:t>
      </w:r>
      <w:r w:rsidR="008C4EF4">
        <w:rPr>
          <w:rFonts w:ascii="Helvetica" w:hAnsi="Helvetica" w:cs="Times New Roman"/>
          <w:sz w:val="22"/>
          <w:szCs w:val="22"/>
        </w:rPr>
        <w:t xml:space="preserve">as Stone (2004: 547) puts it, </w:t>
      </w:r>
      <w:r w:rsidRPr="00BD6FFE">
        <w:rPr>
          <w:rFonts w:ascii="Helvetica" w:hAnsi="Helvetica" w:cs="Times New Roman"/>
          <w:sz w:val="22"/>
          <w:szCs w:val="22"/>
        </w:rPr>
        <w:t>‘identifying patterns of policy adoption’ implies the neglect of ‘the political dynamics involved in transfer’</w:t>
      </w:r>
      <w:r w:rsidR="008C4EF4">
        <w:rPr>
          <w:rFonts w:ascii="Helvetica" w:hAnsi="Helvetica" w:cs="Times New Roman"/>
          <w:sz w:val="22"/>
          <w:szCs w:val="22"/>
        </w:rPr>
        <w:t>,</w:t>
      </w:r>
      <w:r w:rsidRPr="00BD6FFE">
        <w:rPr>
          <w:rFonts w:ascii="Helvetica" w:hAnsi="Helvetica" w:cs="Times New Roman"/>
          <w:sz w:val="22"/>
          <w:szCs w:val="22"/>
        </w:rPr>
        <w:t xml:space="preserve"> with the effect that </w:t>
      </w:r>
      <w:r w:rsidR="007B3001">
        <w:rPr>
          <w:rFonts w:ascii="Helvetica" w:hAnsi="Helvetica" w:cs="Times New Roman"/>
          <w:sz w:val="22"/>
          <w:szCs w:val="22"/>
        </w:rPr>
        <w:t xml:space="preserve">many </w:t>
      </w:r>
      <w:r w:rsidRPr="00BD6FFE">
        <w:rPr>
          <w:rFonts w:ascii="Helvetica" w:hAnsi="Helvetica" w:cs="Times New Roman"/>
          <w:sz w:val="22"/>
          <w:szCs w:val="22"/>
        </w:rPr>
        <w:t>‘diffusion’ studies fail to capture the complexity of differences between national contexts</w:t>
      </w:r>
      <w:r w:rsidR="007B3001">
        <w:rPr>
          <w:rFonts w:ascii="Helvetica" w:hAnsi="Helvetica" w:cs="Times New Roman"/>
          <w:sz w:val="22"/>
          <w:szCs w:val="22"/>
        </w:rPr>
        <w:t>.</w:t>
      </w:r>
      <w:r w:rsidR="007B3001" w:rsidRPr="007B3001">
        <w:rPr>
          <w:rFonts w:ascii="Helvetica" w:eastAsia="MS Mincho" w:hAnsi="Helvetica" w:cs="Arial"/>
          <w:color w:val="1A1A1A"/>
          <w:lang w:eastAsia="ja-JP"/>
        </w:rPr>
        <w:t xml:space="preserve"> </w:t>
      </w:r>
    </w:p>
    <w:p w14:paraId="5555BB5D" w14:textId="77777777" w:rsidR="005C1515" w:rsidRDefault="005C1515" w:rsidP="005C1515">
      <w:pPr>
        <w:spacing w:line="480" w:lineRule="auto"/>
        <w:rPr>
          <w:rFonts w:ascii="Helvetica" w:hAnsi="Helvetica" w:cs="Times New Roman"/>
          <w:sz w:val="22"/>
          <w:szCs w:val="22"/>
        </w:rPr>
      </w:pPr>
    </w:p>
    <w:p w14:paraId="5C884240" w14:textId="53D75861" w:rsidR="00AC3056" w:rsidRPr="00BD6FFE" w:rsidRDefault="00AC3056" w:rsidP="00AC3056">
      <w:pPr>
        <w:spacing w:line="480" w:lineRule="auto"/>
        <w:rPr>
          <w:rFonts w:ascii="Helvetica" w:hAnsi="Helvetica" w:cs="Times New Roman"/>
          <w:sz w:val="22"/>
          <w:szCs w:val="22"/>
        </w:rPr>
      </w:pPr>
      <w:r>
        <w:rPr>
          <w:rFonts w:ascii="Helvetica" w:hAnsi="Helvetica" w:cs="Times New Roman"/>
          <w:sz w:val="22"/>
          <w:szCs w:val="22"/>
        </w:rPr>
        <w:t xml:space="preserve">Moving on from diffusion studies, a number of criminologists </w:t>
      </w:r>
      <w:r w:rsidR="001D53D2">
        <w:rPr>
          <w:rFonts w:ascii="Helvetica" w:hAnsi="Helvetica" w:cs="Times New Roman"/>
          <w:sz w:val="22"/>
          <w:szCs w:val="22"/>
        </w:rPr>
        <w:t xml:space="preserve">began to </w:t>
      </w:r>
      <w:r>
        <w:rPr>
          <w:rFonts w:ascii="Helvetica" w:hAnsi="Helvetica" w:cs="Times New Roman"/>
          <w:sz w:val="22"/>
          <w:szCs w:val="22"/>
        </w:rPr>
        <w:t>dr</w:t>
      </w:r>
      <w:r w:rsidR="001D53D2">
        <w:rPr>
          <w:rFonts w:ascii="Helvetica" w:hAnsi="Helvetica" w:cs="Times New Roman"/>
          <w:sz w:val="22"/>
          <w:szCs w:val="22"/>
        </w:rPr>
        <w:t>a</w:t>
      </w:r>
      <w:r>
        <w:rPr>
          <w:rFonts w:ascii="Helvetica" w:hAnsi="Helvetica" w:cs="Times New Roman"/>
          <w:sz w:val="22"/>
          <w:szCs w:val="22"/>
        </w:rPr>
        <w:t xml:space="preserve">w inspiration from notions of </w:t>
      </w:r>
      <w:r w:rsidR="00615FF0">
        <w:rPr>
          <w:rFonts w:ascii="Helvetica" w:hAnsi="Helvetica" w:cs="Times New Roman"/>
          <w:sz w:val="22"/>
          <w:szCs w:val="22"/>
        </w:rPr>
        <w:t xml:space="preserve">‘lesson drawing’ </w:t>
      </w:r>
      <w:r w:rsidR="00313E35">
        <w:rPr>
          <w:rFonts w:ascii="Helvetica" w:hAnsi="Helvetica" w:cs="Times New Roman"/>
          <w:sz w:val="22"/>
          <w:szCs w:val="22"/>
        </w:rPr>
        <w:t xml:space="preserve">(Rose 1991) </w:t>
      </w:r>
      <w:r w:rsidR="00615FF0">
        <w:rPr>
          <w:rFonts w:ascii="Helvetica" w:hAnsi="Helvetica" w:cs="Times New Roman"/>
          <w:sz w:val="22"/>
          <w:szCs w:val="22"/>
        </w:rPr>
        <w:t xml:space="preserve">and </w:t>
      </w:r>
      <w:r>
        <w:rPr>
          <w:rFonts w:ascii="Helvetica" w:hAnsi="Helvetica" w:cs="Times New Roman"/>
          <w:sz w:val="22"/>
          <w:szCs w:val="22"/>
        </w:rPr>
        <w:t xml:space="preserve">‘policy transfer’ </w:t>
      </w:r>
      <w:r w:rsidR="00313E35">
        <w:rPr>
          <w:rFonts w:ascii="Helvetica" w:hAnsi="Helvetica" w:cs="Times New Roman"/>
          <w:sz w:val="22"/>
          <w:szCs w:val="22"/>
        </w:rPr>
        <w:lastRenderedPageBreak/>
        <w:t xml:space="preserve">(Dolowitz and Marsh 1996, 2000) </w:t>
      </w:r>
      <w:r w:rsidR="001D53D2">
        <w:rPr>
          <w:rFonts w:ascii="Helvetica" w:hAnsi="Helvetica" w:cs="Times New Roman"/>
          <w:sz w:val="22"/>
          <w:szCs w:val="22"/>
        </w:rPr>
        <w:t xml:space="preserve">that had </w:t>
      </w:r>
      <w:r>
        <w:rPr>
          <w:rFonts w:ascii="Helvetica" w:hAnsi="Helvetica" w:cs="Times New Roman"/>
          <w:sz w:val="22"/>
          <w:szCs w:val="22"/>
        </w:rPr>
        <w:t>deve</w:t>
      </w:r>
      <w:r w:rsidR="001A10EE">
        <w:rPr>
          <w:rFonts w:ascii="Helvetica" w:hAnsi="Helvetica" w:cs="Times New Roman"/>
          <w:sz w:val="22"/>
          <w:szCs w:val="22"/>
        </w:rPr>
        <w:t>loped within political science</w:t>
      </w:r>
      <w:r w:rsidR="001D53D2">
        <w:rPr>
          <w:rFonts w:ascii="Helvetica" w:hAnsi="Helvetica" w:cs="Times New Roman"/>
          <w:sz w:val="22"/>
          <w:szCs w:val="22"/>
        </w:rPr>
        <w:t>,</w:t>
      </w:r>
      <w:r w:rsidR="001A10EE">
        <w:rPr>
          <w:rFonts w:ascii="Helvetica" w:hAnsi="Helvetica" w:cs="Times New Roman"/>
          <w:sz w:val="22"/>
          <w:szCs w:val="22"/>
        </w:rPr>
        <w:t xml:space="preserve"> </w:t>
      </w:r>
      <w:r>
        <w:rPr>
          <w:rFonts w:ascii="Helvetica" w:hAnsi="Helvetica" w:cs="Times New Roman"/>
          <w:sz w:val="22"/>
          <w:szCs w:val="22"/>
        </w:rPr>
        <w:t xml:space="preserve">and </w:t>
      </w:r>
      <w:r w:rsidR="001D53D2">
        <w:rPr>
          <w:rFonts w:ascii="Helvetica" w:hAnsi="Helvetica" w:cs="Times New Roman"/>
          <w:sz w:val="22"/>
          <w:szCs w:val="22"/>
        </w:rPr>
        <w:t xml:space="preserve">began </w:t>
      </w:r>
      <w:r>
        <w:rPr>
          <w:rFonts w:ascii="Helvetica" w:hAnsi="Helvetica" w:cs="Times New Roman"/>
          <w:sz w:val="22"/>
          <w:szCs w:val="22"/>
        </w:rPr>
        <w:t>app</w:t>
      </w:r>
      <w:r w:rsidR="001D53D2">
        <w:rPr>
          <w:rFonts w:ascii="Helvetica" w:hAnsi="Helvetica" w:cs="Times New Roman"/>
          <w:sz w:val="22"/>
          <w:szCs w:val="22"/>
        </w:rPr>
        <w:t>lying</w:t>
      </w:r>
      <w:r>
        <w:rPr>
          <w:rFonts w:ascii="Helvetica" w:hAnsi="Helvetica" w:cs="Times New Roman"/>
          <w:sz w:val="22"/>
          <w:szCs w:val="22"/>
        </w:rPr>
        <w:t xml:space="preserve"> these ideas within the specific field of crime control. </w:t>
      </w:r>
      <w:r w:rsidRPr="00BD6FFE">
        <w:rPr>
          <w:rFonts w:ascii="Helvetica" w:hAnsi="Helvetica" w:cs="Times New Roman"/>
          <w:sz w:val="22"/>
          <w:szCs w:val="22"/>
        </w:rPr>
        <w:t xml:space="preserve">Such studies </w:t>
      </w:r>
      <w:r w:rsidR="00C37832">
        <w:rPr>
          <w:rFonts w:ascii="Helvetica" w:hAnsi="Helvetica" w:cs="Times New Roman"/>
          <w:sz w:val="22"/>
          <w:szCs w:val="22"/>
        </w:rPr>
        <w:t xml:space="preserve">have </w:t>
      </w:r>
      <w:r w:rsidRPr="00BD6FFE">
        <w:rPr>
          <w:rFonts w:ascii="Helvetica" w:hAnsi="Helvetica" w:cs="Times New Roman"/>
          <w:sz w:val="22"/>
          <w:szCs w:val="22"/>
        </w:rPr>
        <w:t xml:space="preserve">tended to focus in detail upon a particular area of policy and examine the ways in which ‘knowledge about policies, administrative arrangements, institutions and ideas in one political setting (past or present) is used in the development of policies, administrative arrangements, institutions and ideas in another political setting’ (Dolowitz and Marsh 2000: 5). Whereas ‘lesson drawing’ research is concerned with how policy makers voluntarily gather evidence about policy exemplars in other jurisdictions and apply this (or not) to domestic policy problems (Rose 1991, 1993), policy transfer research acknowledges that </w:t>
      </w:r>
      <w:r w:rsidR="00C37832">
        <w:rPr>
          <w:rFonts w:ascii="Helvetica" w:hAnsi="Helvetica" w:cs="Times New Roman"/>
          <w:sz w:val="22"/>
          <w:szCs w:val="22"/>
        </w:rPr>
        <w:t xml:space="preserve">such </w:t>
      </w:r>
      <w:r w:rsidRPr="00BD6FFE">
        <w:rPr>
          <w:rFonts w:ascii="Helvetica" w:hAnsi="Helvetica" w:cs="Times New Roman"/>
          <w:sz w:val="22"/>
          <w:szCs w:val="22"/>
        </w:rPr>
        <w:t xml:space="preserve">policy </w:t>
      </w:r>
      <w:r w:rsidR="00C37832">
        <w:rPr>
          <w:rFonts w:ascii="Helvetica" w:hAnsi="Helvetica" w:cs="Times New Roman"/>
          <w:sz w:val="22"/>
          <w:szCs w:val="22"/>
        </w:rPr>
        <w:t>movement</w:t>
      </w:r>
      <w:r w:rsidR="00C37832" w:rsidRPr="00BD6FFE">
        <w:rPr>
          <w:rFonts w:ascii="Helvetica" w:hAnsi="Helvetica" w:cs="Times New Roman"/>
          <w:sz w:val="22"/>
          <w:szCs w:val="22"/>
        </w:rPr>
        <w:t xml:space="preserve"> </w:t>
      </w:r>
      <w:r w:rsidRPr="00BD6FFE">
        <w:rPr>
          <w:rFonts w:ascii="Helvetica" w:hAnsi="Helvetica" w:cs="Times New Roman"/>
          <w:sz w:val="22"/>
          <w:szCs w:val="22"/>
        </w:rPr>
        <w:t>may be voluntary or coercive</w:t>
      </w:r>
      <w:r w:rsidR="001D53D2">
        <w:rPr>
          <w:rFonts w:ascii="Helvetica" w:hAnsi="Helvetica" w:cs="Times New Roman"/>
          <w:sz w:val="22"/>
          <w:szCs w:val="22"/>
        </w:rPr>
        <w:t>, or some combination</w:t>
      </w:r>
      <w:r w:rsidRPr="00BD6FFE">
        <w:rPr>
          <w:rFonts w:ascii="Helvetica" w:hAnsi="Helvetica" w:cs="Times New Roman"/>
          <w:sz w:val="22"/>
          <w:szCs w:val="22"/>
        </w:rPr>
        <w:t xml:space="preserve"> (Dolowitz and Marsh 1996: 344; James and Lodge 2003). </w:t>
      </w:r>
      <w:r>
        <w:rPr>
          <w:rFonts w:ascii="Helvetica" w:hAnsi="Helvetica" w:cs="Times New Roman"/>
          <w:sz w:val="22"/>
          <w:szCs w:val="22"/>
        </w:rPr>
        <w:t>‘</w:t>
      </w:r>
      <w:r w:rsidRPr="00BD6FFE">
        <w:rPr>
          <w:rFonts w:ascii="Helvetica" w:hAnsi="Helvetica" w:cs="Times New Roman"/>
          <w:sz w:val="22"/>
          <w:szCs w:val="22"/>
        </w:rPr>
        <w:t>Coerci</w:t>
      </w:r>
      <w:r>
        <w:rPr>
          <w:rFonts w:ascii="Helvetica" w:hAnsi="Helvetica" w:cs="Times New Roman"/>
          <w:sz w:val="22"/>
          <w:szCs w:val="22"/>
        </w:rPr>
        <w:t>on’</w:t>
      </w:r>
      <w:r w:rsidRPr="00BD6FFE">
        <w:rPr>
          <w:rFonts w:ascii="Helvetica" w:hAnsi="Helvetica" w:cs="Times New Roman"/>
          <w:sz w:val="22"/>
          <w:szCs w:val="22"/>
        </w:rPr>
        <w:t xml:space="preserve"> implies that </w:t>
      </w:r>
      <w:r w:rsidR="00C37832">
        <w:rPr>
          <w:rFonts w:ascii="Helvetica" w:hAnsi="Helvetica" w:cs="Times New Roman"/>
          <w:sz w:val="22"/>
          <w:szCs w:val="22"/>
        </w:rPr>
        <w:t>it</w:t>
      </w:r>
      <w:r w:rsidRPr="00BD6FFE">
        <w:rPr>
          <w:rFonts w:ascii="Helvetica" w:hAnsi="Helvetica" w:cs="Times New Roman"/>
          <w:sz w:val="22"/>
          <w:szCs w:val="22"/>
        </w:rPr>
        <w:t xml:space="preserve"> may be prompted by ‘one government or supra-national institution pushing, or even forcing, another government to adopt a particular policy’ (Dolowitz and Marsh 1996: 344). One implication of this distinction is that studies of ‘lesson drawing’ are primarily oriented towards the limited objective of enhancing the practice of public policy</w:t>
      </w:r>
      <w:r w:rsidR="00335BFF">
        <w:rPr>
          <w:rFonts w:ascii="Helvetica" w:hAnsi="Helvetica" w:cs="Times New Roman"/>
          <w:sz w:val="22"/>
          <w:szCs w:val="22"/>
        </w:rPr>
        <w:t>-</w:t>
      </w:r>
      <w:r w:rsidRPr="00BD6FFE">
        <w:rPr>
          <w:rFonts w:ascii="Helvetica" w:hAnsi="Helvetica" w:cs="Times New Roman"/>
          <w:sz w:val="22"/>
          <w:szCs w:val="22"/>
        </w:rPr>
        <w:t xml:space="preserve">making </w:t>
      </w:r>
      <w:r w:rsidR="00335BFF">
        <w:rPr>
          <w:rFonts w:ascii="Helvetica" w:hAnsi="Helvetica" w:cs="Times New Roman"/>
          <w:sz w:val="22"/>
          <w:szCs w:val="22"/>
        </w:rPr>
        <w:t>whereas</w:t>
      </w:r>
      <w:r w:rsidR="00335BFF" w:rsidRPr="00BD6FFE">
        <w:rPr>
          <w:rFonts w:ascii="Helvetica" w:hAnsi="Helvetica" w:cs="Times New Roman"/>
          <w:sz w:val="22"/>
          <w:szCs w:val="22"/>
        </w:rPr>
        <w:t xml:space="preserve"> </w:t>
      </w:r>
      <w:r w:rsidRPr="00BD6FFE">
        <w:rPr>
          <w:rFonts w:ascii="Helvetica" w:hAnsi="Helvetica" w:cs="Times New Roman"/>
          <w:sz w:val="22"/>
          <w:szCs w:val="22"/>
        </w:rPr>
        <w:t xml:space="preserve">‘policy transfer’ research has a broader interest in the political dynamics that influence policy movements between contexts. Policy transfer scholars have therefore generally favoured comparative qualitative case studies of </w:t>
      </w:r>
      <w:r w:rsidR="00F67C7B">
        <w:rPr>
          <w:rFonts w:ascii="Helvetica" w:hAnsi="Helvetica" w:cs="Times New Roman"/>
          <w:sz w:val="22"/>
          <w:szCs w:val="22"/>
        </w:rPr>
        <w:t xml:space="preserve">specific </w:t>
      </w:r>
      <w:r w:rsidRPr="00BD6FFE">
        <w:rPr>
          <w:rFonts w:ascii="Helvetica" w:hAnsi="Helvetica" w:cs="Times New Roman"/>
          <w:sz w:val="22"/>
          <w:szCs w:val="22"/>
        </w:rPr>
        <w:t xml:space="preserve">policy areas and their preferred methods for studying the political dynamics of these movements </w:t>
      </w:r>
      <w:r w:rsidR="00335BFF">
        <w:rPr>
          <w:rFonts w:ascii="Helvetica" w:hAnsi="Helvetica" w:cs="Times New Roman"/>
          <w:sz w:val="22"/>
          <w:szCs w:val="22"/>
        </w:rPr>
        <w:t>have tended to centre on</w:t>
      </w:r>
      <w:r w:rsidR="00335BFF" w:rsidRPr="00BD6FFE">
        <w:rPr>
          <w:rFonts w:ascii="Helvetica" w:hAnsi="Helvetica" w:cs="Times New Roman"/>
          <w:sz w:val="22"/>
          <w:szCs w:val="22"/>
        </w:rPr>
        <w:t xml:space="preserve"> </w:t>
      </w:r>
      <w:r w:rsidRPr="00BD6FFE">
        <w:rPr>
          <w:rFonts w:ascii="Helvetica" w:hAnsi="Helvetica" w:cs="Times New Roman"/>
          <w:sz w:val="22"/>
          <w:szCs w:val="22"/>
        </w:rPr>
        <w:t>interviews with active or former contributors who possess insider knowledge of the policy transfer process</w:t>
      </w:r>
      <w:r w:rsidR="00C37832">
        <w:rPr>
          <w:rFonts w:ascii="Helvetica" w:hAnsi="Helvetica" w:cs="Times New Roman"/>
          <w:sz w:val="22"/>
          <w:szCs w:val="22"/>
        </w:rPr>
        <w:t>, together with</w:t>
      </w:r>
      <w:r w:rsidRPr="00BD6FFE">
        <w:rPr>
          <w:rFonts w:ascii="Helvetica" w:hAnsi="Helvetica" w:cs="Times New Roman"/>
          <w:sz w:val="22"/>
          <w:szCs w:val="22"/>
        </w:rPr>
        <w:t xml:space="preserve"> documentary analysis (see Benson and Jordan 2011). </w:t>
      </w:r>
      <w:r w:rsidR="00970D9A">
        <w:rPr>
          <w:rFonts w:ascii="Helvetica" w:hAnsi="Helvetica" w:cs="Times New Roman"/>
          <w:sz w:val="22"/>
          <w:szCs w:val="22"/>
        </w:rPr>
        <w:t xml:space="preserve">Within criminology, a small number of scholars have drawn upon the ideas and terminology associated with policy transfer to try to make sense of the complex interplay of exogenous and indigenous factors that shape crime policy in particular contexts. </w:t>
      </w:r>
      <w:r w:rsidR="00155158">
        <w:rPr>
          <w:rFonts w:ascii="Helvetica" w:hAnsi="Helvetica" w:cs="Times New Roman"/>
          <w:sz w:val="22"/>
          <w:szCs w:val="22"/>
        </w:rPr>
        <w:t>Some</w:t>
      </w:r>
      <w:r w:rsidR="00EC6F1C">
        <w:rPr>
          <w:rFonts w:ascii="Helvetica" w:hAnsi="Helvetica" w:cs="Times New Roman"/>
          <w:sz w:val="22"/>
          <w:szCs w:val="22"/>
        </w:rPr>
        <w:t xml:space="preserve"> of these have</w:t>
      </w:r>
      <w:r w:rsidR="00970D9A">
        <w:rPr>
          <w:rFonts w:ascii="Helvetica" w:hAnsi="Helvetica" w:cs="Times New Roman"/>
          <w:sz w:val="22"/>
          <w:szCs w:val="22"/>
        </w:rPr>
        <w:t xml:space="preserve"> </w:t>
      </w:r>
      <w:r w:rsidR="00155158">
        <w:rPr>
          <w:rFonts w:ascii="Helvetica" w:hAnsi="Helvetica" w:cs="Times New Roman"/>
          <w:sz w:val="22"/>
          <w:szCs w:val="22"/>
        </w:rPr>
        <w:t xml:space="preserve">not </w:t>
      </w:r>
      <w:r w:rsidR="00970D9A">
        <w:rPr>
          <w:rFonts w:ascii="Helvetica" w:hAnsi="Helvetica" w:cs="Times New Roman"/>
          <w:sz w:val="22"/>
          <w:szCs w:val="22"/>
        </w:rPr>
        <w:t xml:space="preserve">been based on </w:t>
      </w:r>
      <w:r w:rsidR="00EC6F1C">
        <w:rPr>
          <w:rFonts w:ascii="Helvetica" w:hAnsi="Helvetica" w:cs="Times New Roman"/>
          <w:sz w:val="22"/>
          <w:szCs w:val="22"/>
        </w:rPr>
        <w:t>original</w:t>
      </w:r>
      <w:r w:rsidR="00970D9A">
        <w:rPr>
          <w:rFonts w:ascii="Helvetica" w:hAnsi="Helvetica" w:cs="Times New Roman"/>
          <w:sz w:val="22"/>
          <w:szCs w:val="22"/>
        </w:rPr>
        <w:t xml:space="preserve"> empirical research but </w:t>
      </w:r>
      <w:r w:rsidR="00EC6F1C">
        <w:rPr>
          <w:rFonts w:ascii="Helvetica" w:hAnsi="Helvetica" w:cs="Times New Roman"/>
          <w:sz w:val="22"/>
          <w:szCs w:val="22"/>
        </w:rPr>
        <w:lastRenderedPageBreak/>
        <w:t xml:space="preserve">rather </w:t>
      </w:r>
      <w:r w:rsidR="00970D9A">
        <w:rPr>
          <w:rFonts w:ascii="Helvetica" w:hAnsi="Helvetica" w:cs="Times New Roman"/>
          <w:sz w:val="22"/>
          <w:szCs w:val="22"/>
        </w:rPr>
        <w:t xml:space="preserve">have drawn upon a range of existing </w:t>
      </w:r>
      <w:r w:rsidR="00EC6F1C">
        <w:rPr>
          <w:rFonts w:ascii="Helvetica" w:hAnsi="Helvetica" w:cs="Times New Roman"/>
          <w:sz w:val="22"/>
          <w:szCs w:val="22"/>
        </w:rPr>
        <w:t xml:space="preserve">studies </w:t>
      </w:r>
      <w:r w:rsidR="00970D9A">
        <w:rPr>
          <w:rFonts w:ascii="Helvetica" w:hAnsi="Helvetica" w:cs="Times New Roman"/>
          <w:sz w:val="22"/>
          <w:szCs w:val="22"/>
        </w:rPr>
        <w:t xml:space="preserve">to provide critical reflections on the problems of attempting to implant crime policies that have emerged in </w:t>
      </w:r>
      <w:r w:rsidR="004C5438">
        <w:rPr>
          <w:rFonts w:ascii="Helvetica" w:hAnsi="Helvetica" w:cs="Times New Roman"/>
          <w:sz w:val="22"/>
          <w:szCs w:val="22"/>
        </w:rPr>
        <w:t>distinctive</w:t>
      </w:r>
      <w:r w:rsidR="00970D9A">
        <w:rPr>
          <w:rFonts w:ascii="Helvetica" w:hAnsi="Helvetica" w:cs="Times New Roman"/>
          <w:sz w:val="22"/>
          <w:szCs w:val="22"/>
        </w:rPr>
        <w:t xml:space="preserve"> political, legal cultural and economic context</w:t>
      </w:r>
      <w:r w:rsidR="00EC6F1C">
        <w:rPr>
          <w:rFonts w:ascii="Helvetica" w:hAnsi="Helvetica" w:cs="Times New Roman"/>
          <w:sz w:val="22"/>
          <w:szCs w:val="22"/>
        </w:rPr>
        <w:t>s</w:t>
      </w:r>
      <w:r w:rsidR="00970D9A">
        <w:rPr>
          <w:rFonts w:ascii="Helvetica" w:hAnsi="Helvetica" w:cs="Times New Roman"/>
          <w:sz w:val="22"/>
          <w:szCs w:val="22"/>
        </w:rPr>
        <w:t xml:space="preserve"> into very different set</w:t>
      </w:r>
      <w:r w:rsidR="00EC6F1C">
        <w:rPr>
          <w:rFonts w:ascii="Helvetica" w:hAnsi="Helvetica" w:cs="Times New Roman"/>
          <w:sz w:val="22"/>
          <w:szCs w:val="22"/>
        </w:rPr>
        <w:t>s</w:t>
      </w:r>
      <w:r w:rsidR="00970D9A">
        <w:rPr>
          <w:rFonts w:ascii="Helvetica" w:hAnsi="Helvetica" w:cs="Times New Roman"/>
          <w:sz w:val="22"/>
          <w:szCs w:val="22"/>
        </w:rPr>
        <w:t xml:space="preserve"> of circumstances (Steinberg 2011, </w:t>
      </w:r>
      <w:proofErr w:type="spellStart"/>
      <w:r w:rsidR="00970D9A">
        <w:rPr>
          <w:rFonts w:ascii="Helvetica" w:hAnsi="Helvetica" w:cs="Times New Roman"/>
          <w:sz w:val="22"/>
          <w:szCs w:val="22"/>
        </w:rPr>
        <w:t>Blaustein</w:t>
      </w:r>
      <w:proofErr w:type="spellEnd"/>
      <w:r w:rsidR="00970D9A">
        <w:rPr>
          <w:rFonts w:ascii="Helvetica" w:hAnsi="Helvetica" w:cs="Times New Roman"/>
          <w:sz w:val="22"/>
          <w:szCs w:val="22"/>
        </w:rPr>
        <w:t xml:space="preserve"> 2016)</w:t>
      </w:r>
    </w:p>
    <w:p w14:paraId="027C2EE7" w14:textId="77777777" w:rsidR="00615FF0" w:rsidRDefault="00615FF0" w:rsidP="005C1515">
      <w:pPr>
        <w:spacing w:line="480" w:lineRule="auto"/>
        <w:rPr>
          <w:rFonts w:ascii="Helvetica" w:hAnsi="Helvetica" w:cs="Times New Roman"/>
          <w:sz w:val="22"/>
          <w:szCs w:val="22"/>
        </w:rPr>
      </w:pPr>
    </w:p>
    <w:p w14:paraId="09F10067" w14:textId="0E3CB679" w:rsidR="005C1515" w:rsidRPr="00BD6FFE" w:rsidRDefault="004C5438" w:rsidP="005C1515">
      <w:pPr>
        <w:spacing w:line="480" w:lineRule="auto"/>
        <w:rPr>
          <w:rFonts w:ascii="Helvetica" w:hAnsi="Helvetica" w:cs="Times New Roman"/>
          <w:sz w:val="22"/>
          <w:szCs w:val="22"/>
        </w:rPr>
      </w:pPr>
      <w:r>
        <w:rPr>
          <w:rFonts w:ascii="Helvetica" w:hAnsi="Helvetica" w:cs="Times New Roman"/>
          <w:sz w:val="22"/>
          <w:szCs w:val="22"/>
        </w:rPr>
        <w:t xml:space="preserve">Direct empirical studies of cross-national crime policy transfer </w:t>
      </w:r>
      <w:r w:rsidR="00697C6F">
        <w:rPr>
          <w:rFonts w:ascii="Helvetica" w:hAnsi="Helvetica" w:cs="Times New Roman"/>
          <w:sz w:val="22"/>
          <w:szCs w:val="22"/>
        </w:rPr>
        <w:t xml:space="preserve">have been </w:t>
      </w:r>
      <w:r>
        <w:rPr>
          <w:rFonts w:ascii="Helvetica" w:hAnsi="Helvetica" w:cs="Times New Roman"/>
          <w:sz w:val="22"/>
          <w:szCs w:val="22"/>
        </w:rPr>
        <w:t xml:space="preserve">rare but </w:t>
      </w:r>
      <w:r w:rsidR="007D2F4C">
        <w:rPr>
          <w:rFonts w:ascii="Helvetica" w:hAnsi="Helvetica" w:cs="Times New Roman"/>
          <w:sz w:val="22"/>
          <w:szCs w:val="22"/>
        </w:rPr>
        <w:t xml:space="preserve">there have been a number of </w:t>
      </w:r>
      <w:r>
        <w:rPr>
          <w:rFonts w:ascii="Helvetica" w:hAnsi="Helvetica" w:cs="Times New Roman"/>
          <w:sz w:val="22"/>
          <w:szCs w:val="22"/>
        </w:rPr>
        <w:t xml:space="preserve">important exemplars. </w:t>
      </w:r>
      <w:r w:rsidR="005C1515" w:rsidRPr="00BD6FFE">
        <w:rPr>
          <w:rFonts w:ascii="Helvetica" w:hAnsi="Helvetica" w:cs="Times New Roman"/>
          <w:sz w:val="22"/>
          <w:szCs w:val="22"/>
        </w:rPr>
        <w:t xml:space="preserve">Prominent examples have focused on ‘zero tolerance policing’, ‘privatized corrections’ and ‘three strikes sentencing’ (Jones and Newburn 2007), and ‘Justice Reinvestment’ (Brown </w:t>
      </w:r>
      <w:r w:rsidR="005C1515" w:rsidRPr="004C5438">
        <w:rPr>
          <w:rFonts w:ascii="Helvetica" w:hAnsi="Helvetica" w:cs="Times New Roman"/>
          <w:i/>
          <w:sz w:val="22"/>
          <w:szCs w:val="22"/>
        </w:rPr>
        <w:t>et al</w:t>
      </w:r>
      <w:r w:rsidR="005C1515" w:rsidRPr="00BD6FFE">
        <w:rPr>
          <w:rFonts w:ascii="Helvetica" w:hAnsi="Helvetica" w:cs="Times New Roman"/>
          <w:sz w:val="22"/>
          <w:szCs w:val="22"/>
        </w:rPr>
        <w:t xml:space="preserve">. 2015). These studies can be seen as critical tests of theoretical propositions that suggest policy transfer is a significant factor in explaining </w:t>
      </w:r>
      <w:r w:rsidR="009969CA">
        <w:rPr>
          <w:rFonts w:ascii="Helvetica" w:hAnsi="Helvetica" w:cs="Times New Roman"/>
          <w:sz w:val="22"/>
          <w:szCs w:val="22"/>
        </w:rPr>
        <w:t xml:space="preserve">the patterns and overall direction of </w:t>
      </w:r>
      <w:r w:rsidR="005C1515" w:rsidRPr="00BD6FFE">
        <w:rPr>
          <w:rFonts w:ascii="Helvetica" w:hAnsi="Helvetica" w:cs="Times New Roman"/>
          <w:sz w:val="22"/>
          <w:szCs w:val="22"/>
        </w:rPr>
        <w:t xml:space="preserve">crime control policy in ‘importer’ jurisdictions. The initial step in such studies </w:t>
      </w:r>
      <w:r w:rsidR="00AC3056">
        <w:rPr>
          <w:rFonts w:ascii="Helvetica" w:hAnsi="Helvetica" w:cs="Times New Roman"/>
          <w:sz w:val="22"/>
          <w:szCs w:val="22"/>
        </w:rPr>
        <w:t>was</w:t>
      </w:r>
      <w:r w:rsidR="005C1515" w:rsidRPr="00BD6FFE">
        <w:rPr>
          <w:rFonts w:ascii="Helvetica" w:hAnsi="Helvetica" w:cs="Times New Roman"/>
          <w:sz w:val="22"/>
          <w:szCs w:val="22"/>
        </w:rPr>
        <w:t xml:space="preserve"> to select specific models or programmes of crime control policy that </w:t>
      </w:r>
      <w:r w:rsidR="009969CA">
        <w:rPr>
          <w:rFonts w:ascii="Helvetica" w:hAnsi="Helvetica" w:cs="Times New Roman"/>
          <w:sz w:val="22"/>
          <w:szCs w:val="22"/>
        </w:rPr>
        <w:t>were widely regarded</w:t>
      </w:r>
      <w:r w:rsidR="005C1515" w:rsidRPr="00BD6FFE">
        <w:rPr>
          <w:rFonts w:ascii="Helvetica" w:hAnsi="Helvetica" w:cs="Times New Roman"/>
          <w:sz w:val="22"/>
          <w:szCs w:val="22"/>
        </w:rPr>
        <w:t xml:space="preserve"> </w:t>
      </w:r>
      <w:r w:rsidR="00697C6F">
        <w:rPr>
          <w:rFonts w:ascii="Helvetica" w:hAnsi="Helvetica" w:cs="Times New Roman"/>
          <w:sz w:val="22"/>
          <w:szCs w:val="22"/>
        </w:rPr>
        <w:t>as having their</w:t>
      </w:r>
      <w:r w:rsidR="005C1515" w:rsidRPr="00BD6FFE">
        <w:rPr>
          <w:rFonts w:ascii="Helvetica" w:hAnsi="Helvetica" w:cs="Times New Roman"/>
          <w:sz w:val="22"/>
          <w:szCs w:val="22"/>
        </w:rPr>
        <w:t xml:space="preserve"> </w:t>
      </w:r>
      <w:r w:rsidR="009969CA">
        <w:rPr>
          <w:rFonts w:ascii="Helvetica" w:hAnsi="Helvetica" w:cs="Times New Roman"/>
          <w:sz w:val="22"/>
          <w:szCs w:val="22"/>
        </w:rPr>
        <w:t>origins in other countries</w:t>
      </w:r>
      <w:r w:rsidR="005C1515" w:rsidRPr="00BD6FFE">
        <w:rPr>
          <w:rFonts w:ascii="Helvetica" w:hAnsi="Helvetica" w:cs="Times New Roman"/>
          <w:sz w:val="22"/>
          <w:szCs w:val="22"/>
        </w:rPr>
        <w:t xml:space="preserve">. Using a combination of systematic documentary analysis (including legislation, policy documents, legislative debates, governmental reports, media accounts etc.) and qualitative interviews with key policy actors, these </w:t>
      </w:r>
      <w:r w:rsidR="009969CA">
        <w:rPr>
          <w:rFonts w:ascii="Helvetica" w:hAnsi="Helvetica" w:cs="Times New Roman"/>
          <w:sz w:val="22"/>
          <w:szCs w:val="22"/>
        </w:rPr>
        <w:t>studies examined</w:t>
      </w:r>
      <w:r w:rsidR="005C1515" w:rsidRPr="00BD6FFE">
        <w:rPr>
          <w:rFonts w:ascii="Helvetica" w:hAnsi="Helvetica" w:cs="Times New Roman"/>
          <w:sz w:val="22"/>
          <w:szCs w:val="22"/>
        </w:rPr>
        <w:t xml:space="preserve"> the empirical evidence to </w:t>
      </w:r>
      <w:r w:rsidR="00AC3056">
        <w:rPr>
          <w:rFonts w:ascii="Helvetica" w:hAnsi="Helvetica" w:cs="Times New Roman"/>
          <w:sz w:val="22"/>
          <w:szCs w:val="22"/>
        </w:rPr>
        <w:t>shed light upon</w:t>
      </w:r>
      <w:r w:rsidR="005C1515" w:rsidRPr="00BD6FFE">
        <w:rPr>
          <w:rFonts w:ascii="Helvetica" w:hAnsi="Helvetica" w:cs="Times New Roman"/>
          <w:sz w:val="22"/>
          <w:szCs w:val="22"/>
        </w:rPr>
        <w:t xml:space="preserve"> the extent, nature and impact of policy transfer processes in recent history. This </w:t>
      </w:r>
      <w:r w:rsidR="005C1515">
        <w:rPr>
          <w:rFonts w:ascii="Helvetica" w:hAnsi="Helvetica" w:cs="Times New Roman"/>
          <w:sz w:val="22"/>
          <w:szCs w:val="22"/>
        </w:rPr>
        <w:t>required</w:t>
      </w:r>
      <w:r w:rsidR="005C1515" w:rsidRPr="00BD6FFE">
        <w:rPr>
          <w:rFonts w:ascii="Helvetica" w:hAnsi="Helvetica" w:cs="Times New Roman"/>
          <w:sz w:val="22"/>
          <w:szCs w:val="22"/>
        </w:rPr>
        <w:t xml:space="preserve"> a critical comparison of the ‘policies’ in both settings (including both broader elements of ‘policy talk’, policy contents and instruments, the ways in which these policies emerged over time, and, where possible, accounts of differences in implementation). It also involved analysis of the processual dimensions of policy change via insider accounts of whether, how far and in what ways the policies travelled from one destination to another, </w:t>
      </w:r>
      <w:r w:rsidR="00EA0BD8">
        <w:rPr>
          <w:rFonts w:ascii="Helvetica" w:hAnsi="Helvetica" w:cs="Times New Roman"/>
          <w:sz w:val="22"/>
          <w:szCs w:val="22"/>
        </w:rPr>
        <w:t xml:space="preserve">which actors and institutions were involved in such processes, </w:t>
      </w:r>
      <w:r w:rsidR="005C1515" w:rsidRPr="00BD6FFE">
        <w:rPr>
          <w:rFonts w:ascii="Helvetica" w:hAnsi="Helvetica" w:cs="Times New Roman"/>
          <w:sz w:val="22"/>
          <w:szCs w:val="22"/>
        </w:rPr>
        <w:t xml:space="preserve">what happened to </w:t>
      </w:r>
      <w:r w:rsidR="00EA0BD8">
        <w:rPr>
          <w:rFonts w:ascii="Helvetica" w:hAnsi="Helvetica" w:cs="Times New Roman"/>
          <w:sz w:val="22"/>
          <w:szCs w:val="22"/>
        </w:rPr>
        <w:t>policies</w:t>
      </w:r>
      <w:r w:rsidR="00EA0BD8" w:rsidRPr="00BD6FFE">
        <w:rPr>
          <w:rFonts w:ascii="Helvetica" w:hAnsi="Helvetica" w:cs="Times New Roman"/>
          <w:sz w:val="22"/>
          <w:szCs w:val="22"/>
        </w:rPr>
        <w:t xml:space="preserve"> </w:t>
      </w:r>
      <w:r w:rsidR="005C1515" w:rsidRPr="00BD6FFE">
        <w:rPr>
          <w:rFonts w:ascii="Helvetica" w:hAnsi="Helvetica" w:cs="Times New Roman"/>
          <w:sz w:val="22"/>
          <w:szCs w:val="22"/>
        </w:rPr>
        <w:t xml:space="preserve">in transit, and how they developed after arrival. The methods deployed in these studies have considerable </w:t>
      </w:r>
      <w:r w:rsidR="005C1515" w:rsidRPr="00BD6FFE">
        <w:rPr>
          <w:rFonts w:ascii="Helvetica" w:hAnsi="Helvetica" w:cs="Times New Roman"/>
          <w:sz w:val="22"/>
          <w:szCs w:val="22"/>
        </w:rPr>
        <w:lastRenderedPageBreak/>
        <w:t>similarity with those of historical and life history analysis</w:t>
      </w:r>
      <w:r w:rsidR="00697C6F">
        <w:rPr>
          <w:rFonts w:ascii="Helvetica" w:hAnsi="Helvetica" w:cs="Times New Roman"/>
          <w:sz w:val="22"/>
          <w:szCs w:val="22"/>
        </w:rPr>
        <w:t xml:space="preserve">, with a </w:t>
      </w:r>
      <w:r w:rsidR="005C1515" w:rsidRPr="00BD6FFE">
        <w:rPr>
          <w:rFonts w:ascii="Helvetica" w:hAnsi="Helvetica" w:cs="Times New Roman"/>
          <w:sz w:val="22"/>
          <w:szCs w:val="22"/>
        </w:rPr>
        <w:t xml:space="preserve">timeframe </w:t>
      </w:r>
      <w:r w:rsidR="00697C6F">
        <w:rPr>
          <w:rFonts w:ascii="Helvetica" w:hAnsi="Helvetica" w:cs="Times New Roman"/>
          <w:sz w:val="22"/>
          <w:szCs w:val="22"/>
        </w:rPr>
        <w:t xml:space="preserve">that </w:t>
      </w:r>
      <w:r w:rsidR="005C1515" w:rsidRPr="00BD6FFE">
        <w:rPr>
          <w:rFonts w:ascii="Helvetica" w:hAnsi="Helvetica" w:cs="Times New Roman"/>
          <w:sz w:val="22"/>
          <w:szCs w:val="22"/>
        </w:rPr>
        <w:t xml:space="preserve">necessitates the accessing of a range of historical archival resources (Tosh, 2015). The policy transfer researcher, like the </w:t>
      </w:r>
      <w:r w:rsidR="00093358">
        <w:rPr>
          <w:rFonts w:ascii="Helvetica" w:hAnsi="Helvetica" w:cs="Times New Roman"/>
          <w:sz w:val="22"/>
          <w:szCs w:val="22"/>
        </w:rPr>
        <w:t xml:space="preserve">contemporary </w:t>
      </w:r>
      <w:r w:rsidR="005C1515" w:rsidRPr="00BD6FFE">
        <w:rPr>
          <w:rFonts w:ascii="Helvetica" w:hAnsi="Helvetica" w:cs="Times New Roman"/>
          <w:sz w:val="22"/>
          <w:szCs w:val="22"/>
        </w:rPr>
        <w:t>historian</w:t>
      </w:r>
      <w:r w:rsidR="00EA0BD8">
        <w:rPr>
          <w:rFonts w:ascii="Helvetica" w:hAnsi="Helvetica" w:cs="Times New Roman"/>
          <w:sz w:val="22"/>
          <w:szCs w:val="22"/>
        </w:rPr>
        <w:t xml:space="preserve"> </w:t>
      </w:r>
      <w:r w:rsidR="00405EFD">
        <w:rPr>
          <w:rFonts w:ascii="Helvetica" w:hAnsi="Helvetica" w:cs="Times New Roman"/>
          <w:sz w:val="22"/>
          <w:szCs w:val="22"/>
        </w:rPr>
        <w:t>(Hennessy, 2013)</w:t>
      </w:r>
      <w:r w:rsidR="005C1515" w:rsidRPr="00BD6FFE">
        <w:rPr>
          <w:rFonts w:ascii="Helvetica" w:hAnsi="Helvetica" w:cs="Times New Roman"/>
          <w:sz w:val="22"/>
          <w:szCs w:val="22"/>
        </w:rPr>
        <w:t xml:space="preserve">, thus faces considerable challenges in identifying and accessing </w:t>
      </w:r>
      <w:r w:rsidR="00093358">
        <w:rPr>
          <w:rFonts w:ascii="Helvetica" w:hAnsi="Helvetica" w:cs="Times New Roman"/>
          <w:sz w:val="22"/>
          <w:szCs w:val="22"/>
        </w:rPr>
        <w:t xml:space="preserve">policy documents and </w:t>
      </w:r>
      <w:r w:rsidR="005C1515" w:rsidRPr="00BD6FFE">
        <w:rPr>
          <w:rFonts w:ascii="Helvetica" w:hAnsi="Helvetica" w:cs="Times New Roman"/>
          <w:sz w:val="22"/>
          <w:szCs w:val="22"/>
        </w:rPr>
        <w:t xml:space="preserve">key policy actors (particularly those at senior levels of government and/or in politically sensitive and securitized areas) and interpreting their accounts of events that occurred sometimes decades ago. </w:t>
      </w:r>
    </w:p>
    <w:p w14:paraId="7DA91B3F" w14:textId="77777777" w:rsidR="005C1515" w:rsidRPr="00BD6FFE" w:rsidRDefault="005C1515" w:rsidP="005C1515">
      <w:pPr>
        <w:spacing w:line="480" w:lineRule="auto"/>
        <w:rPr>
          <w:rFonts w:ascii="Helvetica" w:hAnsi="Helvetica" w:cs="Times New Roman"/>
          <w:sz w:val="22"/>
          <w:szCs w:val="22"/>
        </w:rPr>
      </w:pPr>
    </w:p>
    <w:p w14:paraId="5B874A0E" w14:textId="19838CB6" w:rsidR="005C1515" w:rsidRPr="00BD6FFE" w:rsidRDefault="005C1515" w:rsidP="005C1515">
      <w:pPr>
        <w:spacing w:line="480" w:lineRule="auto"/>
        <w:rPr>
          <w:rFonts w:ascii="Helvetica" w:hAnsi="Helvetica" w:cs="Times New Roman"/>
          <w:sz w:val="22"/>
          <w:szCs w:val="22"/>
        </w:rPr>
      </w:pPr>
      <w:r w:rsidRPr="00BD6FFE">
        <w:rPr>
          <w:rFonts w:ascii="Helvetica" w:hAnsi="Helvetica" w:cs="Times New Roman"/>
          <w:sz w:val="22"/>
          <w:szCs w:val="22"/>
        </w:rPr>
        <w:t>Other</w:t>
      </w:r>
      <w:r w:rsidR="00EA7373">
        <w:rPr>
          <w:rFonts w:ascii="Helvetica" w:hAnsi="Helvetica" w:cs="Times New Roman"/>
          <w:sz w:val="22"/>
          <w:szCs w:val="22"/>
        </w:rPr>
        <w:t>s</w:t>
      </w:r>
      <w:r w:rsidRPr="00BD6FFE">
        <w:rPr>
          <w:rFonts w:ascii="Helvetica" w:hAnsi="Helvetica" w:cs="Times New Roman"/>
          <w:sz w:val="22"/>
          <w:szCs w:val="22"/>
        </w:rPr>
        <w:t xml:space="preserve"> </w:t>
      </w:r>
      <w:r w:rsidR="00EA7373">
        <w:rPr>
          <w:rFonts w:ascii="Helvetica" w:hAnsi="Helvetica" w:cs="Times New Roman"/>
          <w:sz w:val="22"/>
          <w:szCs w:val="22"/>
        </w:rPr>
        <w:t xml:space="preserve">within </w:t>
      </w:r>
      <w:r w:rsidR="00615FF0">
        <w:rPr>
          <w:rFonts w:ascii="Helvetica" w:hAnsi="Helvetica" w:cs="Times New Roman"/>
          <w:sz w:val="22"/>
          <w:szCs w:val="22"/>
        </w:rPr>
        <w:t>criminolog</w:t>
      </w:r>
      <w:r w:rsidR="00EA7373">
        <w:rPr>
          <w:rFonts w:ascii="Helvetica" w:hAnsi="Helvetica" w:cs="Times New Roman"/>
          <w:sz w:val="22"/>
          <w:szCs w:val="22"/>
        </w:rPr>
        <w:t>y</w:t>
      </w:r>
      <w:r w:rsidR="00615FF0">
        <w:rPr>
          <w:rFonts w:ascii="Helvetica" w:hAnsi="Helvetica" w:cs="Times New Roman"/>
          <w:sz w:val="22"/>
          <w:szCs w:val="22"/>
        </w:rPr>
        <w:t xml:space="preserve"> </w:t>
      </w:r>
      <w:r w:rsidRPr="00BD6FFE">
        <w:rPr>
          <w:rFonts w:ascii="Helvetica" w:hAnsi="Helvetica" w:cs="Times New Roman"/>
          <w:sz w:val="22"/>
          <w:szCs w:val="22"/>
        </w:rPr>
        <w:t xml:space="preserve">have adopted a somewhat different approach, providing ‘insider’ accounts of the role of </w:t>
      </w:r>
      <w:r w:rsidR="00AC3056">
        <w:rPr>
          <w:rFonts w:ascii="Helvetica" w:hAnsi="Helvetica" w:cs="Times New Roman"/>
          <w:sz w:val="22"/>
          <w:szCs w:val="22"/>
        </w:rPr>
        <w:t xml:space="preserve">crime </w:t>
      </w:r>
      <w:r w:rsidRPr="00BD6FFE">
        <w:rPr>
          <w:rFonts w:ascii="Helvetica" w:hAnsi="Helvetica" w:cs="Times New Roman"/>
          <w:sz w:val="22"/>
          <w:szCs w:val="22"/>
        </w:rPr>
        <w:t xml:space="preserve">policy transfer ‘as it happens’ by researchers who have been </w:t>
      </w:r>
      <w:r w:rsidR="009969CA">
        <w:rPr>
          <w:rFonts w:ascii="Helvetica" w:hAnsi="Helvetica" w:cs="Times New Roman"/>
          <w:sz w:val="22"/>
          <w:szCs w:val="22"/>
        </w:rPr>
        <w:t>in positions to directly observe or even participate in</w:t>
      </w:r>
      <w:r w:rsidRPr="00BD6FFE">
        <w:rPr>
          <w:rFonts w:ascii="Helvetica" w:hAnsi="Helvetica" w:cs="Times New Roman"/>
          <w:sz w:val="22"/>
          <w:szCs w:val="22"/>
        </w:rPr>
        <w:t xml:space="preserve"> policy development. For example, the personal involvement of </w:t>
      </w:r>
      <w:proofErr w:type="spellStart"/>
      <w:r w:rsidRPr="00BD6FFE">
        <w:rPr>
          <w:rFonts w:ascii="Helvetica" w:hAnsi="Helvetica" w:cs="Times New Roman"/>
          <w:sz w:val="22"/>
          <w:szCs w:val="22"/>
        </w:rPr>
        <w:t>Durn</w:t>
      </w:r>
      <w:r w:rsidR="00BD0D14">
        <w:rPr>
          <w:rFonts w:ascii="Helvetica" w:hAnsi="Helvetica" w:cs="Times New Roman"/>
          <w:sz w:val="22"/>
          <w:szCs w:val="22"/>
        </w:rPr>
        <w:t>e</w:t>
      </w:r>
      <w:r w:rsidRPr="00BD6FFE">
        <w:rPr>
          <w:rFonts w:ascii="Helvetica" w:hAnsi="Helvetica" w:cs="Times New Roman"/>
          <w:sz w:val="22"/>
          <w:szCs w:val="22"/>
        </w:rPr>
        <w:t>scu</w:t>
      </w:r>
      <w:proofErr w:type="spellEnd"/>
      <w:r w:rsidRPr="00BD6FFE">
        <w:rPr>
          <w:rFonts w:ascii="Helvetica" w:hAnsi="Helvetica" w:cs="Times New Roman"/>
          <w:sz w:val="22"/>
          <w:szCs w:val="22"/>
        </w:rPr>
        <w:t xml:space="preserve"> and Haines (2012) in a British-funded probation reform project undertaken in Romania, allowed for a degree of additional ethnographic research to inform their research findings. Although clearly the authors themselves could be seen as agents of transfer, their application of these experiences to scholarly discussions of policy transfer occurred some years later, allow</w:t>
      </w:r>
      <w:r w:rsidR="00EA7373">
        <w:rPr>
          <w:rFonts w:ascii="Helvetica" w:hAnsi="Helvetica" w:cs="Times New Roman"/>
          <w:sz w:val="22"/>
          <w:szCs w:val="22"/>
        </w:rPr>
        <w:t>ing</w:t>
      </w:r>
      <w:r w:rsidRPr="00BD6FFE">
        <w:rPr>
          <w:rFonts w:ascii="Helvetica" w:hAnsi="Helvetica" w:cs="Times New Roman"/>
          <w:sz w:val="22"/>
          <w:szCs w:val="22"/>
        </w:rPr>
        <w:t xml:space="preserve"> for a considerable degree of critical reflection. Similarly, McFarlane and Canton (2014) brought together a range of insider perspectives </w:t>
      </w:r>
      <w:r w:rsidR="00881621">
        <w:rPr>
          <w:rFonts w:ascii="Helvetica" w:hAnsi="Helvetica" w:cs="Times New Roman"/>
          <w:sz w:val="22"/>
          <w:szCs w:val="22"/>
        </w:rPr>
        <w:t>on</w:t>
      </w:r>
      <w:r w:rsidRPr="00BD6FFE">
        <w:rPr>
          <w:rFonts w:ascii="Helvetica" w:hAnsi="Helvetica" w:cs="Times New Roman"/>
          <w:sz w:val="22"/>
          <w:szCs w:val="22"/>
        </w:rPr>
        <w:t xml:space="preserve"> policy transfer relating to a probation reform project between the UK and Turkey. This work, which included practitioner perspectives, provided very significant details about the mechanics and challenges of cross</w:t>
      </w:r>
      <w:r w:rsidR="00155158">
        <w:rPr>
          <w:rFonts w:ascii="Helvetica" w:hAnsi="Helvetica" w:cs="Times New Roman"/>
          <w:sz w:val="22"/>
          <w:szCs w:val="22"/>
        </w:rPr>
        <w:t>-</w:t>
      </w:r>
      <w:r w:rsidRPr="00BD6FFE">
        <w:rPr>
          <w:rFonts w:ascii="Helvetica" w:hAnsi="Helvetica" w:cs="Times New Roman"/>
          <w:sz w:val="22"/>
          <w:szCs w:val="22"/>
        </w:rPr>
        <w:t xml:space="preserve">national policy transfer between the UK and Turkey. </w:t>
      </w:r>
      <w:r w:rsidR="00AC3056">
        <w:rPr>
          <w:rFonts w:ascii="Helvetica" w:hAnsi="Helvetica" w:cs="Times New Roman"/>
          <w:sz w:val="22"/>
          <w:szCs w:val="22"/>
        </w:rPr>
        <w:t>In recent times, a number of doctoral studies undertaken by criminal justice practitioners have explored the policy transfer process from the ‘transfer agent’s’ perspective, including studies by retired police officers working as consultants overseas with a specific brief for designing and implementing policing models based on their experiences in the UK (</w:t>
      </w:r>
      <w:r w:rsidR="00881621">
        <w:rPr>
          <w:rFonts w:ascii="Helvetica" w:hAnsi="Helvetica" w:cs="Times New Roman"/>
          <w:sz w:val="22"/>
          <w:szCs w:val="22"/>
        </w:rPr>
        <w:t>for example, Ha</w:t>
      </w:r>
      <w:r w:rsidR="00762204">
        <w:rPr>
          <w:rFonts w:ascii="Helvetica" w:hAnsi="Helvetica" w:cs="Times New Roman"/>
          <w:sz w:val="22"/>
          <w:szCs w:val="22"/>
        </w:rPr>
        <w:t>r</w:t>
      </w:r>
      <w:r w:rsidR="00881621">
        <w:rPr>
          <w:rFonts w:ascii="Helvetica" w:hAnsi="Helvetica" w:cs="Times New Roman"/>
          <w:sz w:val="22"/>
          <w:szCs w:val="22"/>
        </w:rPr>
        <w:t>tley 201</w:t>
      </w:r>
      <w:r w:rsidR="00FC5FAD">
        <w:rPr>
          <w:rFonts w:ascii="Helvetica" w:hAnsi="Helvetica" w:cs="Times New Roman"/>
          <w:sz w:val="22"/>
          <w:szCs w:val="22"/>
        </w:rPr>
        <w:t>8</w:t>
      </w:r>
      <w:r w:rsidR="00AC3056">
        <w:rPr>
          <w:rFonts w:ascii="Helvetica" w:hAnsi="Helvetica" w:cs="Times New Roman"/>
          <w:sz w:val="22"/>
          <w:szCs w:val="22"/>
        </w:rPr>
        <w:t xml:space="preserve">). </w:t>
      </w:r>
    </w:p>
    <w:p w14:paraId="7030D2D3" w14:textId="77777777" w:rsidR="005C1515" w:rsidRPr="00BD6FFE" w:rsidRDefault="005C1515" w:rsidP="005C1515">
      <w:pPr>
        <w:spacing w:line="480" w:lineRule="auto"/>
        <w:rPr>
          <w:rFonts w:ascii="Helvetica" w:hAnsi="Helvetica" w:cs="Times New Roman"/>
          <w:sz w:val="22"/>
          <w:szCs w:val="22"/>
        </w:rPr>
      </w:pPr>
    </w:p>
    <w:p w14:paraId="241A5C80" w14:textId="70CA8559" w:rsidR="00A915A4" w:rsidRDefault="00881621" w:rsidP="00195E14">
      <w:pPr>
        <w:spacing w:line="480" w:lineRule="auto"/>
        <w:rPr>
          <w:rFonts w:ascii="Helvetica" w:hAnsi="Helvetica" w:cs="Times New Roman"/>
          <w:sz w:val="22"/>
          <w:szCs w:val="22"/>
        </w:rPr>
      </w:pPr>
      <w:r>
        <w:rPr>
          <w:rFonts w:ascii="Helvetica" w:hAnsi="Helvetica" w:cs="Times New Roman"/>
          <w:sz w:val="22"/>
          <w:szCs w:val="22"/>
        </w:rPr>
        <w:t>The</w:t>
      </w:r>
      <w:r w:rsidR="00BD0D14">
        <w:rPr>
          <w:rFonts w:ascii="Helvetica" w:hAnsi="Helvetica" w:cs="Times New Roman"/>
          <w:sz w:val="22"/>
          <w:szCs w:val="22"/>
        </w:rPr>
        <w:t>se</w:t>
      </w:r>
      <w:r>
        <w:rPr>
          <w:rFonts w:ascii="Helvetica" w:hAnsi="Helvetica" w:cs="Times New Roman"/>
          <w:sz w:val="22"/>
          <w:szCs w:val="22"/>
        </w:rPr>
        <w:t xml:space="preserve"> </w:t>
      </w:r>
      <w:r w:rsidR="005C1515" w:rsidRPr="00BD6FFE">
        <w:rPr>
          <w:rFonts w:ascii="Helvetica" w:hAnsi="Helvetica" w:cs="Times New Roman"/>
          <w:sz w:val="22"/>
          <w:szCs w:val="22"/>
        </w:rPr>
        <w:t>criminological studies of policy transfer</w:t>
      </w:r>
      <w:r w:rsidR="00BD0D14">
        <w:rPr>
          <w:rFonts w:ascii="Helvetica" w:hAnsi="Helvetica" w:cs="Times New Roman"/>
          <w:sz w:val="22"/>
          <w:szCs w:val="22"/>
        </w:rPr>
        <w:t xml:space="preserve">, though varying in style and approach, </w:t>
      </w:r>
      <w:r>
        <w:rPr>
          <w:rFonts w:ascii="Helvetica" w:hAnsi="Helvetica" w:cs="Times New Roman"/>
          <w:sz w:val="22"/>
          <w:szCs w:val="22"/>
        </w:rPr>
        <w:t xml:space="preserve">are all </w:t>
      </w:r>
      <w:r w:rsidR="005C1515" w:rsidRPr="00BD6FFE">
        <w:rPr>
          <w:rFonts w:ascii="Helvetica" w:hAnsi="Helvetica" w:cs="Times New Roman"/>
          <w:sz w:val="22"/>
          <w:szCs w:val="22"/>
        </w:rPr>
        <w:t>grounded in ‘realist’ assumptions. That is, they assume a degree of ‘reality’ to policy exists independently of the ways those policies are narrated or discursively constructed (see Marsh and Evans 2012). As such they stand in contrast to those working within ‘critical policy studies’</w:t>
      </w:r>
      <w:r w:rsidR="00072DB9">
        <w:rPr>
          <w:rFonts w:ascii="Helvetica" w:hAnsi="Helvetica" w:cs="Times New Roman"/>
          <w:sz w:val="22"/>
          <w:szCs w:val="22"/>
        </w:rPr>
        <w:t xml:space="preserve"> who have offered a number of trenchant criticisms of</w:t>
      </w:r>
      <w:r w:rsidR="004C5438">
        <w:rPr>
          <w:rFonts w:ascii="Helvetica" w:hAnsi="Helvetica" w:cs="Times New Roman"/>
          <w:sz w:val="22"/>
          <w:szCs w:val="22"/>
        </w:rPr>
        <w:t xml:space="preserve"> what they term</w:t>
      </w:r>
      <w:r w:rsidR="00072DB9">
        <w:rPr>
          <w:rFonts w:ascii="Helvetica" w:hAnsi="Helvetica" w:cs="Times New Roman"/>
          <w:sz w:val="22"/>
          <w:szCs w:val="22"/>
        </w:rPr>
        <w:t xml:space="preserve"> the ‘orthodox’ political science approach </w:t>
      </w:r>
      <w:r w:rsidR="00484C57">
        <w:rPr>
          <w:rFonts w:ascii="Helvetica" w:hAnsi="Helvetica" w:cs="Times New Roman"/>
          <w:sz w:val="22"/>
          <w:szCs w:val="22"/>
        </w:rPr>
        <w:t xml:space="preserve">to </w:t>
      </w:r>
      <w:r w:rsidR="00072DB9">
        <w:rPr>
          <w:rFonts w:ascii="Helvetica" w:hAnsi="Helvetica" w:cs="Times New Roman"/>
          <w:sz w:val="22"/>
          <w:szCs w:val="22"/>
        </w:rPr>
        <w:t xml:space="preserve">studying ‘lesson drawing’ or ‘policy transfers’, and </w:t>
      </w:r>
      <w:r w:rsidR="00484C57">
        <w:rPr>
          <w:rFonts w:ascii="Helvetica" w:hAnsi="Helvetica" w:cs="Times New Roman"/>
          <w:sz w:val="22"/>
          <w:szCs w:val="22"/>
        </w:rPr>
        <w:t xml:space="preserve">who have </w:t>
      </w:r>
      <w:r w:rsidR="00405CA7">
        <w:rPr>
          <w:rFonts w:ascii="Helvetica" w:hAnsi="Helvetica" w:cs="Times New Roman"/>
          <w:sz w:val="22"/>
          <w:szCs w:val="22"/>
        </w:rPr>
        <w:t xml:space="preserve">proposed </w:t>
      </w:r>
      <w:r w:rsidR="00484C57">
        <w:rPr>
          <w:rFonts w:ascii="Helvetica" w:hAnsi="Helvetica" w:cs="Times New Roman"/>
          <w:sz w:val="22"/>
          <w:szCs w:val="22"/>
        </w:rPr>
        <w:t xml:space="preserve">what they take to be </w:t>
      </w:r>
      <w:r w:rsidR="00072DB9">
        <w:rPr>
          <w:rFonts w:ascii="Helvetica" w:hAnsi="Helvetica" w:cs="Times New Roman"/>
          <w:sz w:val="22"/>
          <w:szCs w:val="22"/>
        </w:rPr>
        <w:t>the more fluid and complex notion of ‘policy mobilities’</w:t>
      </w:r>
      <w:r w:rsidR="002D754A" w:rsidRPr="00BD6FFE">
        <w:rPr>
          <w:rFonts w:ascii="Helvetica" w:hAnsi="Helvetica" w:cs="Times New Roman"/>
          <w:sz w:val="22"/>
          <w:szCs w:val="22"/>
        </w:rPr>
        <w:t xml:space="preserve"> (see for example, McCann and Ward 2012</w:t>
      </w:r>
      <w:r w:rsidR="00B37234" w:rsidRPr="00BD6FFE">
        <w:rPr>
          <w:rFonts w:ascii="Helvetica" w:hAnsi="Helvetica" w:cs="Times New Roman"/>
          <w:sz w:val="22"/>
          <w:szCs w:val="22"/>
        </w:rPr>
        <w:t>a</w:t>
      </w:r>
      <w:r w:rsidR="00FA75F6">
        <w:rPr>
          <w:rFonts w:ascii="Helvetica" w:hAnsi="Helvetica" w:cs="Times New Roman"/>
          <w:sz w:val="22"/>
          <w:szCs w:val="22"/>
        </w:rPr>
        <w:t xml:space="preserve">; </w:t>
      </w:r>
      <w:r w:rsidR="002D754A" w:rsidRPr="00BD6FFE">
        <w:rPr>
          <w:rFonts w:ascii="Helvetica" w:hAnsi="Helvetica" w:cs="Times New Roman"/>
          <w:sz w:val="22"/>
          <w:szCs w:val="22"/>
        </w:rPr>
        <w:t>Peck 2012</w:t>
      </w:r>
      <w:r w:rsidR="00FA75F6">
        <w:rPr>
          <w:rFonts w:ascii="Helvetica" w:hAnsi="Helvetica" w:cs="Times New Roman"/>
          <w:sz w:val="22"/>
          <w:szCs w:val="22"/>
        </w:rPr>
        <w:t>;</w:t>
      </w:r>
      <w:r w:rsidR="002D754A" w:rsidRPr="00BD6FFE">
        <w:rPr>
          <w:rFonts w:ascii="Helvetica" w:hAnsi="Helvetica" w:cs="Times New Roman"/>
          <w:sz w:val="22"/>
          <w:szCs w:val="22"/>
        </w:rPr>
        <w:t xml:space="preserve"> Peck and Theodore </w:t>
      </w:r>
      <w:r w:rsidR="00FA75F6">
        <w:rPr>
          <w:rFonts w:ascii="Helvetica" w:hAnsi="Helvetica" w:cs="Times New Roman"/>
          <w:sz w:val="22"/>
          <w:szCs w:val="22"/>
        </w:rPr>
        <w:t xml:space="preserve">2009, </w:t>
      </w:r>
      <w:r w:rsidR="002D754A" w:rsidRPr="00BD6FFE">
        <w:rPr>
          <w:rFonts w:ascii="Helvetica" w:hAnsi="Helvetica" w:cs="Times New Roman"/>
          <w:sz w:val="22"/>
          <w:szCs w:val="22"/>
        </w:rPr>
        <w:t>2010</w:t>
      </w:r>
      <w:r w:rsidR="00FA75F6">
        <w:rPr>
          <w:rFonts w:ascii="Helvetica" w:hAnsi="Helvetica" w:cs="Times New Roman"/>
          <w:sz w:val="22"/>
          <w:szCs w:val="22"/>
        </w:rPr>
        <w:t>;</w:t>
      </w:r>
      <w:r w:rsidR="002D754A" w:rsidRPr="00BD6FFE">
        <w:rPr>
          <w:rFonts w:ascii="Helvetica" w:hAnsi="Helvetica" w:cs="Times New Roman"/>
          <w:sz w:val="22"/>
          <w:szCs w:val="22"/>
        </w:rPr>
        <w:t xml:space="preserve"> </w:t>
      </w:r>
      <w:proofErr w:type="spellStart"/>
      <w:r w:rsidR="002D754A" w:rsidRPr="00BD6FFE">
        <w:rPr>
          <w:rFonts w:ascii="Helvetica" w:hAnsi="Helvetica" w:cs="Times New Roman"/>
          <w:sz w:val="22"/>
          <w:szCs w:val="22"/>
        </w:rPr>
        <w:t>Tenemos</w:t>
      </w:r>
      <w:proofErr w:type="spellEnd"/>
      <w:r w:rsidR="002D754A" w:rsidRPr="00BD6FFE">
        <w:rPr>
          <w:rFonts w:ascii="Helvetica" w:hAnsi="Helvetica" w:cs="Times New Roman"/>
          <w:sz w:val="22"/>
          <w:szCs w:val="22"/>
        </w:rPr>
        <w:t xml:space="preserve"> and McCann 2011)</w:t>
      </w:r>
      <w:r w:rsidR="00072DB9">
        <w:rPr>
          <w:rFonts w:ascii="Helvetica" w:hAnsi="Helvetica" w:cs="Times New Roman"/>
          <w:sz w:val="22"/>
          <w:szCs w:val="22"/>
        </w:rPr>
        <w:t xml:space="preserve">. This critique is </w:t>
      </w:r>
      <w:r w:rsidR="00484C57">
        <w:rPr>
          <w:rFonts w:ascii="Helvetica" w:hAnsi="Helvetica" w:cs="Times New Roman"/>
          <w:sz w:val="22"/>
          <w:szCs w:val="22"/>
        </w:rPr>
        <w:t xml:space="preserve">assessed </w:t>
      </w:r>
      <w:r w:rsidR="00072DB9">
        <w:rPr>
          <w:rFonts w:ascii="Helvetica" w:hAnsi="Helvetica" w:cs="Times New Roman"/>
          <w:sz w:val="22"/>
          <w:szCs w:val="22"/>
        </w:rPr>
        <w:t>in more detail elsewhere (</w:t>
      </w:r>
      <w:r w:rsidR="00E7557F">
        <w:rPr>
          <w:rFonts w:ascii="Helvetica" w:hAnsi="Helvetica" w:cs="Times New Roman"/>
          <w:sz w:val="22"/>
          <w:szCs w:val="22"/>
        </w:rPr>
        <w:t>Newburn et al, 2018</w:t>
      </w:r>
      <w:r w:rsidR="00072DB9">
        <w:rPr>
          <w:rFonts w:ascii="Helvetica" w:hAnsi="Helvetica" w:cs="Times New Roman"/>
          <w:sz w:val="22"/>
          <w:szCs w:val="22"/>
        </w:rPr>
        <w:t>), but in brief such approaches argue that  ‘orthodox accounts’</w:t>
      </w:r>
      <w:r w:rsidR="00484C57">
        <w:rPr>
          <w:rFonts w:ascii="Helvetica" w:hAnsi="Helvetica" w:cs="Times New Roman"/>
          <w:sz w:val="22"/>
          <w:szCs w:val="22"/>
        </w:rPr>
        <w:t>:</w:t>
      </w:r>
      <w:r w:rsidR="00072DB9">
        <w:rPr>
          <w:rFonts w:ascii="Helvetica" w:hAnsi="Helvetica" w:cs="Times New Roman"/>
          <w:sz w:val="22"/>
          <w:szCs w:val="22"/>
        </w:rPr>
        <w:t xml:space="preserve"> a) </w:t>
      </w:r>
      <w:r w:rsidR="002D754A" w:rsidRPr="00BD6FFE">
        <w:rPr>
          <w:rFonts w:ascii="Helvetica" w:hAnsi="Helvetica" w:cs="Times New Roman"/>
          <w:sz w:val="22"/>
          <w:szCs w:val="22"/>
        </w:rPr>
        <w:t>pay insufficient attention to the processes of policy mobilisation and the political/ideological contexts that shape the agency of political actors</w:t>
      </w:r>
      <w:r w:rsidR="00072DB9">
        <w:rPr>
          <w:rFonts w:ascii="Helvetica" w:hAnsi="Helvetica" w:cs="Times New Roman"/>
          <w:sz w:val="22"/>
          <w:szCs w:val="22"/>
        </w:rPr>
        <w:t xml:space="preserve"> b) are</w:t>
      </w:r>
      <w:r w:rsidR="002D754A" w:rsidRPr="00BD6FFE">
        <w:rPr>
          <w:rFonts w:ascii="Helvetica" w:hAnsi="Helvetica" w:cs="Times New Roman"/>
          <w:sz w:val="22"/>
          <w:szCs w:val="22"/>
        </w:rPr>
        <w:t xml:space="preserve"> overly focused on purported policy transfers between nation states</w:t>
      </w:r>
      <w:r w:rsidR="00405CA7">
        <w:rPr>
          <w:rFonts w:ascii="Helvetica" w:hAnsi="Helvetica" w:cs="Times New Roman"/>
          <w:sz w:val="22"/>
          <w:szCs w:val="22"/>
        </w:rPr>
        <w:t>,</w:t>
      </w:r>
      <w:r w:rsidR="00072DB9">
        <w:rPr>
          <w:rFonts w:ascii="Helvetica" w:hAnsi="Helvetica" w:cs="Times New Roman"/>
          <w:sz w:val="22"/>
          <w:szCs w:val="22"/>
        </w:rPr>
        <w:t xml:space="preserve"> c) make simplistic</w:t>
      </w:r>
      <w:r w:rsidR="002D754A" w:rsidRPr="00BD6FFE">
        <w:rPr>
          <w:rFonts w:ascii="Helvetica" w:hAnsi="Helvetica" w:cs="Times New Roman"/>
          <w:sz w:val="22"/>
          <w:szCs w:val="22"/>
        </w:rPr>
        <w:t xml:space="preserve"> assumptions about </w:t>
      </w:r>
      <w:r w:rsidR="00072DB9">
        <w:rPr>
          <w:rFonts w:ascii="Helvetica" w:hAnsi="Helvetica" w:cs="Times New Roman"/>
          <w:sz w:val="22"/>
          <w:szCs w:val="22"/>
        </w:rPr>
        <w:t xml:space="preserve">‘policies’ </w:t>
      </w:r>
      <w:r w:rsidR="002D754A" w:rsidRPr="00BD6FFE">
        <w:rPr>
          <w:rFonts w:ascii="Helvetica" w:hAnsi="Helvetica" w:cs="Times New Roman"/>
          <w:sz w:val="22"/>
          <w:szCs w:val="22"/>
        </w:rPr>
        <w:t>being transferred as complete packages</w:t>
      </w:r>
      <w:r w:rsidR="00072DB9">
        <w:rPr>
          <w:rFonts w:ascii="Helvetica" w:hAnsi="Helvetica" w:cs="Times New Roman"/>
          <w:sz w:val="22"/>
          <w:szCs w:val="22"/>
        </w:rPr>
        <w:t xml:space="preserve"> and d) </w:t>
      </w:r>
      <w:r w:rsidR="005D31CB">
        <w:rPr>
          <w:rFonts w:ascii="Helvetica" w:hAnsi="Helvetica" w:cs="Times New Roman"/>
          <w:sz w:val="22"/>
          <w:szCs w:val="22"/>
        </w:rPr>
        <w:t xml:space="preserve">impute </w:t>
      </w:r>
      <w:r w:rsidR="00072DB9">
        <w:rPr>
          <w:rFonts w:ascii="Helvetica" w:hAnsi="Helvetica" w:cs="Times New Roman"/>
          <w:sz w:val="22"/>
          <w:szCs w:val="22"/>
        </w:rPr>
        <w:t>an implausible</w:t>
      </w:r>
      <w:r w:rsidR="002D754A" w:rsidRPr="00BD6FFE">
        <w:rPr>
          <w:rFonts w:ascii="Helvetica" w:hAnsi="Helvetica" w:cs="Times New Roman"/>
          <w:sz w:val="22"/>
          <w:szCs w:val="22"/>
        </w:rPr>
        <w:t xml:space="preserve"> </w:t>
      </w:r>
      <w:r w:rsidR="005D31CB">
        <w:rPr>
          <w:rFonts w:ascii="Helvetica" w:hAnsi="Helvetica" w:cs="Times New Roman"/>
          <w:sz w:val="22"/>
          <w:szCs w:val="22"/>
        </w:rPr>
        <w:t xml:space="preserve">degree of </w:t>
      </w:r>
      <w:r w:rsidR="002D754A" w:rsidRPr="00BD6FFE">
        <w:rPr>
          <w:rFonts w:ascii="Helvetica" w:hAnsi="Helvetica" w:cs="Times New Roman"/>
          <w:sz w:val="22"/>
          <w:szCs w:val="22"/>
        </w:rPr>
        <w:t>rationality to the process of policy choice</w:t>
      </w:r>
      <w:r w:rsidR="007A56A5">
        <w:rPr>
          <w:rFonts w:ascii="Helvetica" w:hAnsi="Helvetica" w:cs="Times New Roman"/>
          <w:sz w:val="22"/>
          <w:szCs w:val="22"/>
        </w:rPr>
        <w:t>.</w:t>
      </w:r>
      <w:r w:rsidR="002D754A" w:rsidRPr="00BD6FFE">
        <w:rPr>
          <w:rFonts w:ascii="Helvetica" w:hAnsi="Helvetica" w:cs="Times New Roman"/>
          <w:sz w:val="22"/>
          <w:szCs w:val="22"/>
        </w:rPr>
        <w:t xml:space="preserve"> </w:t>
      </w:r>
      <w:r w:rsidR="00072DB9">
        <w:rPr>
          <w:rFonts w:ascii="Helvetica" w:hAnsi="Helvetica" w:cs="Times New Roman"/>
          <w:sz w:val="22"/>
          <w:szCs w:val="22"/>
        </w:rPr>
        <w:t>Rather than attempt to define, measure and track concrete ‘policies’ that</w:t>
      </w:r>
      <w:r w:rsidR="002D754A" w:rsidRPr="00BD6FFE">
        <w:rPr>
          <w:rFonts w:ascii="Helvetica" w:hAnsi="Helvetica" w:cs="Times New Roman"/>
          <w:sz w:val="22"/>
          <w:szCs w:val="22"/>
        </w:rPr>
        <w:t xml:space="preserve"> are stable and coherent</w:t>
      </w:r>
      <w:r w:rsidR="00072DB9">
        <w:rPr>
          <w:rFonts w:ascii="Helvetica" w:hAnsi="Helvetica" w:cs="Times New Roman"/>
          <w:sz w:val="22"/>
          <w:szCs w:val="22"/>
        </w:rPr>
        <w:t xml:space="preserve"> such scholars argue that </w:t>
      </w:r>
      <w:r w:rsidR="002D754A" w:rsidRPr="00BD6FFE">
        <w:rPr>
          <w:rFonts w:ascii="Helvetica" w:hAnsi="Helvetica" w:cs="Times New Roman"/>
          <w:sz w:val="22"/>
          <w:szCs w:val="22"/>
        </w:rPr>
        <w:t>policies should be viewed as</w:t>
      </w:r>
      <w:r w:rsidR="00072DB9">
        <w:rPr>
          <w:rFonts w:ascii="Helvetica" w:hAnsi="Helvetica" w:cs="Times New Roman"/>
          <w:sz w:val="22"/>
          <w:szCs w:val="22"/>
        </w:rPr>
        <w:t xml:space="preserve"> </w:t>
      </w:r>
      <w:r w:rsidR="002D754A" w:rsidRPr="00BD6FFE">
        <w:rPr>
          <w:rFonts w:ascii="Helvetica" w:hAnsi="Helvetica" w:cs="Times New Roman"/>
          <w:sz w:val="22"/>
          <w:szCs w:val="22"/>
        </w:rPr>
        <w:t xml:space="preserve">ever-shifting collections of elements which are always in the process of being (re)assembled. </w:t>
      </w:r>
      <w:r w:rsidR="00072DB9">
        <w:rPr>
          <w:rFonts w:ascii="Helvetica" w:hAnsi="Helvetica" w:cs="Times New Roman"/>
          <w:sz w:val="22"/>
          <w:szCs w:val="22"/>
        </w:rPr>
        <w:t>Such ‘</w:t>
      </w:r>
      <w:r w:rsidR="007A56A5">
        <w:rPr>
          <w:rFonts w:ascii="Helvetica" w:hAnsi="Helvetica" w:cs="Times New Roman"/>
          <w:sz w:val="22"/>
          <w:szCs w:val="22"/>
        </w:rPr>
        <w:t>p</w:t>
      </w:r>
      <w:r w:rsidR="00072DB9">
        <w:rPr>
          <w:rFonts w:ascii="Helvetica" w:hAnsi="Helvetica" w:cs="Times New Roman"/>
          <w:sz w:val="22"/>
          <w:szCs w:val="22"/>
        </w:rPr>
        <w:t>olicy a</w:t>
      </w:r>
      <w:r w:rsidR="005D6899">
        <w:rPr>
          <w:rFonts w:ascii="Helvetica" w:hAnsi="Helvetica" w:cs="Times New Roman"/>
          <w:sz w:val="22"/>
          <w:szCs w:val="22"/>
        </w:rPr>
        <w:t>ssemblages</w:t>
      </w:r>
      <w:r w:rsidR="00072DB9">
        <w:rPr>
          <w:rFonts w:ascii="Helvetica" w:hAnsi="Helvetica" w:cs="Times New Roman"/>
          <w:sz w:val="22"/>
          <w:szCs w:val="22"/>
        </w:rPr>
        <w:t>’</w:t>
      </w:r>
      <w:r w:rsidR="004D5D74" w:rsidRPr="00BD6FFE">
        <w:rPr>
          <w:rFonts w:ascii="Helvetica" w:hAnsi="Helvetica" w:cs="Times New Roman"/>
          <w:sz w:val="22"/>
          <w:szCs w:val="22"/>
        </w:rPr>
        <w:t xml:space="preserve"> </w:t>
      </w:r>
      <w:r w:rsidR="002D754A" w:rsidRPr="00BD6FFE">
        <w:rPr>
          <w:rFonts w:ascii="Helvetica" w:hAnsi="Helvetica" w:cs="Times New Roman"/>
          <w:sz w:val="22"/>
          <w:szCs w:val="22"/>
        </w:rPr>
        <w:t xml:space="preserve">are socially constructed within particular institutional, ideological and political contexts. </w:t>
      </w:r>
      <w:r w:rsidR="005F3C16">
        <w:rPr>
          <w:rFonts w:ascii="Helvetica" w:hAnsi="Helvetica" w:cs="Times New Roman"/>
          <w:sz w:val="22"/>
          <w:szCs w:val="22"/>
        </w:rPr>
        <w:t>The</w:t>
      </w:r>
      <w:r w:rsidR="00195E14">
        <w:rPr>
          <w:rFonts w:ascii="Helvetica" w:hAnsi="Helvetica" w:cs="Times New Roman"/>
          <w:sz w:val="22"/>
          <w:szCs w:val="22"/>
        </w:rPr>
        <w:t xml:space="preserve"> systematic empirical study of such ‘assemblages’</w:t>
      </w:r>
      <w:r w:rsidR="005F3C16">
        <w:rPr>
          <w:rFonts w:ascii="Helvetica" w:hAnsi="Helvetica" w:cs="Times New Roman"/>
          <w:sz w:val="22"/>
          <w:szCs w:val="22"/>
        </w:rPr>
        <w:t xml:space="preserve"> is best undertaken</w:t>
      </w:r>
      <w:r w:rsidR="00195E14">
        <w:rPr>
          <w:rFonts w:ascii="Helvetica" w:hAnsi="Helvetica" w:cs="Times New Roman"/>
          <w:sz w:val="22"/>
          <w:szCs w:val="22"/>
        </w:rPr>
        <w:t xml:space="preserve">, </w:t>
      </w:r>
      <w:r w:rsidR="00195E14" w:rsidRPr="00BD6FFE">
        <w:rPr>
          <w:rFonts w:ascii="Helvetica" w:hAnsi="Helvetica" w:cs="Times New Roman"/>
          <w:sz w:val="22"/>
          <w:szCs w:val="22"/>
        </w:rPr>
        <w:t>McCann and Ward (2012b)</w:t>
      </w:r>
      <w:r w:rsidR="005F3C16">
        <w:rPr>
          <w:rFonts w:ascii="Helvetica" w:hAnsi="Helvetica" w:cs="Times New Roman"/>
          <w:sz w:val="22"/>
          <w:szCs w:val="22"/>
        </w:rPr>
        <w:t xml:space="preserve"> suggest, via the use of </w:t>
      </w:r>
      <w:r w:rsidR="00195E14" w:rsidRPr="00BD6FFE">
        <w:rPr>
          <w:rFonts w:ascii="Helvetica" w:hAnsi="Helvetica" w:cs="Times New Roman"/>
          <w:sz w:val="22"/>
          <w:szCs w:val="22"/>
        </w:rPr>
        <w:t>multi-site ethnographies</w:t>
      </w:r>
      <w:r w:rsidR="005F3C16">
        <w:rPr>
          <w:rFonts w:ascii="Helvetica" w:hAnsi="Helvetica" w:cs="Times New Roman"/>
          <w:sz w:val="22"/>
          <w:szCs w:val="22"/>
        </w:rPr>
        <w:t>,</w:t>
      </w:r>
      <w:r w:rsidR="00195E14" w:rsidRPr="00BD6FFE">
        <w:rPr>
          <w:rFonts w:ascii="Helvetica" w:hAnsi="Helvetica" w:cs="Times New Roman"/>
          <w:sz w:val="22"/>
          <w:szCs w:val="22"/>
        </w:rPr>
        <w:t xml:space="preserve"> enabl</w:t>
      </w:r>
      <w:r w:rsidR="005F3C16">
        <w:rPr>
          <w:rFonts w:ascii="Helvetica" w:hAnsi="Helvetica" w:cs="Times New Roman"/>
          <w:sz w:val="22"/>
          <w:szCs w:val="22"/>
        </w:rPr>
        <w:t>ing</w:t>
      </w:r>
      <w:r w:rsidR="00195E14" w:rsidRPr="00BD6FFE">
        <w:rPr>
          <w:rFonts w:ascii="Helvetica" w:hAnsi="Helvetica" w:cs="Times New Roman"/>
          <w:sz w:val="22"/>
          <w:szCs w:val="22"/>
        </w:rPr>
        <w:t xml:space="preserve"> researchers to capture the dynamism of policy mobilities</w:t>
      </w:r>
      <w:r w:rsidR="00195E14">
        <w:rPr>
          <w:rFonts w:ascii="Helvetica" w:hAnsi="Helvetica" w:cs="Times New Roman"/>
          <w:sz w:val="22"/>
          <w:szCs w:val="22"/>
        </w:rPr>
        <w:t xml:space="preserve"> in </w:t>
      </w:r>
      <w:r w:rsidR="00195E14" w:rsidRPr="00BD6FFE">
        <w:rPr>
          <w:rFonts w:ascii="Helvetica" w:hAnsi="Helvetica" w:cs="Times New Roman"/>
          <w:sz w:val="22"/>
          <w:szCs w:val="22"/>
        </w:rPr>
        <w:t xml:space="preserve">different sites where policy knowledge is created, mobilized and assembled. A similar approach is advocated by Peck and Theodore (2012) who call for a ‘distended case </w:t>
      </w:r>
      <w:r w:rsidR="00195E14" w:rsidRPr="00BD6FFE">
        <w:rPr>
          <w:rFonts w:ascii="Helvetica" w:hAnsi="Helvetica" w:cs="Times New Roman"/>
          <w:sz w:val="22"/>
          <w:szCs w:val="22"/>
        </w:rPr>
        <w:lastRenderedPageBreak/>
        <w:t xml:space="preserve">approach’ that attends to the ‘breadth’ of transnational policy movement, as well as the ‘depth’ in terms of what happens ‘downstream’ in sites of adoption or emulation (including the world of practice and policy implementation). </w:t>
      </w:r>
      <w:r w:rsidR="0070319E">
        <w:rPr>
          <w:rFonts w:ascii="Helvetica" w:hAnsi="Helvetica" w:cs="Times New Roman"/>
          <w:sz w:val="22"/>
          <w:szCs w:val="22"/>
        </w:rPr>
        <w:t xml:space="preserve">Such proposed research designs incorporate a range of methods, including </w:t>
      </w:r>
      <w:r w:rsidR="00195E14" w:rsidRPr="00BD6FFE">
        <w:rPr>
          <w:rFonts w:ascii="Helvetica" w:hAnsi="Helvetica" w:cs="Times New Roman"/>
          <w:sz w:val="22"/>
          <w:szCs w:val="22"/>
        </w:rPr>
        <w:t>ethnograp</w:t>
      </w:r>
      <w:r w:rsidR="0070319E">
        <w:rPr>
          <w:rFonts w:ascii="Helvetica" w:hAnsi="Helvetica" w:cs="Times New Roman"/>
          <w:sz w:val="22"/>
          <w:szCs w:val="22"/>
        </w:rPr>
        <w:t>hic approaches</w:t>
      </w:r>
      <w:r w:rsidR="00195E14" w:rsidRPr="00BD6FFE">
        <w:rPr>
          <w:rFonts w:ascii="Helvetica" w:hAnsi="Helvetica" w:cs="Times New Roman"/>
          <w:sz w:val="22"/>
          <w:szCs w:val="22"/>
        </w:rPr>
        <w:t xml:space="preserve">, qualitative interviews, documentary and archival analysis, and observation. </w:t>
      </w:r>
      <w:r w:rsidR="00155158">
        <w:rPr>
          <w:rFonts w:ascii="Helvetica" w:hAnsi="Helvetica" w:cs="Times New Roman"/>
          <w:sz w:val="22"/>
          <w:szCs w:val="22"/>
        </w:rPr>
        <w:t>Whilst none of these are particularly new or innovative techniques of data collection in themselves</w:t>
      </w:r>
      <w:r w:rsidR="00895A8B">
        <w:rPr>
          <w:rFonts w:ascii="Helvetica" w:hAnsi="Helvetica" w:cs="Times New Roman"/>
          <w:sz w:val="22"/>
          <w:szCs w:val="22"/>
        </w:rPr>
        <w:t xml:space="preserve">, </w:t>
      </w:r>
      <w:r w:rsidR="00155158">
        <w:rPr>
          <w:rFonts w:ascii="Helvetica" w:hAnsi="Helvetica" w:cs="Times New Roman"/>
          <w:sz w:val="22"/>
          <w:szCs w:val="22"/>
        </w:rPr>
        <w:t xml:space="preserve">it is the purposes to which such methods are put that </w:t>
      </w:r>
      <w:r w:rsidR="00895A8B">
        <w:rPr>
          <w:rFonts w:ascii="Helvetica" w:hAnsi="Helvetica" w:cs="Times New Roman"/>
          <w:sz w:val="22"/>
          <w:szCs w:val="22"/>
        </w:rPr>
        <w:t xml:space="preserve">are distinctive (McCann and Ward 2012b). </w:t>
      </w:r>
    </w:p>
    <w:p w14:paraId="23AE82CA" w14:textId="77777777" w:rsidR="00A915A4" w:rsidRDefault="00A915A4" w:rsidP="00195E14">
      <w:pPr>
        <w:spacing w:line="480" w:lineRule="auto"/>
        <w:rPr>
          <w:rFonts w:ascii="Helvetica" w:hAnsi="Helvetica" w:cs="Times New Roman"/>
          <w:sz w:val="22"/>
          <w:szCs w:val="22"/>
        </w:rPr>
      </w:pPr>
    </w:p>
    <w:p w14:paraId="5A547762" w14:textId="57BD2C4F" w:rsidR="00195E14" w:rsidRPr="00BD6FFE" w:rsidRDefault="00895A8B" w:rsidP="00195E14">
      <w:pPr>
        <w:spacing w:line="480" w:lineRule="auto"/>
        <w:rPr>
          <w:rFonts w:ascii="Helvetica" w:hAnsi="Helvetica" w:cs="Times New Roman"/>
          <w:sz w:val="22"/>
          <w:szCs w:val="22"/>
        </w:rPr>
      </w:pPr>
      <w:r w:rsidRPr="00895A8B">
        <w:rPr>
          <w:rFonts w:ascii="Helvetica" w:hAnsi="Helvetica" w:cs="Times New Roman"/>
          <w:sz w:val="22"/>
          <w:szCs w:val="22"/>
        </w:rPr>
        <w:t xml:space="preserve">Whilst traditional policy research has focused on territorially bounded research sites, </w:t>
      </w:r>
      <w:r>
        <w:rPr>
          <w:rFonts w:ascii="Helvetica" w:hAnsi="Helvetica" w:cs="Times New Roman"/>
          <w:sz w:val="22"/>
          <w:szCs w:val="22"/>
        </w:rPr>
        <w:t xml:space="preserve">mobilities </w:t>
      </w:r>
      <w:r w:rsidRPr="00895A8B">
        <w:rPr>
          <w:rFonts w:ascii="Helvetica" w:hAnsi="Helvetica" w:cs="Times New Roman"/>
          <w:sz w:val="22"/>
          <w:szCs w:val="22"/>
        </w:rPr>
        <w:t>researcher</w:t>
      </w:r>
      <w:r w:rsidR="00A33C31">
        <w:rPr>
          <w:rFonts w:ascii="Helvetica" w:hAnsi="Helvetica" w:cs="Times New Roman"/>
          <w:sz w:val="22"/>
          <w:szCs w:val="22"/>
        </w:rPr>
        <w:t>s</w:t>
      </w:r>
      <w:r w:rsidRPr="00895A8B">
        <w:rPr>
          <w:rFonts w:ascii="Helvetica" w:hAnsi="Helvetica" w:cs="Times New Roman"/>
          <w:sz w:val="22"/>
          <w:szCs w:val="22"/>
        </w:rPr>
        <w:t xml:space="preserve"> </w:t>
      </w:r>
      <w:r>
        <w:rPr>
          <w:rFonts w:ascii="Helvetica" w:hAnsi="Helvetica" w:cs="Times New Roman"/>
          <w:sz w:val="22"/>
          <w:szCs w:val="22"/>
        </w:rPr>
        <w:t>explore</w:t>
      </w:r>
      <w:r w:rsidRPr="00895A8B">
        <w:rPr>
          <w:rFonts w:ascii="Helvetica" w:hAnsi="Helvetica" w:cs="Times New Roman"/>
          <w:sz w:val="22"/>
          <w:szCs w:val="22"/>
        </w:rPr>
        <w:t xml:space="preserve"> the multiple and mobile situations which work to shape policies. According to McCann and Ward</w:t>
      </w:r>
      <w:r w:rsidR="00A915A4">
        <w:rPr>
          <w:rFonts w:ascii="Helvetica" w:hAnsi="Helvetica" w:cs="Times New Roman"/>
          <w:sz w:val="22"/>
          <w:szCs w:val="22"/>
        </w:rPr>
        <w:t xml:space="preserve"> (2012b</w:t>
      </w:r>
      <w:r w:rsidR="00550932">
        <w:rPr>
          <w:rFonts w:ascii="Helvetica" w:hAnsi="Helvetica" w:cs="Times New Roman"/>
          <w:sz w:val="22"/>
          <w:szCs w:val="22"/>
        </w:rPr>
        <w:t>: 46</w:t>
      </w:r>
      <w:r w:rsidR="00A915A4">
        <w:rPr>
          <w:rFonts w:ascii="Helvetica" w:hAnsi="Helvetica" w:cs="Times New Roman"/>
          <w:sz w:val="22"/>
          <w:szCs w:val="22"/>
        </w:rPr>
        <w:t>)</w:t>
      </w:r>
      <w:r w:rsidRPr="00895A8B">
        <w:rPr>
          <w:rFonts w:ascii="Helvetica" w:hAnsi="Helvetica" w:cs="Times New Roman"/>
          <w:sz w:val="22"/>
          <w:szCs w:val="22"/>
        </w:rPr>
        <w:t>, this necessitates an approach of ‘studying through’, which suggests the ‘following of people, policies and places’ through space and time (see also Marcus 1995 on multi-site ethnography)</w:t>
      </w:r>
      <w:r>
        <w:rPr>
          <w:rFonts w:ascii="Helvetica" w:hAnsi="Helvetica" w:cs="Times New Roman"/>
          <w:sz w:val="22"/>
          <w:szCs w:val="22"/>
        </w:rPr>
        <w:t xml:space="preserve">. </w:t>
      </w:r>
      <w:r w:rsidRPr="00895A8B">
        <w:rPr>
          <w:rFonts w:ascii="Helvetica" w:hAnsi="Helvetica" w:cs="Times New Roman"/>
          <w:sz w:val="22"/>
          <w:szCs w:val="22"/>
        </w:rPr>
        <w:t>Researchers need to explore ways of ‘moving with’ the key transfer agents and other policy actors who construct, circulate, resist, modify or consume ‘policies’ through their day-to-day practices</w:t>
      </w:r>
      <w:r w:rsidR="00A915A4">
        <w:rPr>
          <w:rFonts w:ascii="Helvetica" w:hAnsi="Helvetica" w:cs="Times New Roman"/>
          <w:sz w:val="22"/>
          <w:szCs w:val="22"/>
        </w:rPr>
        <w:t xml:space="preserve">. </w:t>
      </w:r>
      <w:r w:rsidR="006626E0">
        <w:rPr>
          <w:rFonts w:ascii="Helvetica" w:hAnsi="Helvetica" w:cs="Times New Roman"/>
          <w:sz w:val="22"/>
          <w:szCs w:val="22"/>
        </w:rPr>
        <w:t xml:space="preserve">Such approaches draw heavily upon </w:t>
      </w:r>
      <w:r w:rsidR="006626E0" w:rsidRPr="006626E0">
        <w:rPr>
          <w:rFonts w:ascii="Helvetica" w:hAnsi="Helvetica" w:cs="Times New Roman"/>
          <w:sz w:val="22"/>
          <w:szCs w:val="22"/>
        </w:rPr>
        <w:t xml:space="preserve">earlier work on </w:t>
      </w:r>
      <w:r w:rsidR="006626E0">
        <w:rPr>
          <w:rFonts w:ascii="Helvetica" w:hAnsi="Helvetica" w:cs="Times New Roman"/>
          <w:sz w:val="22"/>
          <w:szCs w:val="22"/>
        </w:rPr>
        <w:t>‘</w:t>
      </w:r>
      <w:r w:rsidR="006626E0" w:rsidRPr="006626E0">
        <w:rPr>
          <w:rFonts w:ascii="Helvetica" w:hAnsi="Helvetica" w:cs="Times New Roman"/>
          <w:sz w:val="22"/>
          <w:szCs w:val="22"/>
        </w:rPr>
        <w:t>multi-site</w:t>
      </w:r>
      <w:r w:rsidR="006626E0">
        <w:rPr>
          <w:rFonts w:ascii="Helvetica" w:hAnsi="Helvetica" w:cs="Times New Roman"/>
          <w:sz w:val="22"/>
          <w:szCs w:val="22"/>
        </w:rPr>
        <w:t>’ and ‘global’</w:t>
      </w:r>
      <w:r w:rsidR="006626E0" w:rsidRPr="006626E0">
        <w:rPr>
          <w:rFonts w:ascii="Helvetica" w:hAnsi="Helvetica" w:cs="Times New Roman"/>
          <w:sz w:val="22"/>
          <w:szCs w:val="22"/>
        </w:rPr>
        <w:t xml:space="preserve"> ethnography </w:t>
      </w:r>
      <w:r w:rsidR="006626E0">
        <w:rPr>
          <w:rFonts w:ascii="Helvetica" w:hAnsi="Helvetica" w:cs="Times New Roman"/>
          <w:sz w:val="22"/>
          <w:szCs w:val="22"/>
        </w:rPr>
        <w:t xml:space="preserve">respectively </w:t>
      </w:r>
      <w:r w:rsidR="006626E0" w:rsidRPr="006626E0">
        <w:rPr>
          <w:rFonts w:ascii="Helvetica" w:hAnsi="Helvetica" w:cs="Times New Roman"/>
          <w:sz w:val="22"/>
          <w:szCs w:val="22"/>
        </w:rPr>
        <w:t>(Marcus 1995</w:t>
      </w:r>
      <w:r w:rsidR="006626E0">
        <w:rPr>
          <w:rFonts w:ascii="Helvetica" w:hAnsi="Helvetica" w:cs="Times New Roman"/>
          <w:sz w:val="22"/>
          <w:szCs w:val="22"/>
        </w:rPr>
        <w:t xml:space="preserve">, </w:t>
      </w:r>
      <w:proofErr w:type="spellStart"/>
      <w:r w:rsidR="006626E0" w:rsidRPr="006626E0">
        <w:rPr>
          <w:rFonts w:ascii="Helvetica" w:hAnsi="Helvetica" w:cs="Times New Roman"/>
          <w:sz w:val="22"/>
          <w:szCs w:val="22"/>
        </w:rPr>
        <w:t>Burawoy</w:t>
      </w:r>
      <w:proofErr w:type="spellEnd"/>
      <w:r w:rsidR="006626E0" w:rsidRPr="006626E0">
        <w:rPr>
          <w:rFonts w:ascii="Helvetica" w:hAnsi="Helvetica" w:cs="Times New Roman"/>
          <w:sz w:val="22"/>
          <w:szCs w:val="22"/>
        </w:rPr>
        <w:t xml:space="preserve"> </w:t>
      </w:r>
      <w:r w:rsidR="00397FBF" w:rsidRPr="000A1533">
        <w:rPr>
          <w:rFonts w:ascii="Helvetica" w:hAnsi="Helvetica" w:cs="Times New Roman"/>
          <w:i/>
          <w:sz w:val="22"/>
          <w:szCs w:val="22"/>
        </w:rPr>
        <w:t>et al</w:t>
      </w:r>
      <w:r w:rsidR="00397FBF">
        <w:rPr>
          <w:rFonts w:ascii="Helvetica" w:hAnsi="Helvetica" w:cs="Times New Roman"/>
          <w:sz w:val="22"/>
          <w:szCs w:val="22"/>
        </w:rPr>
        <w:t>. 2000</w:t>
      </w:r>
      <w:r w:rsidR="006626E0" w:rsidRPr="006626E0">
        <w:rPr>
          <w:rFonts w:ascii="Helvetica" w:hAnsi="Helvetica" w:cs="Times New Roman"/>
          <w:sz w:val="22"/>
          <w:szCs w:val="22"/>
        </w:rPr>
        <w:t>) that emerged in response to challenge</w:t>
      </w:r>
      <w:r w:rsidR="006626E0">
        <w:rPr>
          <w:rFonts w:ascii="Helvetica" w:hAnsi="Helvetica" w:cs="Times New Roman"/>
          <w:sz w:val="22"/>
          <w:szCs w:val="22"/>
        </w:rPr>
        <w:t>s</w:t>
      </w:r>
      <w:r w:rsidR="006626E0" w:rsidRPr="006626E0">
        <w:rPr>
          <w:rFonts w:ascii="Helvetica" w:hAnsi="Helvetica" w:cs="Times New Roman"/>
          <w:sz w:val="22"/>
          <w:szCs w:val="22"/>
        </w:rPr>
        <w:t xml:space="preserve"> </w:t>
      </w:r>
      <w:r w:rsidR="006626E0">
        <w:rPr>
          <w:rFonts w:ascii="Helvetica" w:hAnsi="Helvetica" w:cs="Times New Roman"/>
          <w:sz w:val="22"/>
          <w:szCs w:val="22"/>
        </w:rPr>
        <w:t xml:space="preserve">to </w:t>
      </w:r>
      <w:r w:rsidR="006626E0" w:rsidRPr="006626E0">
        <w:rPr>
          <w:rFonts w:ascii="Helvetica" w:hAnsi="Helvetica" w:cs="Times New Roman"/>
          <w:sz w:val="22"/>
          <w:szCs w:val="22"/>
        </w:rPr>
        <w:t xml:space="preserve">the validity of many existing social scientific research methods by </w:t>
      </w:r>
      <w:r w:rsidR="006626E0">
        <w:rPr>
          <w:rFonts w:ascii="Helvetica" w:hAnsi="Helvetica" w:cs="Times New Roman"/>
          <w:sz w:val="22"/>
          <w:szCs w:val="22"/>
        </w:rPr>
        <w:t xml:space="preserve">the </w:t>
      </w:r>
      <w:proofErr w:type="spellStart"/>
      <w:r w:rsidR="006626E0" w:rsidRPr="006626E0">
        <w:rPr>
          <w:rFonts w:ascii="Helvetica" w:hAnsi="Helvetica" w:cs="Times New Roman"/>
          <w:sz w:val="22"/>
          <w:szCs w:val="22"/>
        </w:rPr>
        <w:t>disembedding</w:t>
      </w:r>
      <w:proofErr w:type="spellEnd"/>
      <w:r w:rsidR="006626E0" w:rsidRPr="006626E0">
        <w:rPr>
          <w:rFonts w:ascii="Helvetica" w:hAnsi="Helvetica" w:cs="Times New Roman"/>
          <w:sz w:val="22"/>
          <w:szCs w:val="22"/>
        </w:rPr>
        <w:t xml:space="preserve"> </w:t>
      </w:r>
      <w:r w:rsidR="006626E0">
        <w:rPr>
          <w:rFonts w:ascii="Helvetica" w:hAnsi="Helvetica" w:cs="Times New Roman"/>
          <w:sz w:val="22"/>
          <w:szCs w:val="22"/>
        </w:rPr>
        <w:t xml:space="preserve">of </w:t>
      </w:r>
      <w:r w:rsidR="006626E0" w:rsidRPr="006626E0">
        <w:rPr>
          <w:rFonts w:ascii="Helvetica" w:hAnsi="Helvetica" w:cs="Times New Roman"/>
          <w:sz w:val="22"/>
          <w:szCs w:val="22"/>
        </w:rPr>
        <w:t>social relations from particular communities and places. This has proved a particular challenge for</w:t>
      </w:r>
      <w:r w:rsidR="006626E0">
        <w:rPr>
          <w:rFonts w:ascii="Helvetica" w:hAnsi="Helvetica" w:cs="Times New Roman"/>
          <w:sz w:val="22"/>
          <w:szCs w:val="22"/>
        </w:rPr>
        <w:t xml:space="preserve"> </w:t>
      </w:r>
      <w:r w:rsidR="006626E0" w:rsidRPr="006626E0">
        <w:rPr>
          <w:rFonts w:ascii="Helvetica" w:hAnsi="Helvetica" w:cs="Times New Roman"/>
          <w:sz w:val="22"/>
          <w:szCs w:val="22"/>
        </w:rPr>
        <w:t>ethnograph</w:t>
      </w:r>
      <w:r w:rsidR="006626E0">
        <w:rPr>
          <w:rFonts w:ascii="Helvetica" w:hAnsi="Helvetica" w:cs="Times New Roman"/>
          <w:sz w:val="22"/>
          <w:szCs w:val="22"/>
        </w:rPr>
        <w:t xml:space="preserve">ic </w:t>
      </w:r>
      <w:r w:rsidR="000A1533">
        <w:rPr>
          <w:rFonts w:ascii="Helvetica" w:hAnsi="Helvetica" w:cs="Times New Roman"/>
          <w:sz w:val="22"/>
          <w:szCs w:val="22"/>
        </w:rPr>
        <w:t>techniques</w:t>
      </w:r>
      <w:r w:rsidR="006626E0">
        <w:rPr>
          <w:rFonts w:ascii="Helvetica" w:hAnsi="Helvetica" w:cs="Times New Roman"/>
          <w:sz w:val="22"/>
          <w:szCs w:val="22"/>
        </w:rPr>
        <w:t xml:space="preserve"> that </w:t>
      </w:r>
      <w:r w:rsidR="006626E0" w:rsidRPr="006626E0">
        <w:rPr>
          <w:rFonts w:ascii="Helvetica" w:hAnsi="Helvetica" w:cs="Times New Roman"/>
          <w:sz w:val="22"/>
          <w:szCs w:val="22"/>
        </w:rPr>
        <w:t>aim to obtain a deep understanding of social relations by ‘being there’</w:t>
      </w:r>
      <w:r w:rsidR="006626E0">
        <w:rPr>
          <w:rFonts w:ascii="Helvetica" w:hAnsi="Helvetica" w:cs="Times New Roman"/>
          <w:sz w:val="22"/>
          <w:szCs w:val="22"/>
        </w:rPr>
        <w:t xml:space="preserve"> in particular research sites</w:t>
      </w:r>
      <w:r w:rsidR="006626E0" w:rsidRPr="006626E0">
        <w:rPr>
          <w:rFonts w:ascii="Helvetica" w:hAnsi="Helvetica" w:cs="Times New Roman"/>
          <w:sz w:val="22"/>
          <w:szCs w:val="22"/>
        </w:rPr>
        <w:t xml:space="preserve">. One possible answer to this is that global ethnographers should </w:t>
      </w:r>
      <w:r w:rsidR="00397FBF">
        <w:rPr>
          <w:rFonts w:ascii="Helvetica" w:hAnsi="Helvetica" w:cs="Times New Roman"/>
          <w:sz w:val="22"/>
          <w:szCs w:val="22"/>
        </w:rPr>
        <w:t xml:space="preserve">try to </w:t>
      </w:r>
      <w:r w:rsidR="006626E0" w:rsidRPr="006626E0">
        <w:rPr>
          <w:rFonts w:ascii="Helvetica" w:hAnsi="Helvetica" w:cs="Times New Roman"/>
          <w:sz w:val="22"/>
          <w:szCs w:val="22"/>
        </w:rPr>
        <w:t>immerse themselves not in static place-based sites, but in networks and flows</w:t>
      </w:r>
      <w:r w:rsidR="00397FBF">
        <w:rPr>
          <w:rFonts w:ascii="Helvetica" w:hAnsi="Helvetica" w:cs="Times New Roman"/>
          <w:sz w:val="22"/>
          <w:szCs w:val="22"/>
        </w:rPr>
        <w:t xml:space="preserve"> and </w:t>
      </w:r>
      <w:r w:rsidR="006626E0" w:rsidRPr="006626E0">
        <w:rPr>
          <w:rFonts w:ascii="Helvetica" w:hAnsi="Helvetica" w:cs="Times New Roman"/>
          <w:sz w:val="22"/>
          <w:szCs w:val="22"/>
        </w:rPr>
        <w:t>transnational social formations</w:t>
      </w:r>
      <w:r w:rsidR="009C5608">
        <w:rPr>
          <w:rFonts w:ascii="Helvetica" w:hAnsi="Helvetica" w:cs="Times New Roman"/>
          <w:sz w:val="22"/>
          <w:szCs w:val="22"/>
        </w:rPr>
        <w:t xml:space="preserve"> (</w:t>
      </w:r>
      <w:proofErr w:type="spellStart"/>
      <w:r w:rsidR="009C5608">
        <w:rPr>
          <w:rFonts w:ascii="Helvetica" w:hAnsi="Helvetica" w:cs="Times New Roman"/>
          <w:sz w:val="22"/>
          <w:szCs w:val="22"/>
        </w:rPr>
        <w:t>Gille</w:t>
      </w:r>
      <w:proofErr w:type="spellEnd"/>
      <w:r w:rsidR="009C5608">
        <w:rPr>
          <w:rFonts w:ascii="Helvetica" w:hAnsi="Helvetica" w:cs="Times New Roman"/>
          <w:sz w:val="22"/>
          <w:szCs w:val="22"/>
        </w:rPr>
        <w:t xml:space="preserve"> and </w:t>
      </w:r>
      <w:proofErr w:type="spellStart"/>
      <w:r w:rsidR="009C5608">
        <w:rPr>
          <w:rFonts w:ascii="Helvetica" w:hAnsi="Helvetica" w:cs="Times New Roman"/>
          <w:sz w:val="22"/>
          <w:szCs w:val="22"/>
        </w:rPr>
        <w:t>Riaine</w:t>
      </w:r>
      <w:proofErr w:type="spellEnd"/>
      <w:r w:rsidR="009C5608">
        <w:rPr>
          <w:rFonts w:ascii="Helvetica" w:hAnsi="Helvetica" w:cs="Times New Roman"/>
          <w:sz w:val="22"/>
          <w:szCs w:val="22"/>
        </w:rPr>
        <w:t xml:space="preserve"> 2002)</w:t>
      </w:r>
      <w:r w:rsidR="006626E0">
        <w:rPr>
          <w:rFonts w:ascii="Helvetica" w:hAnsi="Helvetica" w:cs="Times New Roman"/>
          <w:sz w:val="22"/>
          <w:szCs w:val="22"/>
        </w:rPr>
        <w:t>.</w:t>
      </w:r>
      <w:r w:rsidR="00A915A4">
        <w:rPr>
          <w:rFonts w:ascii="Helvetica" w:hAnsi="Helvetica" w:cs="Times New Roman"/>
          <w:sz w:val="22"/>
          <w:szCs w:val="22"/>
        </w:rPr>
        <w:t xml:space="preserve"> </w:t>
      </w:r>
    </w:p>
    <w:p w14:paraId="4A08BBEC" w14:textId="77777777" w:rsidR="0070319E" w:rsidRDefault="0070319E" w:rsidP="00BD6FFE">
      <w:pPr>
        <w:spacing w:line="480" w:lineRule="auto"/>
        <w:rPr>
          <w:rFonts w:ascii="Helvetica" w:hAnsi="Helvetica" w:cs="Times New Roman"/>
          <w:sz w:val="22"/>
          <w:szCs w:val="22"/>
        </w:rPr>
      </w:pPr>
    </w:p>
    <w:p w14:paraId="1F48A12E" w14:textId="172243EA" w:rsidR="002D754A" w:rsidRPr="00BD6FFE" w:rsidRDefault="002D754A" w:rsidP="00BD6FFE">
      <w:pPr>
        <w:spacing w:line="480" w:lineRule="auto"/>
        <w:rPr>
          <w:rFonts w:ascii="Helvetica" w:hAnsi="Helvetica" w:cs="Times New Roman"/>
          <w:sz w:val="22"/>
          <w:szCs w:val="22"/>
        </w:rPr>
      </w:pPr>
      <w:r w:rsidRPr="00BD6FFE">
        <w:rPr>
          <w:rFonts w:ascii="Helvetica" w:hAnsi="Helvetica" w:cs="Times New Roman"/>
          <w:sz w:val="22"/>
          <w:szCs w:val="22"/>
        </w:rPr>
        <w:lastRenderedPageBreak/>
        <w:t xml:space="preserve">There </w:t>
      </w:r>
      <w:r w:rsidR="008F19B7">
        <w:rPr>
          <w:rFonts w:ascii="Helvetica" w:hAnsi="Helvetica" w:cs="Times New Roman"/>
          <w:sz w:val="22"/>
          <w:szCs w:val="22"/>
        </w:rPr>
        <w:t>are currently</w:t>
      </w:r>
      <w:r w:rsidR="00D82CBF">
        <w:rPr>
          <w:rFonts w:ascii="Helvetica" w:hAnsi="Helvetica" w:cs="Times New Roman"/>
          <w:sz w:val="22"/>
          <w:szCs w:val="22"/>
        </w:rPr>
        <w:t xml:space="preserve"> only a few </w:t>
      </w:r>
      <w:r w:rsidRPr="00BD6FFE">
        <w:rPr>
          <w:rFonts w:ascii="Helvetica" w:hAnsi="Helvetica" w:cs="Times New Roman"/>
          <w:sz w:val="22"/>
          <w:szCs w:val="22"/>
        </w:rPr>
        <w:t>crim</w:t>
      </w:r>
      <w:r w:rsidR="000A1533">
        <w:rPr>
          <w:rFonts w:ascii="Helvetica" w:hAnsi="Helvetica" w:cs="Times New Roman"/>
          <w:sz w:val="22"/>
          <w:szCs w:val="22"/>
        </w:rPr>
        <w:t xml:space="preserve">e policy-related </w:t>
      </w:r>
      <w:r w:rsidRPr="00BD6FFE">
        <w:rPr>
          <w:rFonts w:ascii="Helvetica" w:hAnsi="Helvetica" w:cs="Times New Roman"/>
          <w:sz w:val="22"/>
          <w:szCs w:val="22"/>
        </w:rPr>
        <w:t>examples of research grounded</w:t>
      </w:r>
      <w:r w:rsidR="008F19B7">
        <w:rPr>
          <w:rFonts w:ascii="Helvetica" w:hAnsi="Helvetica" w:cs="Times New Roman"/>
          <w:sz w:val="22"/>
          <w:szCs w:val="22"/>
        </w:rPr>
        <w:t xml:space="preserve"> explicitly</w:t>
      </w:r>
      <w:r w:rsidRPr="00BD6FFE">
        <w:rPr>
          <w:rFonts w:ascii="Helvetica" w:hAnsi="Helvetica" w:cs="Times New Roman"/>
          <w:sz w:val="22"/>
          <w:szCs w:val="22"/>
        </w:rPr>
        <w:t xml:space="preserve"> in the </w:t>
      </w:r>
      <w:r w:rsidR="008F19B7">
        <w:rPr>
          <w:rFonts w:ascii="Helvetica" w:hAnsi="Helvetica" w:cs="Times New Roman"/>
          <w:sz w:val="22"/>
          <w:szCs w:val="22"/>
        </w:rPr>
        <w:t>‘</w:t>
      </w:r>
      <w:r w:rsidRPr="00BD6FFE">
        <w:rPr>
          <w:rFonts w:ascii="Helvetica" w:hAnsi="Helvetica" w:cs="Times New Roman"/>
          <w:sz w:val="22"/>
          <w:szCs w:val="22"/>
        </w:rPr>
        <w:t>policy mobilities</w:t>
      </w:r>
      <w:r w:rsidR="008F19B7">
        <w:rPr>
          <w:rFonts w:ascii="Helvetica" w:hAnsi="Helvetica" w:cs="Times New Roman"/>
          <w:sz w:val="22"/>
          <w:szCs w:val="22"/>
        </w:rPr>
        <w:t>’</w:t>
      </w:r>
      <w:r w:rsidRPr="00BD6FFE">
        <w:rPr>
          <w:rFonts w:ascii="Helvetica" w:hAnsi="Helvetica" w:cs="Times New Roman"/>
          <w:sz w:val="22"/>
          <w:szCs w:val="22"/>
        </w:rPr>
        <w:t xml:space="preserve"> </w:t>
      </w:r>
      <w:r w:rsidR="005A2743" w:rsidRPr="00BD6FFE">
        <w:rPr>
          <w:rFonts w:ascii="Helvetica" w:hAnsi="Helvetica" w:cs="Times New Roman"/>
          <w:sz w:val="22"/>
          <w:szCs w:val="22"/>
        </w:rPr>
        <w:t>approach</w:t>
      </w:r>
      <w:r w:rsidR="00FA75F6">
        <w:rPr>
          <w:rFonts w:ascii="Helvetica" w:hAnsi="Helvetica" w:cs="Times New Roman"/>
          <w:sz w:val="22"/>
          <w:szCs w:val="22"/>
        </w:rPr>
        <w:t>, although some have certainly proceeded from similar orientations</w:t>
      </w:r>
      <w:r w:rsidR="008F19B7">
        <w:rPr>
          <w:rFonts w:ascii="Helvetica" w:hAnsi="Helvetica" w:cs="Times New Roman"/>
          <w:sz w:val="22"/>
          <w:szCs w:val="22"/>
        </w:rPr>
        <w:t xml:space="preserve">. </w:t>
      </w:r>
      <w:r w:rsidR="00C24A32">
        <w:rPr>
          <w:rFonts w:ascii="Helvetica" w:hAnsi="Helvetica" w:cs="Times New Roman"/>
          <w:sz w:val="22"/>
          <w:szCs w:val="22"/>
        </w:rPr>
        <w:t xml:space="preserve">The first </w:t>
      </w:r>
      <w:r w:rsidR="00D82CBF">
        <w:rPr>
          <w:rFonts w:ascii="Helvetica" w:hAnsi="Helvetica" w:cs="Times New Roman"/>
          <w:sz w:val="22"/>
          <w:szCs w:val="22"/>
        </w:rPr>
        <w:t>such study</w:t>
      </w:r>
      <w:r w:rsidR="00C24A32">
        <w:rPr>
          <w:rFonts w:ascii="Helvetica" w:hAnsi="Helvetica" w:cs="Times New Roman"/>
          <w:sz w:val="22"/>
          <w:szCs w:val="22"/>
        </w:rPr>
        <w:t xml:space="preserve"> was </w:t>
      </w:r>
      <w:r w:rsidRPr="00BD6FFE">
        <w:rPr>
          <w:rFonts w:ascii="Helvetica" w:hAnsi="Helvetica" w:cs="Times New Roman"/>
          <w:sz w:val="22"/>
          <w:szCs w:val="22"/>
        </w:rPr>
        <w:t xml:space="preserve">arguably </w:t>
      </w:r>
      <w:proofErr w:type="spellStart"/>
      <w:r w:rsidRPr="00BD6FFE">
        <w:rPr>
          <w:rFonts w:ascii="Helvetica" w:hAnsi="Helvetica" w:cs="Times New Roman"/>
          <w:sz w:val="22"/>
          <w:szCs w:val="22"/>
        </w:rPr>
        <w:t>Blaustein’s</w:t>
      </w:r>
      <w:proofErr w:type="spellEnd"/>
      <w:r w:rsidRPr="00BD6FFE">
        <w:rPr>
          <w:rFonts w:ascii="Helvetica" w:hAnsi="Helvetica" w:cs="Times New Roman"/>
          <w:sz w:val="22"/>
          <w:szCs w:val="22"/>
        </w:rPr>
        <w:t xml:space="preserve"> (2015) immersive study of the international community’s attempts to introduce ‘Western’ models of community safety governance and community policing in post-conflict Bosnia and Herzegovina c</w:t>
      </w:r>
      <w:r w:rsidR="003147D2" w:rsidRPr="00BD6FFE">
        <w:rPr>
          <w:rFonts w:ascii="Helvetica" w:hAnsi="Helvetica" w:cs="Times New Roman"/>
          <w:sz w:val="22"/>
          <w:szCs w:val="22"/>
        </w:rPr>
        <w:t xml:space="preserve">irca 2011. </w:t>
      </w:r>
      <w:proofErr w:type="spellStart"/>
      <w:r w:rsidR="003147D2" w:rsidRPr="00BD6FFE">
        <w:rPr>
          <w:rFonts w:ascii="Helvetica" w:hAnsi="Helvetica" w:cs="Times New Roman"/>
          <w:sz w:val="22"/>
          <w:szCs w:val="22"/>
        </w:rPr>
        <w:t>Blaustein</w:t>
      </w:r>
      <w:proofErr w:type="spellEnd"/>
      <w:r w:rsidRPr="00BD6FFE">
        <w:rPr>
          <w:rFonts w:ascii="Helvetica" w:hAnsi="Helvetica" w:cs="Times New Roman"/>
          <w:sz w:val="22"/>
          <w:szCs w:val="22"/>
        </w:rPr>
        <w:t xml:space="preserve"> assumed the role of an intern at </w:t>
      </w:r>
      <w:r w:rsidR="003147D2" w:rsidRPr="00BD6FFE">
        <w:rPr>
          <w:rFonts w:ascii="Helvetica" w:hAnsi="Helvetica" w:cs="Times New Roman"/>
          <w:sz w:val="22"/>
          <w:szCs w:val="22"/>
        </w:rPr>
        <w:t>the United Nations Development Programme</w:t>
      </w:r>
      <w:r w:rsidRPr="00BD6FFE">
        <w:rPr>
          <w:rFonts w:ascii="Helvetica" w:hAnsi="Helvetica" w:cs="Times New Roman"/>
          <w:sz w:val="22"/>
          <w:szCs w:val="22"/>
        </w:rPr>
        <w:t xml:space="preserve"> </w:t>
      </w:r>
      <w:r w:rsidR="003147D2" w:rsidRPr="00BD6FFE">
        <w:rPr>
          <w:rFonts w:ascii="Helvetica" w:hAnsi="Helvetica" w:cs="Times New Roman"/>
          <w:sz w:val="22"/>
          <w:szCs w:val="22"/>
        </w:rPr>
        <w:t>that</w:t>
      </w:r>
      <w:r w:rsidRPr="00BD6FFE">
        <w:rPr>
          <w:rFonts w:ascii="Helvetica" w:hAnsi="Helvetica" w:cs="Times New Roman"/>
          <w:sz w:val="22"/>
          <w:szCs w:val="22"/>
        </w:rPr>
        <w:t xml:space="preserve"> offered him opportunities to become actively immersed in different stages of a security sector reform process. His methodology combined ethnographic methods with interviews and documentary analysis for the purpose of understanding the ways in which policy actors worked to actively construct ‘policy’ on the ground. Th</w:t>
      </w:r>
      <w:r w:rsidR="005A2743" w:rsidRPr="00BD6FFE">
        <w:rPr>
          <w:rFonts w:ascii="Helvetica" w:hAnsi="Helvetica" w:cs="Times New Roman"/>
          <w:sz w:val="22"/>
          <w:szCs w:val="22"/>
        </w:rPr>
        <w:t>is</w:t>
      </w:r>
      <w:r w:rsidRPr="00BD6FFE">
        <w:rPr>
          <w:rFonts w:ascii="Helvetica" w:hAnsi="Helvetica" w:cs="Times New Roman"/>
          <w:sz w:val="22"/>
          <w:szCs w:val="22"/>
        </w:rPr>
        <w:t xml:space="preserve"> immersive approach to undertaking this research was informed by the work of </w:t>
      </w:r>
      <w:proofErr w:type="spellStart"/>
      <w:r w:rsidRPr="00BD6FFE">
        <w:rPr>
          <w:rFonts w:ascii="Helvetica" w:hAnsi="Helvetica" w:cs="Times New Roman"/>
          <w:sz w:val="22"/>
          <w:szCs w:val="22"/>
        </w:rPr>
        <w:t>Lendvai</w:t>
      </w:r>
      <w:proofErr w:type="spellEnd"/>
      <w:r w:rsidRPr="00BD6FFE">
        <w:rPr>
          <w:rFonts w:ascii="Helvetica" w:hAnsi="Helvetica" w:cs="Times New Roman"/>
          <w:sz w:val="22"/>
          <w:szCs w:val="22"/>
        </w:rPr>
        <w:t xml:space="preserve"> and Stubbs (2009: 677) on ‘policy translation’ wh</w:t>
      </w:r>
      <w:r w:rsidR="005A2743" w:rsidRPr="00BD6FFE">
        <w:rPr>
          <w:rFonts w:ascii="Helvetica" w:hAnsi="Helvetica" w:cs="Times New Roman"/>
          <w:sz w:val="22"/>
          <w:szCs w:val="22"/>
        </w:rPr>
        <w:t>ich</w:t>
      </w:r>
      <w:r w:rsidRPr="00BD6FFE">
        <w:rPr>
          <w:rFonts w:ascii="Helvetica" w:hAnsi="Helvetica" w:cs="Times New Roman"/>
          <w:sz w:val="22"/>
          <w:szCs w:val="22"/>
        </w:rPr>
        <w:t xml:space="preserve"> advocate</w:t>
      </w:r>
      <w:r w:rsidR="005A2743" w:rsidRPr="00BD6FFE">
        <w:rPr>
          <w:rFonts w:ascii="Helvetica" w:hAnsi="Helvetica" w:cs="Times New Roman"/>
          <w:sz w:val="22"/>
          <w:szCs w:val="22"/>
        </w:rPr>
        <w:t>s</w:t>
      </w:r>
      <w:r w:rsidRPr="00BD6FFE">
        <w:rPr>
          <w:rFonts w:ascii="Helvetica" w:hAnsi="Helvetica" w:cs="Times New Roman"/>
          <w:sz w:val="22"/>
          <w:szCs w:val="22"/>
        </w:rPr>
        <w:t xml:space="preserve"> ‘the need to pay attention to the ways in which policies and their schemes, content, technologies and instruments are constantly changing according to sites, meanings and agencies’. </w:t>
      </w:r>
      <w:r w:rsidR="00C24A32">
        <w:rPr>
          <w:rFonts w:ascii="Helvetica" w:hAnsi="Helvetica" w:cs="Times New Roman"/>
          <w:sz w:val="22"/>
          <w:szCs w:val="22"/>
        </w:rPr>
        <w:t xml:space="preserve">Mendez </w:t>
      </w:r>
      <w:r w:rsidR="00CF6006">
        <w:rPr>
          <w:rFonts w:ascii="Helvetica" w:hAnsi="Helvetica" w:cs="Times New Roman"/>
          <w:sz w:val="22"/>
          <w:szCs w:val="22"/>
        </w:rPr>
        <w:t>et al</w:t>
      </w:r>
      <w:r w:rsidR="00C24A32">
        <w:rPr>
          <w:rFonts w:ascii="Helvetica" w:hAnsi="Helvetica" w:cs="Times New Roman"/>
          <w:sz w:val="22"/>
          <w:szCs w:val="22"/>
        </w:rPr>
        <w:t xml:space="preserve"> (2018) </w:t>
      </w:r>
      <w:r w:rsidR="00D82CBF">
        <w:rPr>
          <w:rFonts w:ascii="Helvetica" w:hAnsi="Helvetica" w:cs="Times New Roman"/>
          <w:sz w:val="22"/>
          <w:szCs w:val="22"/>
        </w:rPr>
        <w:t xml:space="preserve">subsequently </w:t>
      </w:r>
      <w:r w:rsidR="00C24A32">
        <w:rPr>
          <w:rFonts w:ascii="Helvetica" w:hAnsi="Helvetica" w:cs="Times New Roman"/>
          <w:sz w:val="22"/>
          <w:szCs w:val="22"/>
        </w:rPr>
        <w:t xml:space="preserve">drew directly on the ‘policy mobilities’ approach to analyse ‘what happens when community policing travels’ </w:t>
      </w:r>
      <w:r w:rsidR="00872BEE">
        <w:rPr>
          <w:rFonts w:ascii="Helvetica" w:hAnsi="Helvetica" w:cs="Times New Roman"/>
          <w:sz w:val="22"/>
          <w:szCs w:val="22"/>
        </w:rPr>
        <w:t xml:space="preserve">between </w:t>
      </w:r>
      <w:r w:rsidR="00C24A32">
        <w:rPr>
          <w:rFonts w:ascii="Helvetica" w:hAnsi="Helvetica" w:cs="Times New Roman"/>
          <w:sz w:val="22"/>
          <w:szCs w:val="22"/>
        </w:rPr>
        <w:t xml:space="preserve">the global North </w:t>
      </w:r>
      <w:r w:rsidR="00872BEE">
        <w:rPr>
          <w:rFonts w:ascii="Helvetica" w:hAnsi="Helvetica" w:cs="Times New Roman"/>
          <w:sz w:val="22"/>
          <w:szCs w:val="22"/>
        </w:rPr>
        <w:t>and</w:t>
      </w:r>
      <w:r w:rsidR="00C24A32">
        <w:rPr>
          <w:rFonts w:ascii="Helvetica" w:hAnsi="Helvetica" w:cs="Times New Roman"/>
          <w:sz w:val="22"/>
          <w:szCs w:val="22"/>
        </w:rPr>
        <w:t xml:space="preserve"> the global South. </w:t>
      </w:r>
      <w:r w:rsidR="007D2F4C">
        <w:rPr>
          <w:rFonts w:ascii="Helvetica" w:hAnsi="Helvetica" w:cs="Times New Roman"/>
          <w:sz w:val="22"/>
          <w:szCs w:val="22"/>
        </w:rPr>
        <w:t>The study dr</w:t>
      </w:r>
      <w:r w:rsidR="00CF6006">
        <w:rPr>
          <w:rFonts w:ascii="Helvetica" w:hAnsi="Helvetica" w:cs="Times New Roman"/>
          <w:sz w:val="22"/>
          <w:szCs w:val="22"/>
        </w:rPr>
        <w:t>ew</w:t>
      </w:r>
      <w:r w:rsidR="007D2F4C">
        <w:rPr>
          <w:rFonts w:ascii="Helvetica" w:hAnsi="Helvetica" w:cs="Times New Roman"/>
          <w:sz w:val="22"/>
          <w:szCs w:val="22"/>
        </w:rPr>
        <w:t xml:space="preserve"> </w:t>
      </w:r>
      <w:r w:rsidR="00C24A32">
        <w:rPr>
          <w:rFonts w:ascii="Helvetica" w:hAnsi="Helvetica" w:cs="Times New Roman"/>
          <w:sz w:val="22"/>
          <w:szCs w:val="22"/>
        </w:rPr>
        <w:t>primarily on data from interviews conducted with a range of stakeholders in Jamaica</w:t>
      </w:r>
      <w:r w:rsidR="00872BEE">
        <w:rPr>
          <w:rFonts w:ascii="Helvetica" w:hAnsi="Helvetica" w:cs="Times New Roman"/>
          <w:sz w:val="22"/>
          <w:szCs w:val="22"/>
        </w:rPr>
        <w:t>,</w:t>
      </w:r>
      <w:r w:rsidR="007D2F4C">
        <w:rPr>
          <w:rFonts w:ascii="Helvetica" w:hAnsi="Helvetica" w:cs="Times New Roman"/>
          <w:sz w:val="22"/>
          <w:szCs w:val="22"/>
        </w:rPr>
        <w:t xml:space="preserve"> including members of the public in local areas as well as elite interviews with professional ‘providers’ of community policing. The </w:t>
      </w:r>
      <w:r w:rsidR="00872BEE">
        <w:rPr>
          <w:rFonts w:ascii="Helvetica" w:hAnsi="Helvetica" w:cs="Times New Roman"/>
          <w:sz w:val="22"/>
          <w:szCs w:val="22"/>
        </w:rPr>
        <w:t xml:space="preserve">analysis illustrates how </w:t>
      </w:r>
      <w:r w:rsidR="007D2F4C">
        <w:rPr>
          <w:rFonts w:ascii="Helvetica" w:hAnsi="Helvetica" w:cs="Times New Roman"/>
          <w:sz w:val="22"/>
          <w:szCs w:val="22"/>
        </w:rPr>
        <w:t xml:space="preserve">differing </w:t>
      </w:r>
      <w:r w:rsidR="00FC5FAD">
        <w:rPr>
          <w:rFonts w:ascii="Helvetica" w:hAnsi="Helvetica" w:cs="Times New Roman"/>
          <w:sz w:val="22"/>
          <w:szCs w:val="22"/>
        </w:rPr>
        <w:t xml:space="preserve">conceptual </w:t>
      </w:r>
      <w:r w:rsidR="007D2F4C">
        <w:rPr>
          <w:rFonts w:ascii="Helvetica" w:hAnsi="Helvetica" w:cs="Times New Roman"/>
          <w:sz w:val="22"/>
          <w:szCs w:val="22"/>
        </w:rPr>
        <w:t xml:space="preserve">understandings of the nature of community policing and the policy problems it is </w:t>
      </w:r>
      <w:r w:rsidR="00FC5FAD">
        <w:rPr>
          <w:rFonts w:ascii="Helvetica" w:hAnsi="Helvetica" w:cs="Times New Roman"/>
          <w:sz w:val="22"/>
          <w:szCs w:val="22"/>
        </w:rPr>
        <w:t>intended</w:t>
      </w:r>
      <w:r w:rsidR="007D2F4C">
        <w:rPr>
          <w:rFonts w:ascii="Helvetica" w:hAnsi="Helvetica" w:cs="Times New Roman"/>
          <w:sz w:val="22"/>
          <w:szCs w:val="22"/>
        </w:rPr>
        <w:t xml:space="preserve"> to address</w:t>
      </w:r>
      <w:r w:rsidR="00872BEE">
        <w:rPr>
          <w:rFonts w:ascii="Helvetica" w:hAnsi="Helvetica" w:cs="Times New Roman"/>
          <w:sz w:val="22"/>
          <w:szCs w:val="22"/>
        </w:rPr>
        <w:t xml:space="preserve"> shape </w:t>
      </w:r>
      <w:r w:rsidR="007D2F4C">
        <w:rPr>
          <w:rFonts w:ascii="Helvetica" w:hAnsi="Helvetica" w:cs="Times New Roman"/>
          <w:sz w:val="22"/>
          <w:szCs w:val="22"/>
        </w:rPr>
        <w:t>the ways in which US-inspired ideas of community policing are manifested in practice in particular local contexts</w:t>
      </w:r>
      <w:r w:rsidR="00872BEE">
        <w:rPr>
          <w:rFonts w:ascii="Helvetica" w:hAnsi="Helvetica" w:cs="Times New Roman"/>
          <w:sz w:val="22"/>
          <w:szCs w:val="22"/>
        </w:rPr>
        <w:t xml:space="preserve">. </w:t>
      </w:r>
      <w:r w:rsidR="00D82CBF">
        <w:rPr>
          <w:rFonts w:ascii="Helvetica" w:hAnsi="Helvetica" w:cs="Times New Roman"/>
          <w:sz w:val="22"/>
          <w:szCs w:val="22"/>
        </w:rPr>
        <w:t xml:space="preserve">Finally, </w:t>
      </w:r>
      <w:proofErr w:type="spellStart"/>
      <w:r w:rsidR="00D82CBF">
        <w:rPr>
          <w:rFonts w:ascii="Helvetica" w:hAnsi="Helvetica" w:cs="Times New Roman"/>
          <w:sz w:val="22"/>
          <w:szCs w:val="22"/>
        </w:rPr>
        <w:t>McMenzie</w:t>
      </w:r>
      <w:proofErr w:type="spellEnd"/>
      <w:r w:rsidR="00FC5FAD">
        <w:rPr>
          <w:rFonts w:ascii="Helvetica" w:hAnsi="Helvetica" w:cs="Times New Roman"/>
          <w:sz w:val="22"/>
          <w:szCs w:val="22"/>
        </w:rPr>
        <w:t xml:space="preserve"> </w:t>
      </w:r>
      <w:r w:rsidR="00FC5FAD">
        <w:rPr>
          <w:rFonts w:ascii="Helvetica" w:hAnsi="Helvetica" w:cs="Times New Roman"/>
          <w:i/>
          <w:sz w:val="22"/>
          <w:szCs w:val="22"/>
        </w:rPr>
        <w:t>e</w:t>
      </w:r>
      <w:r w:rsidR="00FC5FAD" w:rsidRPr="00FC5FAD">
        <w:rPr>
          <w:rFonts w:ascii="Helvetica" w:hAnsi="Helvetica" w:cs="Times New Roman"/>
          <w:i/>
          <w:sz w:val="22"/>
          <w:szCs w:val="22"/>
        </w:rPr>
        <w:t>t al</w:t>
      </w:r>
      <w:r w:rsidR="00FC5FAD">
        <w:rPr>
          <w:rFonts w:ascii="Helvetica" w:hAnsi="Helvetica" w:cs="Times New Roman"/>
          <w:sz w:val="22"/>
          <w:szCs w:val="22"/>
        </w:rPr>
        <w:t>.</w:t>
      </w:r>
      <w:r w:rsidR="00D82CBF">
        <w:rPr>
          <w:rFonts w:ascii="Helvetica" w:hAnsi="Helvetica" w:cs="Times New Roman"/>
          <w:sz w:val="22"/>
          <w:szCs w:val="22"/>
        </w:rPr>
        <w:t xml:space="preserve"> (</w:t>
      </w:r>
      <w:r w:rsidR="009D3C6A">
        <w:rPr>
          <w:rFonts w:ascii="Helvetica" w:hAnsi="Helvetica" w:cs="Times New Roman"/>
          <w:sz w:val="22"/>
          <w:szCs w:val="22"/>
        </w:rPr>
        <w:t>f</w:t>
      </w:r>
      <w:r w:rsidR="001A5B6E">
        <w:rPr>
          <w:rFonts w:ascii="Helvetica" w:hAnsi="Helvetica" w:cs="Times New Roman"/>
          <w:sz w:val="22"/>
          <w:szCs w:val="22"/>
        </w:rPr>
        <w:t>orthcoming</w:t>
      </w:r>
      <w:r w:rsidR="00D82CBF">
        <w:rPr>
          <w:rFonts w:ascii="Helvetica" w:hAnsi="Helvetica" w:cs="Times New Roman"/>
          <w:sz w:val="22"/>
          <w:szCs w:val="22"/>
        </w:rPr>
        <w:t>) dr</w:t>
      </w:r>
      <w:r w:rsidR="00550932">
        <w:rPr>
          <w:rFonts w:ascii="Helvetica" w:hAnsi="Helvetica" w:cs="Times New Roman"/>
          <w:sz w:val="22"/>
          <w:szCs w:val="22"/>
        </w:rPr>
        <w:t>a</w:t>
      </w:r>
      <w:r w:rsidR="00D82CBF">
        <w:rPr>
          <w:rFonts w:ascii="Helvetica" w:hAnsi="Helvetica" w:cs="Times New Roman"/>
          <w:sz w:val="22"/>
          <w:szCs w:val="22"/>
        </w:rPr>
        <w:t xml:space="preserve">w on the ‘policy mobilities’ framework to analyse how the ‘Swedish model’ </w:t>
      </w:r>
      <w:r w:rsidR="009D3C6A">
        <w:rPr>
          <w:rFonts w:ascii="Helvetica" w:hAnsi="Helvetica" w:cs="Times New Roman"/>
          <w:sz w:val="22"/>
          <w:szCs w:val="22"/>
        </w:rPr>
        <w:t xml:space="preserve">of sex work regulation </w:t>
      </w:r>
      <w:r w:rsidR="00D82CBF">
        <w:rPr>
          <w:rFonts w:ascii="Helvetica" w:hAnsi="Helvetica" w:cs="Times New Roman"/>
          <w:sz w:val="22"/>
          <w:szCs w:val="22"/>
        </w:rPr>
        <w:t xml:space="preserve">was introduced to Northern Ireland. </w:t>
      </w:r>
      <w:r w:rsidR="001A5B6E">
        <w:rPr>
          <w:rFonts w:ascii="Helvetica" w:hAnsi="Helvetica" w:cs="Times New Roman"/>
          <w:sz w:val="22"/>
          <w:szCs w:val="22"/>
        </w:rPr>
        <w:t xml:space="preserve">In this case, the authors used interviews with elite stakeholders and narrative </w:t>
      </w:r>
      <w:r w:rsidR="001A5B6E">
        <w:rPr>
          <w:rFonts w:ascii="Helvetica" w:hAnsi="Helvetica" w:cs="Times New Roman"/>
          <w:sz w:val="22"/>
          <w:szCs w:val="22"/>
        </w:rPr>
        <w:lastRenderedPageBreak/>
        <w:t>analysis identify and analyse ‘the importance connective sites through which the policy mobilisation was shaped’</w:t>
      </w:r>
      <w:r w:rsidR="00FC5FAD">
        <w:rPr>
          <w:rFonts w:ascii="Helvetica" w:hAnsi="Helvetica" w:cs="Times New Roman"/>
          <w:sz w:val="22"/>
          <w:szCs w:val="22"/>
        </w:rPr>
        <w:t>. The study highlighted</w:t>
      </w:r>
      <w:r w:rsidR="007D2F4C">
        <w:rPr>
          <w:rFonts w:ascii="Helvetica" w:hAnsi="Helvetica" w:cs="Times New Roman"/>
          <w:sz w:val="22"/>
          <w:szCs w:val="22"/>
        </w:rPr>
        <w:t xml:space="preserve"> the ways in which particular conceptions of the policy ‘problem’ were constructed by key policy actors, </w:t>
      </w:r>
      <w:r w:rsidR="00694904">
        <w:rPr>
          <w:rFonts w:ascii="Helvetica" w:hAnsi="Helvetica" w:cs="Times New Roman"/>
          <w:sz w:val="22"/>
          <w:szCs w:val="22"/>
        </w:rPr>
        <w:t>and specific policy solutions promoted via temporary but influential ‘couplings’ with</w:t>
      </w:r>
      <w:r w:rsidR="00FC5FAD">
        <w:rPr>
          <w:rFonts w:ascii="Helvetica" w:hAnsi="Helvetica" w:cs="Times New Roman"/>
          <w:sz w:val="22"/>
          <w:szCs w:val="22"/>
        </w:rPr>
        <w:t>in</w:t>
      </w:r>
      <w:r w:rsidR="00694904">
        <w:rPr>
          <w:rFonts w:ascii="Helvetica" w:hAnsi="Helvetica" w:cs="Times New Roman"/>
          <w:sz w:val="22"/>
          <w:szCs w:val="22"/>
        </w:rPr>
        <w:t xml:space="preserve"> the relevant policy assemblage</w:t>
      </w:r>
      <w:r w:rsidR="001A5B6E">
        <w:rPr>
          <w:rFonts w:ascii="Helvetica" w:hAnsi="Helvetica" w:cs="Times New Roman"/>
          <w:sz w:val="22"/>
          <w:szCs w:val="22"/>
        </w:rPr>
        <w:t>.</w:t>
      </w:r>
      <w:r w:rsidR="00FA75F6">
        <w:rPr>
          <w:rFonts w:ascii="Helvetica" w:hAnsi="Helvetica" w:cs="Times New Roman"/>
          <w:sz w:val="22"/>
          <w:szCs w:val="22"/>
        </w:rPr>
        <w:t xml:space="preserve"> </w:t>
      </w:r>
      <w:r w:rsidR="006626E0">
        <w:rPr>
          <w:rFonts w:ascii="Helvetica" w:hAnsi="Helvetica" w:cs="Times New Roman"/>
          <w:sz w:val="22"/>
          <w:szCs w:val="22"/>
        </w:rPr>
        <w:t xml:space="preserve">Cristina </w:t>
      </w:r>
      <w:proofErr w:type="spellStart"/>
      <w:r w:rsidR="006626E0">
        <w:rPr>
          <w:rFonts w:ascii="Helvetica" w:hAnsi="Helvetica" w:cs="Times New Roman"/>
          <w:sz w:val="22"/>
          <w:szCs w:val="22"/>
        </w:rPr>
        <w:t>Tenemos</w:t>
      </w:r>
      <w:proofErr w:type="spellEnd"/>
      <w:r w:rsidR="006626E0">
        <w:rPr>
          <w:rFonts w:ascii="Helvetica" w:hAnsi="Helvetica" w:cs="Times New Roman"/>
          <w:sz w:val="22"/>
          <w:szCs w:val="22"/>
        </w:rPr>
        <w:t xml:space="preserve"> (2015, 2016), an influential writer within the emerging field of critical policy studies, adopted the extended case study approach to undertake a major international study of the global mobility of harm reduction responses to drug use (a policy field much discussed by criminologists). The project  studied the ‘networks, people, places and politics surrounding the advocacy for harm reduction drug policy’ (</w:t>
      </w:r>
      <w:proofErr w:type="spellStart"/>
      <w:r w:rsidR="006626E0">
        <w:rPr>
          <w:rFonts w:ascii="Helvetica" w:hAnsi="Helvetica" w:cs="Times New Roman"/>
          <w:sz w:val="22"/>
          <w:szCs w:val="22"/>
        </w:rPr>
        <w:t>Tenemos</w:t>
      </w:r>
      <w:proofErr w:type="spellEnd"/>
      <w:r w:rsidR="006626E0">
        <w:rPr>
          <w:rFonts w:ascii="Helvetica" w:hAnsi="Helvetica" w:cs="Times New Roman"/>
          <w:sz w:val="22"/>
          <w:szCs w:val="22"/>
        </w:rPr>
        <w:t xml:space="preserve"> and Ward 2018: 73), cover</w:t>
      </w:r>
      <w:r w:rsidR="00397FBF">
        <w:rPr>
          <w:rFonts w:ascii="Helvetica" w:hAnsi="Helvetica" w:cs="Times New Roman"/>
          <w:sz w:val="22"/>
          <w:szCs w:val="22"/>
        </w:rPr>
        <w:t>ed</w:t>
      </w:r>
      <w:r w:rsidR="006626E0">
        <w:rPr>
          <w:rFonts w:ascii="Helvetica" w:hAnsi="Helvetica" w:cs="Times New Roman"/>
          <w:sz w:val="22"/>
          <w:szCs w:val="22"/>
        </w:rPr>
        <w:t xml:space="preserve"> 16 different cities in 11 countries, and drew upon documentary analysis, ethnographic observation and semi-structured interviews with a range of participants in relevant policy networks. </w:t>
      </w:r>
    </w:p>
    <w:p w14:paraId="405C3196" w14:textId="77777777" w:rsidR="002D754A" w:rsidRPr="00BD6FFE" w:rsidRDefault="002D754A" w:rsidP="00BD6FFE">
      <w:pPr>
        <w:spacing w:line="480" w:lineRule="auto"/>
        <w:rPr>
          <w:rFonts w:ascii="Helvetica" w:hAnsi="Helvetica" w:cs="Times New Roman"/>
          <w:sz w:val="22"/>
          <w:szCs w:val="22"/>
        </w:rPr>
      </w:pPr>
    </w:p>
    <w:p w14:paraId="5AD4641F" w14:textId="189430FE" w:rsidR="002D754A" w:rsidRPr="00BD6FFE" w:rsidRDefault="005A2743" w:rsidP="00BD6FFE">
      <w:pPr>
        <w:spacing w:line="480" w:lineRule="auto"/>
        <w:rPr>
          <w:rFonts w:ascii="Helvetica" w:hAnsi="Helvetica" w:cs="Times New Roman"/>
          <w:sz w:val="22"/>
          <w:szCs w:val="22"/>
        </w:rPr>
      </w:pPr>
      <w:r w:rsidRPr="00BD6FFE">
        <w:rPr>
          <w:rFonts w:ascii="Helvetica" w:hAnsi="Helvetica" w:cs="Times New Roman"/>
          <w:sz w:val="22"/>
          <w:szCs w:val="22"/>
        </w:rPr>
        <w:t>The critique</w:t>
      </w:r>
      <w:r w:rsidR="002D754A" w:rsidRPr="00BD6FFE">
        <w:rPr>
          <w:rFonts w:ascii="Helvetica" w:hAnsi="Helvetica" w:cs="Times New Roman"/>
          <w:sz w:val="22"/>
          <w:szCs w:val="22"/>
        </w:rPr>
        <w:t xml:space="preserve"> of policy transfer research levelled by critical policy studies scholars</w:t>
      </w:r>
      <w:r w:rsidRPr="00BD6FFE">
        <w:rPr>
          <w:rFonts w:ascii="Helvetica" w:hAnsi="Helvetica" w:cs="Times New Roman"/>
          <w:sz w:val="22"/>
          <w:szCs w:val="22"/>
        </w:rPr>
        <w:t xml:space="preserve"> offer</w:t>
      </w:r>
      <w:r w:rsidR="00157782">
        <w:rPr>
          <w:rFonts w:ascii="Helvetica" w:hAnsi="Helvetica" w:cs="Times New Roman"/>
          <w:sz w:val="22"/>
          <w:szCs w:val="22"/>
        </w:rPr>
        <w:t>s</w:t>
      </w:r>
      <w:r w:rsidRPr="00BD6FFE">
        <w:rPr>
          <w:rFonts w:ascii="Helvetica" w:hAnsi="Helvetica" w:cs="Times New Roman"/>
          <w:sz w:val="22"/>
          <w:szCs w:val="22"/>
        </w:rPr>
        <w:t xml:space="preserve"> </w:t>
      </w:r>
      <w:r w:rsidR="002D754A" w:rsidRPr="00BD6FFE">
        <w:rPr>
          <w:rFonts w:ascii="Helvetica" w:hAnsi="Helvetica" w:cs="Times New Roman"/>
          <w:sz w:val="22"/>
          <w:szCs w:val="22"/>
        </w:rPr>
        <w:t>the potential to enhance the study of cross-national policy movements by criminologists</w:t>
      </w:r>
      <w:r w:rsidR="00B364EF" w:rsidRPr="00BD6FFE">
        <w:rPr>
          <w:rFonts w:ascii="Helvetica" w:hAnsi="Helvetica" w:cs="Times New Roman"/>
          <w:sz w:val="22"/>
          <w:szCs w:val="22"/>
        </w:rPr>
        <w:t xml:space="preserve">, most obviously </w:t>
      </w:r>
      <w:r w:rsidR="002D754A" w:rsidRPr="00BD6FFE">
        <w:rPr>
          <w:rFonts w:ascii="Helvetica" w:hAnsi="Helvetica" w:cs="Times New Roman"/>
          <w:sz w:val="22"/>
          <w:szCs w:val="22"/>
        </w:rPr>
        <w:t xml:space="preserve">as </w:t>
      </w:r>
      <w:r w:rsidR="00157782">
        <w:rPr>
          <w:rFonts w:ascii="Helvetica" w:hAnsi="Helvetica" w:cs="Times New Roman"/>
          <w:sz w:val="22"/>
          <w:szCs w:val="22"/>
        </w:rPr>
        <w:t>the mobilities approach is</w:t>
      </w:r>
      <w:r w:rsidR="00B364EF" w:rsidRPr="00BD6FFE">
        <w:rPr>
          <w:rFonts w:ascii="Helvetica" w:hAnsi="Helvetica" w:cs="Times New Roman"/>
          <w:sz w:val="22"/>
          <w:szCs w:val="22"/>
        </w:rPr>
        <w:t xml:space="preserve"> held </w:t>
      </w:r>
      <w:r w:rsidR="002D754A" w:rsidRPr="00BD6FFE">
        <w:rPr>
          <w:rFonts w:ascii="Helvetica" w:hAnsi="Helvetica" w:cs="Times New Roman"/>
          <w:sz w:val="22"/>
          <w:szCs w:val="22"/>
        </w:rPr>
        <w:t xml:space="preserve">to be better suited to capturing the complexity of </w:t>
      </w:r>
      <w:r w:rsidR="007667AC" w:rsidRPr="00BD6FFE">
        <w:rPr>
          <w:rFonts w:ascii="Helvetica" w:hAnsi="Helvetica" w:cs="Times New Roman"/>
          <w:sz w:val="22"/>
          <w:szCs w:val="22"/>
        </w:rPr>
        <w:t xml:space="preserve">such </w:t>
      </w:r>
      <w:r w:rsidR="002D754A" w:rsidRPr="00BD6FFE">
        <w:rPr>
          <w:rFonts w:ascii="Helvetica" w:hAnsi="Helvetica" w:cs="Times New Roman"/>
          <w:sz w:val="22"/>
          <w:szCs w:val="22"/>
        </w:rPr>
        <w:t xml:space="preserve">events. </w:t>
      </w:r>
      <w:r w:rsidR="007667AC" w:rsidRPr="00BD6FFE">
        <w:rPr>
          <w:rFonts w:ascii="Helvetica" w:hAnsi="Helvetica" w:cs="Times New Roman"/>
          <w:sz w:val="22"/>
          <w:szCs w:val="22"/>
        </w:rPr>
        <w:t xml:space="preserve">The </w:t>
      </w:r>
      <w:r w:rsidR="00CD55BA">
        <w:rPr>
          <w:rFonts w:ascii="Helvetica" w:hAnsi="Helvetica" w:cs="Times New Roman"/>
          <w:sz w:val="22"/>
          <w:szCs w:val="22"/>
        </w:rPr>
        <w:t xml:space="preserve">more recent </w:t>
      </w:r>
      <w:r w:rsidR="007667AC" w:rsidRPr="00BD6FFE">
        <w:rPr>
          <w:rFonts w:ascii="Helvetica" w:hAnsi="Helvetica" w:cs="Times New Roman"/>
          <w:sz w:val="22"/>
          <w:szCs w:val="22"/>
        </w:rPr>
        <w:t>critical policy studies literature</w:t>
      </w:r>
      <w:r w:rsidR="00865C66">
        <w:rPr>
          <w:rFonts w:ascii="Helvetica" w:hAnsi="Helvetica" w:cs="Times New Roman"/>
          <w:sz w:val="22"/>
          <w:szCs w:val="22"/>
        </w:rPr>
        <w:t xml:space="preserve"> </w:t>
      </w:r>
      <w:r w:rsidR="007667AC" w:rsidRPr="00BD6FFE">
        <w:rPr>
          <w:rFonts w:ascii="Helvetica" w:hAnsi="Helvetica" w:cs="Times New Roman"/>
          <w:sz w:val="22"/>
          <w:szCs w:val="22"/>
        </w:rPr>
        <w:t xml:space="preserve">has </w:t>
      </w:r>
      <w:r w:rsidR="00CD55BA">
        <w:rPr>
          <w:rFonts w:ascii="Helvetica" w:hAnsi="Helvetica" w:cs="Times New Roman"/>
          <w:sz w:val="22"/>
          <w:szCs w:val="22"/>
        </w:rPr>
        <w:t xml:space="preserve">provided some indications of </w:t>
      </w:r>
      <w:r w:rsidR="002D754A" w:rsidRPr="00BD6FFE">
        <w:rPr>
          <w:rFonts w:ascii="Helvetica" w:hAnsi="Helvetica" w:cs="Times New Roman"/>
          <w:sz w:val="22"/>
          <w:szCs w:val="22"/>
        </w:rPr>
        <w:t>how the term ‘policy assemblage’ might be operationalized for the purposes of empirical investigation</w:t>
      </w:r>
      <w:r w:rsidR="00CD55BA">
        <w:rPr>
          <w:rFonts w:ascii="Helvetica" w:hAnsi="Helvetica" w:cs="Times New Roman"/>
          <w:sz w:val="22"/>
          <w:szCs w:val="22"/>
        </w:rPr>
        <w:t xml:space="preserve"> (see for example, Wood 2016; Baker and </w:t>
      </w:r>
      <w:proofErr w:type="spellStart"/>
      <w:r w:rsidR="00CD55BA">
        <w:rPr>
          <w:rFonts w:ascii="Helvetica" w:hAnsi="Helvetica" w:cs="Times New Roman"/>
          <w:sz w:val="22"/>
          <w:szCs w:val="22"/>
        </w:rPr>
        <w:t>McGuirk</w:t>
      </w:r>
      <w:proofErr w:type="spellEnd"/>
      <w:r w:rsidR="00CD55BA">
        <w:rPr>
          <w:rFonts w:ascii="Helvetica" w:hAnsi="Helvetica" w:cs="Times New Roman"/>
          <w:sz w:val="22"/>
          <w:szCs w:val="22"/>
        </w:rPr>
        <w:t xml:space="preserve"> 2017, </w:t>
      </w:r>
      <w:proofErr w:type="spellStart"/>
      <w:r w:rsidR="00CD55BA">
        <w:rPr>
          <w:rFonts w:ascii="Helvetica" w:hAnsi="Helvetica" w:cs="Times New Roman"/>
          <w:sz w:val="22"/>
          <w:szCs w:val="22"/>
        </w:rPr>
        <w:t>Tenemos</w:t>
      </w:r>
      <w:proofErr w:type="spellEnd"/>
      <w:r w:rsidR="00CD55BA">
        <w:rPr>
          <w:rFonts w:ascii="Helvetica" w:hAnsi="Helvetica" w:cs="Times New Roman"/>
          <w:sz w:val="22"/>
          <w:szCs w:val="22"/>
        </w:rPr>
        <w:t xml:space="preserve"> and Ward 2018)</w:t>
      </w:r>
      <w:r w:rsidR="007667AC" w:rsidRPr="00BD6FFE">
        <w:rPr>
          <w:rFonts w:ascii="Helvetica" w:hAnsi="Helvetica" w:cs="Times New Roman"/>
          <w:sz w:val="22"/>
          <w:szCs w:val="22"/>
        </w:rPr>
        <w:t xml:space="preserve">. </w:t>
      </w:r>
      <w:r w:rsidR="00CD55BA">
        <w:rPr>
          <w:rFonts w:ascii="Helvetica" w:hAnsi="Helvetica" w:cs="Times New Roman"/>
          <w:sz w:val="22"/>
          <w:szCs w:val="22"/>
        </w:rPr>
        <w:t>However</w:t>
      </w:r>
      <w:r w:rsidR="007667AC" w:rsidRPr="00BD6FFE">
        <w:rPr>
          <w:rFonts w:ascii="Helvetica" w:hAnsi="Helvetica" w:cs="Times New Roman"/>
          <w:sz w:val="22"/>
          <w:szCs w:val="22"/>
        </w:rPr>
        <w:t xml:space="preserve">, it is not entirely clear from such work </w:t>
      </w:r>
      <w:r w:rsidR="002D754A" w:rsidRPr="00BD6FFE">
        <w:rPr>
          <w:rFonts w:ascii="Helvetica" w:hAnsi="Helvetica" w:cs="Times New Roman"/>
          <w:sz w:val="22"/>
          <w:szCs w:val="22"/>
        </w:rPr>
        <w:t>whether the</w:t>
      </w:r>
      <w:r w:rsidR="007667AC" w:rsidRPr="00BD6FFE">
        <w:rPr>
          <w:rFonts w:ascii="Helvetica" w:hAnsi="Helvetica" w:cs="Times New Roman"/>
          <w:sz w:val="22"/>
          <w:szCs w:val="22"/>
        </w:rPr>
        <w:t>ir</w:t>
      </w:r>
      <w:r w:rsidR="002D754A" w:rsidRPr="00BD6FFE">
        <w:rPr>
          <w:rFonts w:ascii="Helvetica" w:hAnsi="Helvetica" w:cs="Times New Roman"/>
          <w:sz w:val="22"/>
          <w:szCs w:val="22"/>
        </w:rPr>
        <w:t xml:space="preserve"> methodological prescriptions </w:t>
      </w:r>
      <w:r w:rsidR="007667AC" w:rsidRPr="00BD6FFE">
        <w:rPr>
          <w:rFonts w:ascii="Helvetica" w:hAnsi="Helvetica" w:cs="Times New Roman"/>
          <w:sz w:val="22"/>
          <w:szCs w:val="22"/>
        </w:rPr>
        <w:t xml:space="preserve">are </w:t>
      </w:r>
      <w:r w:rsidR="00FC5FAD">
        <w:rPr>
          <w:rFonts w:ascii="Helvetica" w:hAnsi="Helvetica" w:cs="Times New Roman"/>
          <w:sz w:val="22"/>
          <w:szCs w:val="22"/>
        </w:rPr>
        <w:t>completely</w:t>
      </w:r>
      <w:r w:rsidR="002D754A" w:rsidRPr="00BD6FFE">
        <w:rPr>
          <w:rFonts w:ascii="Helvetica" w:hAnsi="Helvetica" w:cs="Times New Roman"/>
          <w:sz w:val="22"/>
          <w:szCs w:val="22"/>
        </w:rPr>
        <w:t xml:space="preserve"> distinct from the more recent contributions of political scientists undertaking research on policy transfer</w:t>
      </w:r>
      <w:r w:rsidR="003F7A55" w:rsidRPr="00BD6FFE">
        <w:rPr>
          <w:rFonts w:ascii="Helvetica" w:hAnsi="Helvetica" w:cs="Times New Roman"/>
          <w:sz w:val="22"/>
          <w:szCs w:val="22"/>
        </w:rPr>
        <w:t xml:space="preserve"> (for example, McCann and Ward 201</w:t>
      </w:r>
      <w:r w:rsidR="00BD4B76">
        <w:rPr>
          <w:rFonts w:ascii="Helvetica" w:hAnsi="Helvetica" w:cs="Times New Roman"/>
          <w:sz w:val="22"/>
          <w:szCs w:val="22"/>
        </w:rPr>
        <w:t>2a</w:t>
      </w:r>
      <w:r w:rsidR="003F7A55" w:rsidRPr="00BD6FFE">
        <w:rPr>
          <w:rFonts w:ascii="Helvetica" w:hAnsi="Helvetica" w:cs="Times New Roman"/>
          <w:sz w:val="22"/>
          <w:szCs w:val="22"/>
        </w:rPr>
        <w:t>; Marsh and Evans 201</w:t>
      </w:r>
      <w:r w:rsidR="00BD4B76">
        <w:rPr>
          <w:rFonts w:ascii="Helvetica" w:hAnsi="Helvetica" w:cs="Times New Roman"/>
          <w:sz w:val="22"/>
          <w:szCs w:val="22"/>
        </w:rPr>
        <w:t>2</w:t>
      </w:r>
      <w:r w:rsidR="003F7A55" w:rsidRPr="00BD6FFE">
        <w:rPr>
          <w:rFonts w:ascii="Helvetica" w:hAnsi="Helvetica" w:cs="Times New Roman"/>
          <w:sz w:val="22"/>
          <w:szCs w:val="22"/>
        </w:rPr>
        <w:t>)</w:t>
      </w:r>
      <w:r w:rsidR="002D754A" w:rsidRPr="00BD6FFE">
        <w:rPr>
          <w:rFonts w:ascii="Helvetica" w:hAnsi="Helvetica" w:cs="Times New Roman"/>
          <w:sz w:val="22"/>
          <w:szCs w:val="22"/>
        </w:rPr>
        <w:t>.</w:t>
      </w:r>
      <w:r w:rsidR="00163678">
        <w:rPr>
          <w:rFonts w:ascii="Helvetica" w:hAnsi="Helvetica" w:cs="Times New Roman"/>
          <w:sz w:val="22"/>
          <w:szCs w:val="22"/>
        </w:rPr>
        <w:t xml:space="preserve"> </w:t>
      </w:r>
      <w:r w:rsidR="00D40B26">
        <w:rPr>
          <w:rFonts w:ascii="Helvetica" w:hAnsi="Helvetica" w:cs="Times New Roman"/>
          <w:sz w:val="22"/>
          <w:szCs w:val="22"/>
        </w:rPr>
        <w:t>I</w:t>
      </w:r>
      <w:r w:rsidR="00550932">
        <w:rPr>
          <w:rFonts w:ascii="Helvetica" w:hAnsi="Helvetica" w:cs="Times New Roman"/>
          <w:sz w:val="22"/>
          <w:szCs w:val="22"/>
        </w:rPr>
        <w:t>n our view, i</w:t>
      </w:r>
      <w:r w:rsidR="00D40B26">
        <w:rPr>
          <w:rFonts w:ascii="Helvetica" w:hAnsi="Helvetica" w:cs="Times New Roman"/>
          <w:sz w:val="22"/>
          <w:szCs w:val="22"/>
        </w:rPr>
        <w:t xml:space="preserve">f research in this area is to develop and expand, however, then greater clarity about methodological approaches and </w:t>
      </w:r>
      <w:r w:rsidR="00D40B26">
        <w:rPr>
          <w:rFonts w:ascii="Helvetica" w:hAnsi="Helvetica" w:cs="Times New Roman"/>
          <w:sz w:val="22"/>
          <w:szCs w:val="22"/>
        </w:rPr>
        <w:lastRenderedPageBreak/>
        <w:t xml:space="preserve">imperatives is required, and it is with this issue that the </w:t>
      </w:r>
      <w:r w:rsidR="00163678">
        <w:rPr>
          <w:rFonts w:ascii="Helvetica" w:hAnsi="Helvetica" w:cs="Times New Roman"/>
          <w:sz w:val="22"/>
          <w:szCs w:val="22"/>
        </w:rPr>
        <w:t xml:space="preserve">next section </w:t>
      </w:r>
      <w:r w:rsidR="00D40B26">
        <w:rPr>
          <w:rFonts w:ascii="Helvetica" w:hAnsi="Helvetica" w:cs="Times New Roman"/>
          <w:sz w:val="22"/>
          <w:szCs w:val="22"/>
        </w:rPr>
        <w:t xml:space="preserve">is primarily concerned. </w:t>
      </w:r>
    </w:p>
    <w:p w14:paraId="2111E263" w14:textId="77777777" w:rsidR="002D754A" w:rsidRPr="00BD6FFE" w:rsidRDefault="002D754A" w:rsidP="00BD6FFE">
      <w:pPr>
        <w:spacing w:line="480" w:lineRule="auto"/>
        <w:rPr>
          <w:rFonts w:ascii="Helvetica" w:hAnsi="Helvetica" w:cs="Times New Roman"/>
          <w:sz w:val="22"/>
          <w:szCs w:val="22"/>
        </w:rPr>
      </w:pPr>
    </w:p>
    <w:p w14:paraId="582FDFFB" w14:textId="7BED9B09" w:rsidR="002D754A" w:rsidRPr="00BD6FFE" w:rsidRDefault="002D754A" w:rsidP="00BD6FFE">
      <w:pPr>
        <w:spacing w:line="480" w:lineRule="auto"/>
        <w:rPr>
          <w:rFonts w:ascii="Helvetica" w:hAnsi="Helvetica" w:cs="Times New Roman"/>
          <w:b/>
          <w:sz w:val="22"/>
          <w:szCs w:val="22"/>
        </w:rPr>
      </w:pPr>
      <w:r w:rsidRPr="00BD6FFE">
        <w:rPr>
          <w:rFonts w:ascii="Helvetica" w:hAnsi="Helvetica" w:cs="Times New Roman"/>
          <w:b/>
          <w:sz w:val="22"/>
          <w:szCs w:val="22"/>
        </w:rPr>
        <w:t>Principles, practicalities and ethics of researching policy mo</w:t>
      </w:r>
      <w:r w:rsidR="00163678">
        <w:rPr>
          <w:rFonts w:ascii="Helvetica" w:hAnsi="Helvetica" w:cs="Times New Roman"/>
          <w:b/>
          <w:sz w:val="22"/>
          <w:szCs w:val="22"/>
        </w:rPr>
        <w:t>vement</w:t>
      </w:r>
      <w:r w:rsidRPr="00BD6FFE">
        <w:rPr>
          <w:rFonts w:ascii="Helvetica" w:hAnsi="Helvetica" w:cs="Times New Roman"/>
          <w:b/>
          <w:sz w:val="22"/>
          <w:szCs w:val="22"/>
        </w:rPr>
        <w:t xml:space="preserve"> </w:t>
      </w:r>
    </w:p>
    <w:p w14:paraId="743CBC32" w14:textId="473CEA3A" w:rsidR="002D754A" w:rsidRPr="00BD6FFE" w:rsidRDefault="00D601FC" w:rsidP="00BD6FFE">
      <w:pPr>
        <w:spacing w:line="480" w:lineRule="auto"/>
        <w:rPr>
          <w:rFonts w:ascii="Helvetica" w:hAnsi="Helvetica" w:cs="Times New Roman"/>
          <w:sz w:val="22"/>
          <w:szCs w:val="22"/>
        </w:rPr>
      </w:pPr>
      <w:r>
        <w:rPr>
          <w:rFonts w:ascii="Helvetica" w:hAnsi="Helvetica" w:cs="Times New Roman"/>
          <w:sz w:val="22"/>
          <w:szCs w:val="22"/>
        </w:rPr>
        <w:t>Like</w:t>
      </w:r>
      <w:r w:rsidR="00FC5FAD">
        <w:rPr>
          <w:rFonts w:ascii="Helvetica" w:hAnsi="Helvetica" w:cs="Times New Roman"/>
          <w:sz w:val="22"/>
          <w:szCs w:val="22"/>
        </w:rPr>
        <w:t xml:space="preserve"> Marsh and Evans (2012)</w:t>
      </w:r>
      <w:r>
        <w:rPr>
          <w:rFonts w:ascii="Helvetica" w:hAnsi="Helvetica" w:cs="Times New Roman"/>
          <w:sz w:val="22"/>
          <w:szCs w:val="22"/>
        </w:rPr>
        <w:t>, we consider</w:t>
      </w:r>
      <w:r w:rsidR="00FC5FAD">
        <w:rPr>
          <w:rFonts w:ascii="Helvetica" w:hAnsi="Helvetica" w:cs="Times New Roman"/>
          <w:sz w:val="22"/>
          <w:szCs w:val="22"/>
        </w:rPr>
        <w:t xml:space="preserve"> </w:t>
      </w:r>
      <w:r w:rsidR="002D754A" w:rsidRPr="00BD6FFE">
        <w:rPr>
          <w:rFonts w:ascii="Helvetica" w:hAnsi="Helvetica" w:cs="Times New Roman"/>
          <w:sz w:val="22"/>
          <w:szCs w:val="22"/>
        </w:rPr>
        <w:t xml:space="preserve">the divide between </w:t>
      </w:r>
      <w:r w:rsidR="0070319E">
        <w:rPr>
          <w:rFonts w:ascii="Helvetica" w:hAnsi="Helvetica" w:cs="Times New Roman"/>
          <w:sz w:val="22"/>
          <w:szCs w:val="22"/>
        </w:rPr>
        <w:t>‘</w:t>
      </w:r>
      <w:r w:rsidR="002D754A" w:rsidRPr="00BD6FFE">
        <w:rPr>
          <w:rFonts w:ascii="Helvetica" w:hAnsi="Helvetica" w:cs="Times New Roman"/>
          <w:sz w:val="22"/>
          <w:szCs w:val="22"/>
        </w:rPr>
        <w:t>traditional</w:t>
      </w:r>
      <w:r w:rsidR="0070319E">
        <w:rPr>
          <w:rFonts w:ascii="Helvetica" w:hAnsi="Helvetica" w:cs="Times New Roman"/>
          <w:sz w:val="22"/>
          <w:szCs w:val="22"/>
        </w:rPr>
        <w:t>’</w:t>
      </w:r>
      <w:r w:rsidR="002D754A" w:rsidRPr="00BD6FFE">
        <w:rPr>
          <w:rFonts w:ascii="Helvetica" w:hAnsi="Helvetica" w:cs="Times New Roman"/>
          <w:sz w:val="22"/>
          <w:szCs w:val="22"/>
        </w:rPr>
        <w:t xml:space="preserve"> political science approaches and the</w:t>
      </w:r>
      <w:r w:rsidR="001A10EE">
        <w:rPr>
          <w:rFonts w:ascii="Helvetica" w:hAnsi="Helvetica" w:cs="Times New Roman"/>
          <w:sz w:val="22"/>
          <w:szCs w:val="22"/>
        </w:rPr>
        <w:t xml:space="preserve"> more recent ‘</w:t>
      </w:r>
      <w:r w:rsidR="002D754A" w:rsidRPr="00BD6FFE">
        <w:rPr>
          <w:rFonts w:ascii="Helvetica" w:hAnsi="Helvetica" w:cs="Times New Roman"/>
          <w:sz w:val="22"/>
          <w:szCs w:val="22"/>
        </w:rPr>
        <w:t>mobilities</w:t>
      </w:r>
      <w:r w:rsidR="001A10EE">
        <w:rPr>
          <w:rFonts w:ascii="Helvetica" w:hAnsi="Helvetica" w:cs="Times New Roman"/>
          <w:sz w:val="22"/>
          <w:szCs w:val="22"/>
        </w:rPr>
        <w:t>‘</w:t>
      </w:r>
      <w:r w:rsidR="00FC5FAD">
        <w:rPr>
          <w:rFonts w:ascii="Helvetica" w:hAnsi="Helvetica" w:cs="Times New Roman"/>
          <w:sz w:val="22"/>
          <w:szCs w:val="22"/>
        </w:rPr>
        <w:t xml:space="preserve"> </w:t>
      </w:r>
      <w:r w:rsidR="002D754A" w:rsidRPr="00BD6FFE">
        <w:rPr>
          <w:rFonts w:ascii="Helvetica" w:hAnsi="Helvetica" w:cs="Times New Roman"/>
          <w:sz w:val="22"/>
          <w:szCs w:val="22"/>
        </w:rPr>
        <w:t>alternatives</w:t>
      </w:r>
      <w:r w:rsidR="00E973CA" w:rsidRPr="00BD6FFE">
        <w:rPr>
          <w:rFonts w:ascii="Helvetica" w:hAnsi="Helvetica" w:cs="Times New Roman"/>
          <w:sz w:val="22"/>
          <w:szCs w:val="22"/>
        </w:rPr>
        <w:t xml:space="preserve"> as </w:t>
      </w:r>
      <w:r>
        <w:rPr>
          <w:rFonts w:ascii="Helvetica" w:hAnsi="Helvetica" w:cs="Times New Roman"/>
          <w:sz w:val="22"/>
          <w:szCs w:val="22"/>
        </w:rPr>
        <w:t xml:space="preserve">less </w:t>
      </w:r>
      <w:r w:rsidR="00E973CA" w:rsidRPr="00BD6FFE">
        <w:rPr>
          <w:rFonts w:ascii="Helvetica" w:hAnsi="Helvetica" w:cs="Times New Roman"/>
          <w:sz w:val="22"/>
          <w:szCs w:val="22"/>
        </w:rPr>
        <w:t xml:space="preserve">substantial </w:t>
      </w:r>
      <w:r>
        <w:rPr>
          <w:rFonts w:ascii="Helvetica" w:hAnsi="Helvetica" w:cs="Times New Roman"/>
          <w:sz w:val="22"/>
          <w:szCs w:val="22"/>
        </w:rPr>
        <w:t>than</w:t>
      </w:r>
      <w:r w:rsidR="00FC5FAD">
        <w:rPr>
          <w:rFonts w:ascii="Helvetica" w:hAnsi="Helvetica" w:cs="Times New Roman"/>
          <w:sz w:val="22"/>
          <w:szCs w:val="22"/>
        </w:rPr>
        <w:t xml:space="preserve"> </w:t>
      </w:r>
      <w:r w:rsidR="00BD4B76">
        <w:rPr>
          <w:rFonts w:ascii="Helvetica" w:hAnsi="Helvetica" w:cs="Times New Roman"/>
          <w:sz w:val="22"/>
          <w:szCs w:val="22"/>
        </w:rPr>
        <w:t>proposed</w:t>
      </w:r>
      <w:r w:rsidR="00E973CA" w:rsidRPr="00BD6FFE">
        <w:rPr>
          <w:rFonts w:ascii="Helvetica" w:hAnsi="Helvetica" w:cs="Times New Roman"/>
          <w:sz w:val="22"/>
          <w:szCs w:val="22"/>
        </w:rPr>
        <w:t xml:space="preserve"> </w:t>
      </w:r>
      <w:r w:rsidR="00FC5FAD">
        <w:rPr>
          <w:rFonts w:ascii="Helvetica" w:hAnsi="Helvetica" w:cs="Times New Roman"/>
          <w:sz w:val="22"/>
          <w:szCs w:val="22"/>
        </w:rPr>
        <w:t>in some of the original ‘critical policy studies’ critiques</w:t>
      </w:r>
      <w:r w:rsidR="002D754A" w:rsidRPr="00BD6FFE">
        <w:rPr>
          <w:rFonts w:ascii="Helvetica" w:hAnsi="Helvetica" w:cs="Times New Roman"/>
          <w:sz w:val="22"/>
          <w:szCs w:val="22"/>
        </w:rPr>
        <w:t>.</w:t>
      </w:r>
      <w:r w:rsidR="00FC5FAD">
        <w:rPr>
          <w:rFonts w:ascii="Helvetica" w:hAnsi="Helvetica" w:cs="Times New Roman"/>
          <w:sz w:val="22"/>
          <w:szCs w:val="22"/>
        </w:rPr>
        <w:t xml:space="preserve"> Accordingly,</w:t>
      </w:r>
      <w:r w:rsidR="002D754A" w:rsidRPr="00BD6FFE">
        <w:rPr>
          <w:rFonts w:ascii="Helvetica" w:hAnsi="Helvetica" w:cs="Times New Roman"/>
          <w:sz w:val="22"/>
          <w:szCs w:val="22"/>
        </w:rPr>
        <w:t xml:space="preserve"> </w:t>
      </w:r>
      <w:r w:rsidR="00FC5FAD">
        <w:rPr>
          <w:rFonts w:ascii="Helvetica" w:hAnsi="Helvetica" w:cs="Times New Roman"/>
          <w:sz w:val="22"/>
          <w:szCs w:val="22"/>
        </w:rPr>
        <w:t xml:space="preserve">we regard </w:t>
      </w:r>
      <w:r w:rsidR="0070319E">
        <w:rPr>
          <w:rFonts w:ascii="Helvetica" w:hAnsi="Helvetica" w:cs="Times New Roman"/>
          <w:sz w:val="22"/>
          <w:szCs w:val="22"/>
        </w:rPr>
        <w:t>‘</w:t>
      </w:r>
      <w:r w:rsidR="00FC5FAD">
        <w:rPr>
          <w:rFonts w:ascii="Helvetica" w:hAnsi="Helvetica" w:cs="Times New Roman"/>
          <w:sz w:val="22"/>
          <w:szCs w:val="22"/>
        </w:rPr>
        <w:t>p</w:t>
      </w:r>
      <w:r w:rsidR="0070319E">
        <w:rPr>
          <w:rFonts w:ascii="Helvetica" w:hAnsi="Helvetica" w:cs="Times New Roman"/>
          <w:sz w:val="22"/>
          <w:szCs w:val="22"/>
        </w:rPr>
        <w:t>olic</w:t>
      </w:r>
      <w:r w:rsidR="001A10EE">
        <w:rPr>
          <w:rFonts w:ascii="Helvetica" w:hAnsi="Helvetica" w:cs="Times New Roman"/>
          <w:sz w:val="22"/>
          <w:szCs w:val="22"/>
        </w:rPr>
        <w:t>y mobilities’ approaches</w:t>
      </w:r>
      <w:r w:rsidR="0070319E">
        <w:rPr>
          <w:rFonts w:ascii="Helvetica" w:hAnsi="Helvetica" w:cs="Times New Roman"/>
          <w:sz w:val="22"/>
          <w:szCs w:val="22"/>
        </w:rPr>
        <w:t xml:space="preserve"> as </w:t>
      </w:r>
      <w:r w:rsidR="002D754A" w:rsidRPr="00BD6FFE">
        <w:rPr>
          <w:rFonts w:ascii="Helvetica" w:hAnsi="Helvetica" w:cs="Times New Roman"/>
          <w:sz w:val="22"/>
          <w:szCs w:val="22"/>
        </w:rPr>
        <w:t>a</w:t>
      </w:r>
      <w:r w:rsidR="00BD4B76">
        <w:rPr>
          <w:rFonts w:ascii="Helvetica" w:hAnsi="Helvetica" w:cs="Times New Roman"/>
          <w:sz w:val="22"/>
          <w:szCs w:val="22"/>
        </w:rPr>
        <w:t xml:space="preserve">n important and stimulating </w:t>
      </w:r>
      <w:r w:rsidR="002D754A" w:rsidRPr="00BD6FFE">
        <w:rPr>
          <w:rFonts w:ascii="Helvetica" w:hAnsi="Helvetica" w:cs="Times New Roman"/>
          <w:sz w:val="22"/>
          <w:szCs w:val="22"/>
        </w:rPr>
        <w:t>d</w:t>
      </w:r>
      <w:r w:rsidR="00626B7A">
        <w:rPr>
          <w:rFonts w:ascii="Helvetica" w:hAnsi="Helvetica" w:cs="Times New Roman"/>
          <w:sz w:val="22"/>
          <w:szCs w:val="22"/>
        </w:rPr>
        <w:t>evelopment</w:t>
      </w:r>
      <w:r w:rsidR="002D754A" w:rsidRPr="00BD6FFE">
        <w:rPr>
          <w:rFonts w:ascii="Helvetica" w:hAnsi="Helvetica" w:cs="Times New Roman"/>
          <w:sz w:val="22"/>
          <w:szCs w:val="22"/>
        </w:rPr>
        <w:t xml:space="preserve"> </w:t>
      </w:r>
      <w:r w:rsidR="00BD4B76">
        <w:rPr>
          <w:rFonts w:ascii="Helvetica" w:hAnsi="Helvetica" w:cs="Times New Roman"/>
          <w:sz w:val="22"/>
          <w:szCs w:val="22"/>
        </w:rPr>
        <w:t xml:space="preserve">of </w:t>
      </w:r>
      <w:r w:rsidR="002D754A" w:rsidRPr="00BD6FFE">
        <w:rPr>
          <w:rFonts w:ascii="Helvetica" w:hAnsi="Helvetica" w:cs="Times New Roman"/>
          <w:sz w:val="22"/>
          <w:szCs w:val="22"/>
        </w:rPr>
        <w:t xml:space="preserve">a field of multi-disciplinary study that </w:t>
      </w:r>
      <w:r w:rsidR="00E973CA" w:rsidRPr="00BD6FFE">
        <w:rPr>
          <w:rFonts w:ascii="Helvetica" w:hAnsi="Helvetica" w:cs="Times New Roman"/>
          <w:sz w:val="22"/>
          <w:szCs w:val="22"/>
        </w:rPr>
        <w:t xml:space="preserve">necessarily has </w:t>
      </w:r>
      <w:r w:rsidR="002D754A" w:rsidRPr="00BD6FFE">
        <w:rPr>
          <w:rFonts w:ascii="Helvetica" w:hAnsi="Helvetica" w:cs="Times New Roman"/>
          <w:sz w:val="22"/>
          <w:szCs w:val="22"/>
        </w:rPr>
        <w:t>a variety of research objectives</w:t>
      </w:r>
      <w:r w:rsidR="00BD4B76">
        <w:rPr>
          <w:rFonts w:ascii="Helvetica" w:hAnsi="Helvetica" w:cs="Times New Roman"/>
          <w:sz w:val="22"/>
          <w:szCs w:val="22"/>
        </w:rPr>
        <w:t>, rather than implying</w:t>
      </w:r>
      <w:r>
        <w:rPr>
          <w:rFonts w:ascii="Helvetica" w:hAnsi="Helvetica" w:cs="Times New Roman"/>
          <w:sz w:val="22"/>
          <w:szCs w:val="22"/>
        </w:rPr>
        <w:t xml:space="preserve"> some</w:t>
      </w:r>
      <w:r w:rsidR="00BD4B76">
        <w:rPr>
          <w:rFonts w:ascii="Helvetica" w:hAnsi="Helvetica" w:cs="Times New Roman"/>
          <w:sz w:val="22"/>
          <w:szCs w:val="22"/>
        </w:rPr>
        <w:t xml:space="preserve"> fundamental</w:t>
      </w:r>
      <w:r>
        <w:rPr>
          <w:rFonts w:ascii="Helvetica" w:hAnsi="Helvetica" w:cs="Times New Roman"/>
          <w:sz w:val="22"/>
          <w:szCs w:val="22"/>
        </w:rPr>
        <w:t xml:space="preserve"> rupture or a radically</w:t>
      </w:r>
      <w:r w:rsidR="00BD4B76">
        <w:rPr>
          <w:rFonts w:ascii="Helvetica" w:hAnsi="Helvetica" w:cs="Times New Roman"/>
          <w:sz w:val="22"/>
          <w:szCs w:val="22"/>
        </w:rPr>
        <w:t xml:space="preserve"> different methodological paradigm</w:t>
      </w:r>
      <w:r w:rsidR="002D754A" w:rsidRPr="00BD6FFE">
        <w:rPr>
          <w:rFonts w:ascii="Helvetica" w:hAnsi="Helvetica" w:cs="Times New Roman"/>
          <w:sz w:val="22"/>
          <w:szCs w:val="22"/>
        </w:rPr>
        <w:t xml:space="preserve">. </w:t>
      </w:r>
      <w:r w:rsidR="003C6600">
        <w:rPr>
          <w:rFonts w:ascii="Helvetica" w:hAnsi="Helvetica" w:cs="Times New Roman"/>
          <w:sz w:val="22"/>
          <w:szCs w:val="22"/>
        </w:rPr>
        <w:t>Nevertheless, studies with different emphases will necessarily have different methodological priorities. That said, w</w:t>
      </w:r>
      <w:r w:rsidR="00161D3B" w:rsidRPr="00BD6FFE">
        <w:rPr>
          <w:rFonts w:ascii="Helvetica" w:hAnsi="Helvetica" w:cs="Times New Roman"/>
          <w:sz w:val="22"/>
          <w:szCs w:val="22"/>
        </w:rPr>
        <w:t>hil</w:t>
      </w:r>
      <w:r w:rsidR="003C6600">
        <w:rPr>
          <w:rFonts w:ascii="Helvetica" w:hAnsi="Helvetica" w:cs="Times New Roman"/>
          <w:sz w:val="22"/>
          <w:szCs w:val="22"/>
        </w:rPr>
        <w:t>e</w:t>
      </w:r>
      <w:r w:rsidR="00161D3B" w:rsidRPr="00BD6FFE">
        <w:rPr>
          <w:rFonts w:ascii="Helvetica" w:hAnsi="Helvetica" w:cs="Times New Roman"/>
          <w:sz w:val="22"/>
          <w:szCs w:val="22"/>
        </w:rPr>
        <w:t xml:space="preserve"> encouraging </w:t>
      </w:r>
      <w:r w:rsidR="00626B7A">
        <w:rPr>
          <w:rFonts w:ascii="Helvetica" w:hAnsi="Helvetica" w:cs="Times New Roman"/>
          <w:sz w:val="22"/>
          <w:szCs w:val="22"/>
        </w:rPr>
        <w:t>methodological ‘</w:t>
      </w:r>
      <w:r w:rsidR="00161D3B" w:rsidRPr="00BD6FFE">
        <w:rPr>
          <w:rFonts w:ascii="Helvetica" w:hAnsi="Helvetica" w:cs="Times New Roman"/>
          <w:sz w:val="22"/>
          <w:szCs w:val="22"/>
        </w:rPr>
        <w:t>ecumenicalism</w:t>
      </w:r>
      <w:r w:rsidR="00626B7A">
        <w:rPr>
          <w:rFonts w:ascii="Helvetica" w:hAnsi="Helvetica" w:cs="Times New Roman"/>
          <w:sz w:val="22"/>
          <w:szCs w:val="22"/>
        </w:rPr>
        <w:t>’</w:t>
      </w:r>
      <w:r w:rsidR="00161D3B" w:rsidRPr="00BD6FFE">
        <w:rPr>
          <w:rFonts w:ascii="Helvetica" w:hAnsi="Helvetica" w:cs="Times New Roman"/>
          <w:sz w:val="22"/>
          <w:szCs w:val="22"/>
        </w:rPr>
        <w:t xml:space="preserve"> is fine in principle </w:t>
      </w:r>
      <w:r w:rsidR="00BD4B76">
        <w:rPr>
          <w:rFonts w:ascii="Helvetica" w:hAnsi="Helvetica" w:cs="Times New Roman"/>
          <w:sz w:val="22"/>
          <w:szCs w:val="22"/>
        </w:rPr>
        <w:t xml:space="preserve">it </w:t>
      </w:r>
      <w:r w:rsidR="003C6600">
        <w:rPr>
          <w:rFonts w:ascii="Helvetica" w:hAnsi="Helvetica" w:cs="Times New Roman"/>
          <w:sz w:val="22"/>
          <w:szCs w:val="22"/>
        </w:rPr>
        <w:t>remains</w:t>
      </w:r>
      <w:r w:rsidR="00BD4B76">
        <w:rPr>
          <w:rFonts w:ascii="Helvetica" w:hAnsi="Helvetica" w:cs="Times New Roman"/>
          <w:sz w:val="22"/>
          <w:szCs w:val="22"/>
        </w:rPr>
        <w:t xml:space="preserve"> vital to </w:t>
      </w:r>
      <w:r w:rsidR="003C6600">
        <w:rPr>
          <w:rFonts w:ascii="Helvetica" w:hAnsi="Helvetica" w:cs="Times New Roman"/>
          <w:sz w:val="22"/>
          <w:szCs w:val="22"/>
        </w:rPr>
        <w:t xml:space="preserve">encourage </w:t>
      </w:r>
      <w:r w:rsidR="00BD4B76">
        <w:rPr>
          <w:rFonts w:ascii="Helvetica" w:hAnsi="Helvetica" w:cs="Times New Roman"/>
          <w:sz w:val="22"/>
          <w:szCs w:val="22"/>
        </w:rPr>
        <w:t xml:space="preserve">clarity about the bases for the choice of </w:t>
      </w:r>
      <w:r w:rsidR="002D754A" w:rsidRPr="00BD6FFE">
        <w:rPr>
          <w:rFonts w:ascii="Helvetica" w:hAnsi="Helvetica" w:cs="Times New Roman"/>
          <w:sz w:val="22"/>
          <w:szCs w:val="22"/>
        </w:rPr>
        <w:t>methodologica</w:t>
      </w:r>
      <w:r w:rsidR="00871907" w:rsidRPr="00BD6FFE">
        <w:rPr>
          <w:rFonts w:ascii="Helvetica" w:hAnsi="Helvetica" w:cs="Times New Roman"/>
          <w:sz w:val="22"/>
          <w:szCs w:val="22"/>
        </w:rPr>
        <w:t>l selection</w:t>
      </w:r>
      <w:r w:rsidR="00161D3B" w:rsidRPr="00BD6FFE">
        <w:rPr>
          <w:rFonts w:ascii="Helvetica" w:hAnsi="Helvetica" w:cs="Times New Roman"/>
          <w:sz w:val="22"/>
          <w:szCs w:val="22"/>
        </w:rPr>
        <w:t xml:space="preserve">. </w:t>
      </w:r>
      <w:r w:rsidR="003764E9">
        <w:rPr>
          <w:rFonts w:ascii="Helvetica" w:hAnsi="Helvetica" w:cs="Times New Roman"/>
          <w:sz w:val="22"/>
          <w:szCs w:val="22"/>
        </w:rPr>
        <w:t>We discuss s</w:t>
      </w:r>
      <w:r w:rsidR="00161D3B" w:rsidRPr="00BD6FFE">
        <w:rPr>
          <w:rFonts w:ascii="Helvetica" w:hAnsi="Helvetica" w:cs="Times New Roman"/>
          <w:sz w:val="22"/>
          <w:szCs w:val="22"/>
        </w:rPr>
        <w:t xml:space="preserve">uch choices </w:t>
      </w:r>
      <w:r w:rsidR="003764E9">
        <w:rPr>
          <w:rFonts w:ascii="Helvetica" w:hAnsi="Helvetica" w:cs="Times New Roman"/>
          <w:sz w:val="22"/>
          <w:szCs w:val="22"/>
        </w:rPr>
        <w:t xml:space="preserve">in the context of three inter-related </w:t>
      </w:r>
      <w:r w:rsidR="002D754A" w:rsidRPr="00BD6FFE">
        <w:rPr>
          <w:rFonts w:ascii="Helvetica" w:hAnsi="Helvetica" w:cs="Times New Roman"/>
          <w:sz w:val="22"/>
          <w:szCs w:val="22"/>
        </w:rPr>
        <w:t>issues</w:t>
      </w:r>
      <w:r w:rsidR="003764E9">
        <w:rPr>
          <w:rFonts w:ascii="Helvetica" w:hAnsi="Helvetica" w:cs="Times New Roman"/>
          <w:sz w:val="22"/>
          <w:szCs w:val="22"/>
        </w:rPr>
        <w:t>:</w:t>
      </w:r>
      <w:r w:rsidR="002D754A" w:rsidRPr="00BD6FFE">
        <w:rPr>
          <w:rFonts w:ascii="Helvetica" w:hAnsi="Helvetica" w:cs="Times New Roman"/>
          <w:sz w:val="22"/>
          <w:szCs w:val="22"/>
        </w:rPr>
        <w:t xml:space="preserve"> </w:t>
      </w:r>
      <w:r w:rsidR="002D754A" w:rsidRPr="00BD6FFE">
        <w:rPr>
          <w:rFonts w:ascii="Helvetica" w:hAnsi="Helvetica" w:cs="Times New Roman"/>
          <w:i/>
          <w:sz w:val="22"/>
          <w:szCs w:val="22"/>
        </w:rPr>
        <w:t>research design principles</w:t>
      </w:r>
      <w:r w:rsidR="002D754A" w:rsidRPr="00BD6FFE">
        <w:rPr>
          <w:rFonts w:ascii="Helvetica" w:hAnsi="Helvetica" w:cs="Times New Roman"/>
          <w:sz w:val="22"/>
          <w:szCs w:val="22"/>
        </w:rPr>
        <w:t xml:space="preserve">, </w:t>
      </w:r>
      <w:r w:rsidR="002D754A" w:rsidRPr="00BD6FFE">
        <w:rPr>
          <w:rFonts w:ascii="Helvetica" w:hAnsi="Helvetica" w:cs="Times New Roman"/>
          <w:i/>
          <w:sz w:val="22"/>
          <w:szCs w:val="22"/>
        </w:rPr>
        <w:t>methodological practicalities</w:t>
      </w:r>
      <w:r w:rsidR="002D754A" w:rsidRPr="00BD6FFE">
        <w:rPr>
          <w:rFonts w:ascii="Helvetica" w:hAnsi="Helvetica" w:cs="Times New Roman"/>
          <w:sz w:val="22"/>
          <w:szCs w:val="22"/>
        </w:rPr>
        <w:t xml:space="preserve">, and </w:t>
      </w:r>
      <w:r w:rsidR="002D754A" w:rsidRPr="00BD6FFE">
        <w:rPr>
          <w:rFonts w:ascii="Helvetica" w:hAnsi="Helvetica" w:cs="Times New Roman"/>
          <w:i/>
          <w:sz w:val="22"/>
          <w:szCs w:val="22"/>
        </w:rPr>
        <w:t>ethical considerations</w:t>
      </w:r>
      <w:r w:rsidR="002D754A" w:rsidRPr="00BD6FFE">
        <w:rPr>
          <w:rFonts w:ascii="Helvetica" w:hAnsi="Helvetica" w:cs="Times New Roman"/>
          <w:sz w:val="22"/>
          <w:szCs w:val="22"/>
        </w:rPr>
        <w:t xml:space="preserve">. </w:t>
      </w:r>
    </w:p>
    <w:p w14:paraId="11062C4A" w14:textId="77777777" w:rsidR="00844336" w:rsidRPr="00BD6FFE" w:rsidRDefault="00844336" w:rsidP="00BD6FFE">
      <w:pPr>
        <w:spacing w:line="480" w:lineRule="auto"/>
        <w:rPr>
          <w:rFonts w:ascii="Helvetica" w:hAnsi="Helvetica" w:cs="Times New Roman"/>
          <w:sz w:val="22"/>
          <w:szCs w:val="22"/>
        </w:rPr>
      </w:pPr>
    </w:p>
    <w:p w14:paraId="2476275C" w14:textId="61B6E04D" w:rsidR="00420E25" w:rsidRPr="00BD6FFE" w:rsidRDefault="002D754A" w:rsidP="00BD6FFE">
      <w:pPr>
        <w:spacing w:line="480" w:lineRule="auto"/>
        <w:rPr>
          <w:rFonts w:ascii="Helvetica" w:hAnsi="Helvetica" w:cs="Times New Roman"/>
          <w:i/>
          <w:sz w:val="22"/>
          <w:szCs w:val="22"/>
        </w:rPr>
      </w:pPr>
      <w:r w:rsidRPr="00BD6FFE">
        <w:rPr>
          <w:rFonts w:ascii="Helvetica" w:hAnsi="Helvetica" w:cs="Times New Roman"/>
          <w:i/>
          <w:sz w:val="22"/>
          <w:szCs w:val="22"/>
        </w:rPr>
        <w:t>Principles of research design</w:t>
      </w:r>
    </w:p>
    <w:p w14:paraId="1498EE52" w14:textId="62AB5286" w:rsidR="00420E25" w:rsidRPr="00BD6FFE" w:rsidRDefault="00394456" w:rsidP="00BD6FFE">
      <w:pPr>
        <w:spacing w:line="480" w:lineRule="auto"/>
        <w:rPr>
          <w:rFonts w:ascii="Helvetica" w:hAnsi="Helvetica" w:cs="Times New Roman"/>
          <w:sz w:val="22"/>
          <w:szCs w:val="22"/>
        </w:rPr>
      </w:pPr>
      <w:r w:rsidRPr="00BD6FFE">
        <w:rPr>
          <w:rFonts w:ascii="Helvetica" w:hAnsi="Helvetica" w:cs="Times New Roman"/>
          <w:sz w:val="22"/>
          <w:szCs w:val="22"/>
        </w:rPr>
        <w:t>M</w:t>
      </w:r>
      <w:r w:rsidR="002D754A" w:rsidRPr="00BD6FFE">
        <w:rPr>
          <w:rFonts w:ascii="Helvetica" w:hAnsi="Helvetica" w:cs="Times New Roman"/>
          <w:sz w:val="22"/>
          <w:szCs w:val="22"/>
        </w:rPr>
        <w:t xml:space="preserve">ethodological choices are shaped by important (though not always explicit) principles that drive issues of research design. Three of the most important of these are the ontological and epistemological assumptions that underpin the research, the related issue of the ways in which the research ‘problem’ (or object of study) is constructed, and the specific kinds of research questions that flow from this. </w:t>
      </w:r>
    </w:p>
    <w:p w14:paraId="4D14B9CD" w14:textId="77777777" w:rsidR="00420E25" w:rsidRPr="00BD6FFE" w:rsidRDefault="00420E25" w:rsidP="00BD6FFE">
      <w:pPr>
        <w:spacing w:line="480" w:lineRule="auto"/>
        <w:rPr>
          <w:rFonts w:ascii="Helvetica" w:hAnsi="Helvetica" w:cs="Times New Roman"/>
          <w:sz w:val="22"/>
          <w:szCs w:val="22"/>
        </w:rPr>
      </w:pPr>
    </w:p>
    <w:p w14:paraId="328769C3" w14:textId="420D239B" w:rsidR="002D754A" w:rsidRPr="00BD6FFE" w:rsidRDefault="002D754A">
      <w:pPr>
        <w:spacing w:line="480" w:lineRule="auto"/>
        <w:rPr>
          <w:rFonts w:ascii="Helvetica" w:hAnsi="Helvetica" w:cs="Times New Roman"/>
          <w:sz w:val="22"/>
          <w:szCs w:val="22"/>
        </w:rPr>
      </w:pPr>
      <w:r w:rsidRPr="00BD6FFE">
        <w:rPr>
          <w:rFonts w:ascii="Helvetica" w:hAnsi="Helvetica" w:cs="Times New Roman"/>
          <w:sz w:val="22"/>
          <w:szCs w:val="22"/>
        </w:rPr>
        <w:t>Arguab</w:t>
      </w:r>
      <w:r w:rsidR="00871907" w:rsidRPr="00BD6FFE">
        <w:rPr>
          <w:rFonts w:ascii="Helvetica" w:hAnsi="Helvetica" w:cs="Times New Roman"/>
          <w:sz w:val="22"/>
          <w:szCs w:val="22"/>
        </w:rPr>
        <w:t xml:space="preserve">ly the most fundamental factor </w:t>
      </w:r>
      <w:r w:rsidRPr="00BD6FFE">
        <w:rPr>
          <w:rFonts w:ascii="Helvetica" w:hAnsi="Helvetica" w:cs="Times New Roman"/>
          <w:sz w:val="22"/>
          <w:szCs w:val="22"/>
        </w:rPr>
        <w:t xml:space="preserve">affecting research design is the basic </w:t>
      </w:r>
      <w:r w:rsidRPr="00BD6FFE">
        <w:rPr>
          <w:rFonts w:ascii="Helvetica" w:hAnsi="Helvetica" w:cs="Times New Roman"/>
          <w:i/>
          <w:sz w:val="22"/>
          <w:szCs w:val="22"/>
        </w:rPr>
        <w:t>ontological position</w:t>
      </w:r>
      <w:r w:rsidRPr="00BD6FFE">
        <w:rPr>
          <w:rFonts w:ascii="Helvetica" w:hAnsi="Helvetica" w:cs="Times New Roman"/>
          <w:sz w:val="22"/>
          <w:szCs w:val="22"/>
        </w:rPr>
        <w:t xml:space="preserve"> taken by the researchers involved</w:t>
      </w:r>
      <w:r w:rsidR="00D601FC">
        <w:rPr>
          <w:rFonts w:ascii="Helvetica" w:hAnsi="Helvetica" w:cs="Times New Roman"/>
          <w:sz w:val="22"/>
          <w:szCs w:val="22"/>
        </w:rPr>
        <w:t>, and t</w:t>
      </w:r>
      <w:r w:rsidR="00871907" w:rsidRPr="00BD6FFE">
        <w:rPr>
          <w:rFonts w:ascii="Helvetica" w:hAnsi="Helvetica" w:cs="Times New Roman"/>
          <w:sz w:val="22"/>
          <w:szCs w:val="22"/>
        </w:rPr>
        <w:t>his</w:t>
      </w:r>
      <w:r w:rsidRPr="00BD6FFE">
        <w:rPr>
          <w:rFonts w:ascii="Helvetica" w:hAnsi="Helvetica" w:cs="Times New Roman"/>
          <w:sz w:val="22"/>
          <w:szCs w:val="22"/>
        </w:rPr>
        <w:t xml:space="preserve"> </w:t>
      </w:r>
      <w:r w:rsidR="009E7E93" w:rsidRPr="00BD6FFE">
        <w:rPr>
          <w:rFonts w:ascii="Helvetica" w:hAnsi="Helvetica" w:cs="Times New Roman"/>
          <w:sz w:val="22"/>
          <w:szCs w:val="22"/>
        </w:rPr>
        <w:t xml:space="preserve">is the </w:t>
      </w:r>
      <w:r w:rsidRPr="00BD6FFE">
        <w:rPr>
          <w:rFonts w:ascii="Helvetica" w:hAnsi="Helvetica" w:cs="Times New Roman"/>
          <w:sz w:val="22"/>
          <w:szCs w:val="22"/>
        </w:rPr>
        <w:t>most obvious</w:t>
      </w:r>
      <w:r w:rsidR="009E7E93" w:rsidRPr="00BD6FFE">
        <w:rPr>
          <w:rFonts w:ascii="Helvetica" w:hAnsi="Helvetica" w:cs="Times New Roman"/>
          <w:sz w:val="22"/>
          <w:szCs w:val="22"/>
        </w:rPr>
        <w:t xml:space="preserve"> </w:t>
      </w:r>
      <w:r w:rsidR="009E7E93" w:rsidRPr="00BD6FFE">
        <w:rPr>
          <w:rFonts w:ascii="Helvetica" w:hAnsi="Helvetica" w:cs="Times New Roman"/>
          <w:sz w:val="22"/>
          <w:szCs w:val="22"/>
        </w:rPr>
        <w:lastRenderedPageBreak/>
        <w:t>distinction</w:t>
      </w:r>
      <w:r w:rsidRPr="00BD6FFE">
        <w:rPr>
          <w:rFonts w:ascii="Helvetica" w:hAnsi="Helvetica" w:cs="Times New Roman"/>
          <w:sz w:val="22"/>
          <w:szCs w:val="22"/>
        </w:rPr>
        <w:t xml:space="preserve"> separat</w:t>
      </w:r>
      <w:r w:rsidR="009E7E93" w:rsidRPr="00BD6FFE">
        <w:rPr>
          <w:rFonts w:ascii="Helvetica" w:hAnsi="Helvetica" w:cs="Times New Roman"/>
          <w:sz w:val="22"/>
          <w:szCs w:val="22"/>
        </w:rPr>
        <w:t>ing</w:t>
      </w:r>
      <w:r w:rsidRPr="00BD6FFE">
        <w:rPr>
          <w:rFonts w:ascii="Helvetica" w:hAnsi="Helvetica" w:cs="Times New Roman"/>
          <w:sz w:val="22"/>
          <w:szCs w:val="22"/>
        </w:rPr>
        <w:t xml:space="preserve"> those undertak</w:t>
      </w:r>
      <w:r w:rsidR="009E7E93" w:rsidRPr="00BD6FFE">
        <w:rPr>
          <w:rFonts w:ascii="Helvetica" w:hAnsi="Helvetica" w:cs="Times New Roman"/>
          <w:sz w:val="22"/>
          <w:szCs w:val="22"/>
        </w:rPr>
        <w:t>ing</w:t>
      </w:r>
      <w:r w:rsidRPr="00BD6FFE">
        <w:rPr>
          <w:rFonts w:ascii="Helvetica" w:hAnsi="Helvetica" w:cs="Times New Roman"/>
          <w:sz w:val="22"/>
          <w:szCs w:val="22"/>
        </w:rPr>
        <w:t xml:space="preserve"> </w:t>
      </w:r>
      <w:r w:rsidR="001A7532">
        <w:rPr>
          <w:rFonts w:ascii="Helvetica" w:hAnsi="Helvetica" w:cs="Times New Roman"/>
          <w:sz w:val="22"/>
          <w:szCs w:val="22"/>
        </w:rPr>
        <w:t>policy transfer</w:t>
      </w:r>
      <w:r w:rsidR="001A7532" w:rsidRPr="00BD6FFE">
        <w:rPr>
          <w:rFonts w:ascii="Helvetica" w:hAnsi="Helvetica" w:cs="Times New Roman"/>
          <w:sz w:val="22"/>
          <w:szCs w:val="22"/>
        </w:rPr>
        <w:t xml:space="preserve"> </w:t>
      </w:r>
      <w:r w:rsidRPr="00BD6FFE">
        <w:rPr>
          <w:rFonts w:ascii="Helvetica" w:hAnsi="Helvetica" w:cs="Times New Roman"/>
          <w:sz w:val="22"/>
          <w:szCs w:val="22"/>
        </w:rPr>
        <w:t>research within a traditional political science tradition</w:t>
      </w:r>
      <w:r w:rsidR="00871907" w:rsidRPr="00BD6FFE">
        <w:rPr>
          <w:rFonts w:ascii="Helvetica" w:hAnsi="Helvetica" w:cs="Times New Roman"/>
          <w:sz w:val="22"/>
          <w:szCs w:val="22"/>
        </w:rPr>
        <w:t xml:space="preserve"> from</w:t>
      </w:r>
      <w:r w:rsidRPr="00BD6FFE">
        <w:rPr>
          <w:rFonts w:ascii="Helvetica" w:hAnsi="Helvetica" w:cs="Times New Roman"/>
          <w:sz w:val="22"/>
          <w:szCs w:val="22"/>
        </w:rPr>
        <w:t xml:space="preserve"> interpretivist critics of such work. </w:t>
      </w:r>
      <w:r w:rsidR="00D601FC">
        <w:rPr>
          <w:rFonts w:ascii="Helvetica" w:hAnsi="Helvetica" w:cs="Times New Roman"/>
          <w:sz w:val="22"/>
          <w:szCs w:val="22"/>
        </w:rPr>
        <w:t>Such</w:t>
      </w:r>
      <w:r w:rsidR="009E7E93" w:rsidRPr="00BD6FFE">
        <w:rPr>
          <w:rFonts w:ascii="Helvetica" w:hAnsi="Helvetica" w:cs="Times New Roman"/>
          <w:sz w:val="22"/>
          <w:szCs w:val="22"/>
        </w:rPr>
        <w:t xml:space="preserve"> </w:t>
      </w:r>
      <w:r w:rsidRPr="00BD6FFE">
        <w:rPr>
          <w:rFonts w:ascii="Helvetica" w:hAnsi="Helvetica" w:cs="Times New Roman"/>
          <w:sz w:val="22"/>
          <w:szCs w:val="22"/>
        </w:rPr>
        <w:t xml:space="preserve">ontological positions </w:t>
      </w:r>
      <w:r w:rsidR="00D601FC">
        <w:rPr>
          <w:rFonts w:ascii="Helvetica" w:hAnsi="Helvetica" w:cs="Times New Roman"/>
          <w:sz w:val="22"/>
          <w:szCs w:val="22"/>
        </w:rPr>
        <w:t xml:space="preserve">of course </w:t>
      </w:r>
      <w:r w:rsidRPr="00BD6FFE">
        <w:rPr>
          <w:rFonts w:ascii="Helvetica" w:hAnsi="Helvetica" w:cs="Times New Roman"/>
          <w:sz w:val="22"/>
          <w:szCs w:val="22"/>
        </w:rPr>
        <w:t>have epistemological implications. In broad terms, those operating within a constructivist ontology</w:t>
      </w:r>
      <w:r w:rsidR="00CE68F9">
        <w:rPr>
          <w:rFonts w:ascii="Helvetica" w:hAnsi="Helvetica" w:cs="Times New Roman"/>
          <w:sz w:val="22"/>
          <w:szCs w:val="22"/>
        </w:rPr>
        <w:t>, such as the bulk of the critical policy studies scholars,</w:t>
      </w:r>
      <w:r w:rsidRPr="00BD6FFE">
        <w:rPr>
          <w:rFonts w:ascii="Helvetica" w:hAnsi="Helvetica" w:cs="Times New Roman"/>
          <w:sz w:val="22"/>
          <w:szCs w:val="22"/>
        </w:rPr>
        <w:t xml:space="preserve"> </w:t>
      </w:r>
      <w:r w:rsidR="00871907" w:rsidRPr="00BD6FFE">
        <w:rPr>
          <w:rFonts w:ascii="Helvetica" w:hAnsi="Helvetica" w:cs="Times New Roman"/>
          <w:sz w:val="22"/>
          <w:szCs w:val="22"/>
        </w:rPr>
        <w:t>favour</w:t>
      </w:r>
      <w:r w:rsidRPr="00BD6FFE">
        <w:rPr>
          <w:rFonts w:ascii="Helvetica" w:hAnsi="Helvetica" w:cs="Times New Roman"/>
          <w:sz w:val="22"/>
          <w:szCs w:val="22"/>
        </w:rPr>
        <w:t xml:space="preserve"> inductive reasoning, taking a theory-building approach to questions of policy mobilities</w:t>
      </w:r>
      <w:r w:rsidR="00CE68F9">
        <w:rPr>
          <w:rFonts w:ascii="Helvetica" w:hAnsi="Helvetica" w:cs="Times New Roman"/>
          <w:sz w:val="22"/>
          <w:szCs w:val="22"/>
        </w:rPr>
        <w:t xml:space="preserve">. </w:t>
      </w:r>
      <w:r w:rsidR="00844246">
        <w:rPr>
          <w:rFonts w:ascii="Helvetica" w:hAnsi="Helvetica" w:cs="Times New Roman"/>
          <w:sz w:val="22"/>
          <w:szCs w:val="22"/>
        </w:rPr>
        <w:t>By contrast, realists</w:t>
      </w:r>
      <w:r w:rsidR="00844246" w:rsidRPr="00BD6FFE">
        <w:rPr>
          <w:rFonts w:ascii="Helvetica" w:hAnsi="Helvetica" w:cs="Times New Roman"/>
          <w:sz w:val="22"/>
          <w:szCs w:val="22"/>
        </w:rPr>
        <w:t xml:space="preserve"> –</w:t>
      </w:r>
      <w:r w:rsidR="00844246">
        <w:rPr>
          <w:rFonts w:ascii="Helvetica" w:hAnsi="Helvetica" w:cs="Times New Roman"/>
          <w:sz w:val="22"/>
          <w:szCs w:val="22"/>
        </w:rPr>
        <w:t xml:space="preserve"> </w:t>
      </w:r>
      <w:r w:rsidR="00844246" w:rsidRPr="00BD6FFE">
        <w:rPr>
          <w:rFonts w:ascii="Helvetica" w:hAnsi="Helvetica" w:cs="Times New Roman"/>
          <w:sz w:val="22"/>
          <w:szCs w:val="22"/>
        </w:rPr>
        <w:t xml:space="preserve">the ontological position </w:t>
      </w:r>
      <w:r w:rsidR="00844246">
        <w:rPr>
          <w:rFonts w:ascii="Helvetica" w:hAnsi="Helvetica" w:cs="Times New Roman"/>
          <w:sz w:val="22"/>
          <w:szCs w:val="22"/>
        </w:rPr>
        <w:t>underpinning</w:t>
      </w:r>
      <w:r w:rsidR="00844246" w:rsidRPr="00BD6FFE">
        <w:rPr>
          <w:rFonts w:ascii="Helvetica" w:hAnsi="Helvetica" w:cs="Times New Roman"/>
          <w:sz w:val="22"/>
          <w:szCs w:val="22"/>
        </w:rPr>
        <w:t xml:space="preserve"> </w:t>
      </w:r>
      <w:r w:rsidR="00844246">
        <w:rPr>
          <w:rFonts w:ascii="Helvetica" w:hAnsi="Helvetica" w:cs="Times New Roman"/>
          <w:sz w:val="22"/>
          <w:szCs w:val="22"/>
        </w:rPr>
        <w:t>most</w:t>
      </w:r>
      <w:r w:rsidR="00844246" w:rsidRPr="00BD6FFE">
        <w:rPr>
          <w:rFonts w:ascii="Helvetica" w:hAnsi="Helvetica" w:cs="Times New Roman"/>
          <w:sz w:val="22"/>
          <w:szCs w:val="22"/>
        </w:rPr>
        <w:t xml:space="preserve"> political science </w:t>
      </w:r>
      <w:r w:rsidR="00844246">
        <w:rPr>
          <w:rFonts w:ascii="Helvetica" w:hAnsi="Helvetica" w:cs="Times New Roman"/>
          <w:sz w:val="22"/>
          <w:szCs w:val="22"/>
        </w:rPr>
        <w:t xml:space="preserve">and criminological </w:t>
      </w:r>
      <w:r w:rsidR="00844246" w:rsidRPr="00BD6FFE">
        <w:rPr>
          <w:rFonts w:ascii="Helvetica" w:hAnsi="Helvetica" w:cs="Times New Roman"/>
          <w:sz w:val="22"/>
          <w:szCs w:val="22"/>
        </w:rPr>
        <w:t xml:space="preserve">work in this field - are more likely to favour deductive reasoning and theory-testing. </w:t>
      </w:r>
      <w:r w:rsidR="001A4548">
        <w:rPr>
          <w:rFonts w:ascii="Helvetica" w:hAnsi="Helvetica" w:cs="Times New Roman"/>
          <w:sz w:val="22"/>
          <w:szCs w:val="22"/>
        </w:rPr>
        <w:t xml:space="preserve">Baker and </w:t>
      </w:r>
      <w:proofErr w:type="spellStart"/>
      <w:r w:rsidR="001A4548">
        <w:rPr>
          <w:rFonts w:ascii="Helvetica" w:hAnsi="Helvetica" w:cs="Times New Roman"/>
          <w:sz w:val="22"/>
          <w:szCs w:val="22"/>
        </w:rPr>
        <w:t>McGuirk</w:t>
      </w:r>
      <w:proofErr w:type="spellEnd"/>
      <w:r w:rsidR="001A4548">
        <w:rPr>
          <w:rFonts w:ascii="Helvetica" w:hAnsi="Helvetica" w:cs="Times New Roman"/>
          <w:sz w:val="22"/>
          <w:szCs w:val="22"/>
        </w:rPr>
        <w:t xml:space="preserve"> (</w:t>
      </w:r>
      <w:r w:rsidR="00CD55BA">
        <w:rPr>
          <w:rFonts w:ascii="Helvetica" w:hAnsi="Helvetica" w:cs="Times New Roman"/>
          <w:sz w:val="22"/>
          <w:szCs w:val="22"/>
        </w:rPr>
        <w:t>2017</w:t>
      </w:r>
      <w:r w:rsidR="001A4548">
        <w:rPr>
          <w:rFonts w:ascii="Helvetica" w:hAnsi="Helvetica" w:cs="Times New Roman"/>
          <w:sz w:val="22"/>
          <w:szCs w:val="22"/>
        </w:rPr>
        <w:t xml:space="preserve">) set out four ‘epistemological commitments’ that are common to those scholars who adopt an ‘assemblage’ approach to understanding policy mobilities. These include commitments to revealing multiplicity’, to understanding the notion of </w:t>
      </w:r>
      <w:r w:rsidR="00CD55BA">
        <w:rPr>
          <w:rFonts w:ascii="Helvetica" w:hAnsi="Helvetica" w:cs="Times New Roman"/>
          <w:sz w:val="22"/>
          <w:szCs w:val="22"/>
        </w:rPr>
        <w:t>‘</w:t>
      </w:r>
      <w:proofErr w:type="spellStart"/>
      <w:r w:rsidR="00CD55BA">
        <w:rPr>
          <w:rFonts w:ascii="Helvetica" w:hAnsi="Helvetica" w:cs="Times New Roman"/>
          <w:sz w:val="22"/>
          <w:szCs w:val="22"/>
        </w:rPr>
        <w:t>processuality</w:t>
      </w:r>
      <w:proofErr w:type="spellEnd"/>
      <w:r w:rsidR="00CD55BA">
        <w:rPr>
          <w:rFonts w:ascii="Helvetica" w:hAnsi="Helvetica" w:cs="Times New Roman"/>
          <w:sz w:val="22"/>
          <w:szCs w:val="22"/>
        </w:rPr>
        <w:t>’, to the actual ‘labour’ of assembling/taking apart/reassembling, and to the notion of uncertainty</w:t>
      </w:r>
      <w:r w:rsidR="00865C66">
        <w:rPr>
          <w:rFonts w:ascii="Helvetica" w:hAnsi="Helvetica" w:cs="Times New Roman"/>
          <w:sz w:val="22"/>
          <w:szCs w:val="22"/>
        </w:rPr>
        <w:t xml:space="preserve"> (avoiding the adoption of rigid explanatory frameworks and accepting the limitations of social research)</w:t>
      </w:r>
      <w:r w:rsidR="00CD55BA">
        <w:rPr>
          <w:rFonts w:ascii="Helvetica" w:hAnsi="Helvetica" w:cs="Times New Roman"/>
          <w:sz w:val="22"/>
          <w:szCs w:val="22"/>
        </w:rPr>
        <w:t xml:space="preserve">. </w:t>
      </w:r>
      <w:r w:rsidR="001A7532">
        <w:rPr>
          <w:rFonts w:ascii="Helvetica" w:hAnsi="Helvetica" w:cs="Times New Roman"/>
          <w:sz w:val="22"/>
          <w:szCs w:val="22"/>
        </w:rPr>
        <w:t xml:space="preserve">In fact, we would argue that such a focus is more a matter of emphasis than of any necessary epistemological difference. </w:t>
      </w:r>
      <w:r w:rsidR="00844246">
        <w:rPr>
          <w:rFonts w:ascii="Helvetica" w:hAnsi="Helvetica" w:cs="Times New Roman"/>
          <w:sz w:val="22"/>
          <w:szCs w:val="22"/>
        </w:rPr>
        <w:t>Indeed</w:t>
      </w:r>
      <w:r w:rsidR="001A7532">
        <w:rPr>
          <w:rFonts w:ascii="Helvetica" w:hAnsi="Helvetica" w:cs="Times New Roman"/>
          <w:sz w:val="22"/>
          <w:szCs w:val="22"/>
        </w:rPr>
        <w:t xml:space="preserve">, </w:t>
      </w:r>
      <w:r w:rsidR="00844246">
        <w:rPr>
          <w:rFonts w:ascii="Helvetica" w:hAnsi="Helvetica" w:cs="Times New Roman"/>
          <w:sz w:val="22"/>
          <w:szCs w:val="22"/>
        </w:rPr>
        <w:t>and similarly, a</w:t>
      </w:r>
      <w:r w:rsidRPr="00BD6FFE">
        <w:rPr>
          <w:rFonts w:ascii="Helvetica" w:hAnsi="Helvetica" w:cs="Times New Roman"/>
          <w:sz w:val="22"/>
          <w:szCs w:val="22"/>
        </w:rPr>
        <w:t xml:space="preserve">lthough the </w:t>
      </w:r>
      <w:r w:rsidR="00871907" w:rsidRPr="00BD6FFE">
        <w:rPr>
          <w:rFonts w:ascii="Helvetica" w:hAnsi="Helvetica" w:cs="Times New Roman"/>
          <w:sz w:val="22"/>
          <w:szCs w:val="22"/>
        </w:rPr>
        <w:t>constructivist</w:t>
      </w:r>
      <w:r w:rsidRPr="00BD6FFE">
        <w:rPr>
          <w:rFonts w:ascii="Helvetica" w:hAnsi="Helvetica" w:cs="Times New Roman"/>
          <w:sz w:val="22"/>
          <w:szCs w:val="22"/>
        </w:rPr>
        <w:t xml:space="preserve"> critique </w:t>
      </w:r>
      <w:r w:rsidR="003A3986" w:rsidRPr="00BD6FFE">
        <w:rPr>
          <w:rFonts w:ascii="Helvetica" w:hAnsi="Helvetica" w:cs="Times New Roman"/>
          <w:sz w:val="22"/>
          <w:szCs w:val="22"/>
        </w:rPr>
        <w:t>suggests the</w:t>
      </w:r>
      <w:r w:rsidRPr="00BD6FFE">
        <w:rPr>
          <w:rFonts w:ascii="Helvetica" w:hAnsi="Helvetica" w:cs="Times New Roman"/>
          <w:sz w:val="22"/>
          <w:szCs w:val="22"/>
        </w:rPr>
        <w:t xml:space="preserve"> divide between these two ontological positions is an unbridgeable one, </w:t>
      </w:r>
      <w:r w:rsidR="009E7E93" w:rsidRPr="00BD6FFE">
        <w:rPr>
          <w:rFonts w:ascii="Helvetica" w:hAnsi="Helvetica" w:cs="Times New Roman"/>
          <w:sz w:val="22"/>
          <w:szCs w:val="22"/>
        </w:rPr>
        <w:t>in reality</w:t>
      </w:r>
      <w:r w:rsidR="00E06D54" w:rsidRPr="00BD6FFE">
        <w:rPr>
          <w:rFonts w:ascii="Helvetica" w:hAnsi="Helvetica" w:cs="Times New Roman"/>
          <w:sz w:val="22"/>
          <w:szCs w:val="22"/>
        </w:rPr>
        <w:t xml:space="preserve"> the ontological and epistemological</w:t>
      </w:r>
      <w:r w:rsidRPr="00BD6FFE">
        <w:rPr>
          <w:rFonts w:ascii="Helvetica" w:hAnsi="Helvetica" w:cs="Times New Roman"/>
          <w:sz w:val="22"/>
          <w:szCs w:val="22"/>
        </w:rPr>
        <w:t xml:space="preserve"> </w:t>
      </w:r>
      <w:r w:rsidR="00E06D54" w:rsidRPr="00BD6FFE">
        <w:rPr>
          <w:rFonts w:ascii="Helvetica" w:hAnsi="Helvetica" w:cs="Times New Roman"/>
          <w:sz w:val="22"/>
          <w:szCs w:val="22"/>
        </w:rPr>
        <w:t>decisions that</w:t>
      </w:r>
      <w:r w:rsidRPr="00BD6FFE">
        <w:rPr>
          <w:rFonts w:ascii="Helvetica" w:hAnsi="Helvetica" w:cs="Times New Roman"/>
          <w:sz w:val="22"/>
          <w:szCs w:val="22"/>
        </w:rPr>
        <w:t xml:space="preserve"> social researchers take vary much more subtly</w:t>
      </w:r>
      <w:r w:rsidR="00E06D54" w:rsidRPr="00BD6FFE">
        <w:rPr>
          <w:rFonts w:ascii="Helvetica" w:hAnsi="Helvetica" w:cs="Times New Roman"/>
          <w:sz w:val="22"/>
          <w:szCs w:val="22"/>
        </w:rPr>
        <w:t xml:space="preserve"> (</w:t>
      </w:r>
      <w:r w:rsidR="00CE68F9">
        <w:rPr>
          <w:rFonts w:ascii="Helvetica" w:hAnsi="Helvetica" w:cs="Times New Roman"/>
          <w:sz w:val="22"/>
          <w:szCs w:val="22"/>
        </w:rPr>
        <w:t>see</w:t>
      </w:r>
      <w:r w:rsidR="00E06D54" w:rsidRPr="00BD6FFE">
        <w:rPr>
          <w:rFonts w:ascii="Helvetica" w:hAnsi="Helvetica" w:cs="Times New Roman"/>
          <w:sz w:val="22"/>
          <w:szCs w:val="22"/>
        </w:rPr>
        <w:t>, Bryman 2016: 34)</w:t>
      </w:r>
      <w:r w:rsidRPr="00BD6FFE">
        <w:rPr>
          <w:rFonts w:ascii="Helvetica" w:hAnsi="Helvetica" w:cs="Times New Roman"/>
          <w:sz w:val="22"/>
          <w:szCs w:val="22"/>
        </w:rPr>
        <w:t xml:space="preserve"> </w:t>
      </w:r>
      <w:r w:rsidR="009E7E93" w:rsidRPr="00BD6FFE">
        <w:rPr>
          <w:rFonts w:ascii="Helvetica" w:hAnsi="Helvetica" w:cs="Times New Roman"/>
          <w:sz w:val="22"/>
          <w:szCs w:val="22"/>
        </w:rPr>
        <w:t>and</w:t>
      </w:r>
      <w:r w:rsidR="00E06D54" w:rsidRPr="00BD6FFE">
        <w:rPr>
          <w:rFonts w:ascii="Helvetica" w:hAnsi="Helvetica" w:cs="Times New Roman"/>
          <w:sz w:val="22"/>
          <w:szCs w:val="22"/>
        </w:rPr>
        <w:t xml:space="preserve"> are </w:t>
      </w:r>
      <w:r w:rsidRPr="00BD6FFE">
        <w:rPr>
          <w:rFonts w:ascii="Helvetica" w:hAnsi="Helvetica" w:cs="Times New Roman"/>
          <w:sz w:val="22"/>
          <w:szCs w:val="22"/>
        </w:rPr>
        <w:t>better thought of as</w:t>
      </w:r>
      <w:r w:rsidR="00E06D54" w:rsidRPr="00BD6FFE">
        <w:rPr>
          <w:rFonts w:ascii="Helvetica" w:hAnsi="Helvetica" w:cs="Times New Roman"/>
          <w:sz w:val="22"/>
          <w:szCs w:val="22"/>
        </w:rPr>
        <w:t xml:space="preserve"> lying somewhere on a continuum</w:t>
      </w:r>
      <w:r w:rsidR="00626B7A">
        <w:rPr>
          <w:rFonts w:ascii="Helvetica" w:hAnsi="Helvetica" w:cs="Times New Roman"/>
          <w:sz w:val="22"/>
          <w:szCs w:val="22"/>
        </w:rPr>
        <w:t xml:space="preserve">. </w:t>
      </w:r>
      <w:r w:rsidR="009E7E93" w:rsidRPr="00BD6FFE">
        <w:rPr>
          <w:rFonts w:ascii="Helvetica" w:hAnsi="Helvetica" w:cs="Times New Roman"/>
          <w:sz w:val="22"/>
          <w:szCs w:val="22"/>
        </w:rPr>
        <w:t>This accepted</w:t>
      </w:r>
      <w:r w:rsidRPr="00BD6FFE">
        <w:rPr>
          <w:rFonts w:ascii="Helvetica" w:hAnsi="Helvetica" w:cs="Times New Roman"/>
          <w:sz w:val="22"/>
          <w:szCs w:val="22"/>
        </w:rPr>
        <w:t xml:space="preserve">, it </w:t>
      </w:r>
      <w:r w:rsidR="009E7E93" w:rsidRPr="00BD6FFE">
        <w:rPr>
          <w:rFonts w:ascii="Helvetica" w:hAnsi="Helvetica" w:cs="Times New Roman"/>
          <w:sz w:val="22"/>
          <w:szCs w:val="22"/>
        </w:rPr>
        <w:t xml:space="preserve">is nevertheless </w:t>
      </w:r>
      <w:r w:rsidRPr="00BD6FFE">
        <w:rPr>
          <w:rFonts w:ascii="Helvetica" w:hAnsi="Helvetica" w:cs="Times New Roman"/>
          <w:sz w:val="22"/>
          <w:szCs w:val="22"/>
        </w:rPr>
        <w:t>the case that the position that researchers occupy on the continuum between realism and constructionism necessarily has an important impact on the way their research is organised and undertaken</w:t>
      </w:r>
      <w:r w:rsidR="00423B5F">
        <w:rPr>
          <w:rFonts w:ascii="Helvetica" w:hAnsi="Helvetica" w:cs="Times New Roman"/>
          <w:sz w:val="22"/>
          <w:szCs w:val="22"/>
        </w:rPr>
        <w:t xml:space="preserve"> and th</w:t>
      </w:r>
      <w:r w:rsidR="00A55DC8">
        <w:rPr>
          <w:rFonts w:ascii="Helvetica" w:hAnsi="Helvetica" w:cs="Times New Roman"/>
          <w:sz w:val="22"/>
          <w:szCs w:val="22"/>
        </w:rPr>
        <w:t>is</w:t>
      </w:r>
      <w:r w:rsidR="00423B5F">
        <w:rPr>
          <w:rFonts w:ascii="Helvetica" w:hAnsi="Helvetica" w:cs="Times New Roman"/>
          <w:sz w:val="22"/>
          <w:szCs w:val="22"/>
        </w:rPr>
        <w:t xml:space="preserve"> needs to be acknowledged more explicitly in research on policy ‘movement’ and related topics</w:t>
      </w:r>
      <w:r w:rsidRPr="00BD6FFE">
        <w:rPr>
          <w:rFonts w:ascii="Helvetica" w:hAnsi="Helvetica" w:cs="Times New Roman"/>
          <w:sz w:val="22"/>
          <w:szCs w:val="22"/>
        </w:rPr>
        <w:t xml:space="preserve">. </w:t>
      </w:r>
      <w:r w:rsidR="00C0041D">
        <w:rPr>
          <w:rFonts w:ascii="Helvetica" w:hAnsi="Helvetica" w:cs="Times New Roman"/>
          <w:sz w:val="22"/>
          <w:szCs w:val="22"/>
        </w:rPr>
        <w:t>Within criminology, as in political science (see Marsh and Evans 2012), fundamental differences in ontological and epistemological decisions are</w:t>
      </w:r>
      <w:r w:rsidR="00423B5F">
        <w:rPr>
          <w:rFonts w:ascii="Helvetica" w:hAnsi="Helvetica" w:cs="Times New Roman"/>
          <w:sz w:val="22"/>
          <w:szCs w:val="22"/>
        </w:rPr>
        <w:t xml:space="preserve"> of course</w:t>
      </w:r>
      <w:r w:rsidR="00C0041D">
        <w:rPr>
          <w:rFonts w:ascii="Helvetica" w:hAnsi="Helvetica" w:cs="Times New Roman"/>
          <w:sz w:val="22"/>
          <w:szCs w:val="22"/>
        </w:rPr>
        <w:t xml:space="preserve"> not resolvable by reference to empirical research. But explicit recognition of, and engagement with, </w:t>
      </w:r>
      <w:r w:rsidR="00C0041D">
        <w:rPr>
          <w:rFonts w:ascii="Helvetica" w:hAnsi="Helvetica" w:cs="Times New Roman"/>
          <w:sz w:val="22"/>
          <w:szCs w:val="22"/>
        </w:rPr>
        <w:lastRenderedPageBreak/>
        <w:t xml:space="preserve">the philosophical assumptions underpinning a particular construction of the research ‘problem’ posed by cross-national crime policy flows (and of the ways in which it is rendered ‘researchable’) is a key first step. </w:t>
      </w:r>
    </w:p>
    <w:p w14:paraId="31F7F6A5" w14:textId="7D15F5F2" w:rsidR="002D754A" w:rsidRPr="00BD6FFE" w:rsidRDefault="002D754A" w:rsidP="00BD6FFE">
      <w:pPr>
        <w:spacing w:line="480" w:lineRule="auto"/>
        <w:rPr>
          <w:rFonts w:ascii="Helvetica" w:hAnsi="Helvetica" w:cs="Times New Roman"/>
          <w:i/>
          <w:sz w:val="22"/>
          <w:szCs w:val="22"/>
        </w:rPr>
      </w:pPr>
    </w:p>
    <w:p w14:paraId="115DF2C0" w14:textId="3E28485D" w:rsidR="00C0041D" w:rsidRDefault="002D754A" w:rsidP="000A1DDE">
      <w:pPr>
        <w:spacing w:line="480" w:lineRule="auto"/>
        <w:rPr>
          <w:rFonts w:ascii="Helvetica" w:hAnsi="Helvetica" w:cs="Times New Roman"/>
          <w:sz w:val="22"/>
          <w:szCs w:val="22"/>
        </w:rPr>
      </w:pPr>
      <w:r w:rsidRPr="00BD6FFE">
        <w:rPr>
          <w:rFonts w:ascii="Helvetica" w:hAnsi="Helvetica" w:cs="Times New Roman"/>
          <w:sz w:val="22"/>
          <w:szCs w:val="22"/>
        </w:rPr>
        <w:t>A</w:t>
      </w:r>
      <w:r w:rsidR="00C0041D">
        <w:rPr>
          <w:rFonts w:ascii="Helvetica" w:hAnsi="Helvetica" w:cs="Times New Roman"/>
          <w:sz w:val="22"/>
          <w:szCs w:val="22"/>
        </w:rPr>
        <w:t xml:space="preserve"> related consideration concerns</w:t>
      </w:r>
      <w:r w:rsidRPr="00BD6FFE">
        <w:rPr>
          <w:rFonts w:ascii="Helvetica" w:hAnsi="Helvetica" w:cs="Times New Roman"/>
          <w:sz w:val="22"/>
          <w:szCs w:val="22"/>
        </w:rPr>
        <w:t xml:space="preserve"> how the researcher </w:t>
      </w:r>
      <w:r w:rsidR="008C358D" w:rsidRPr="00BD6FFE">
        <w:rPr>
          <w:rFonts w:ascii="Helvetica" w:hAnsi="Helvetica" w:cs="Times New Roman"/>
          <w:sz w:val="22"/>
          <w:szCs w:val="22"/>
        </w:rPr>
        <w:t xml:space="preserve">understands their </w:t>
      </w:r>
      <w:r w:rsidRPr="00BD6FFE">
        <w:rPr>
          <w:rFonts w:ascii="Helvetica" w:hAnsi="Helvetica" w:cs="Times New Roman"/>
          <w:sz w:val="22"/>
          <w:szCs w:val="22"/>
        </w:rPr>
        <w:t xml:space="preserve">primary </w:t>
      </w:r>
      <w:r w:rsidRPr="00BD6FFE">
        <w:rPr>
          <w:rFonts w:ascii="Helvetica" w:hAnsi="Helvetica" w:cs="Times New Roman"/>
          <w:i/>
          <w:sz w:val="22"/>
          <w:szCs w:val="22"/>
        </w:rPr>
        <w:t>object of study</w:t>
      </w:r>
      <w:r w:rsidRPr="00BD6FFE">
        <w:rPr>
          <w:rFonts w:ascii="Helvetica" w:hAnsi="Helvetica" w:cs="Times New Roman"/>
          <w:sz w:val="22"/>
          <w:szCs w:val="22"/>
        </w:rPr>
        <w:t xml:space="preserve">. </w:t>
      </w:r>
      <w:r w:rsidR="00C0041D" w:rsidRPr="00BD6FFE">
        <w:rPr>
          <w:rFonts w:ascii="Helvetica" w:hAnsi="Helvetica" w:cs="Times New Roman"/>
          <w:sz w:val="22"/>
          <w:szCs w:val="22"/>
        </w:rPr>
        <w:t xml:space="preserve">Key to empirical investigation of policy transfers is recognition of the fact that public policy itself is a complex, multi-faceted concept. The way that </w:t>
      </w:r>
      <w:r w:rsidR="00C0041D">
        <w:rPr>
          <w:rFonts w:ascii="Helvetica" w:hAnsi="Helvetica" w:cs="Times New Roman"/>
          <w:sz w:val="22"/>
          <w:szCs w:val="22"/>
        </w:rPr>
        <w:t xml:space="preserve">crime control </w:t>
      </w:r>
      <w:r w:rsidR="00C0041D" w:rsidRPr="00BD6FFE">
        <w:rPr>
          <w:rFonts w:ascii="Helvetica" w:hAnsi="Helvetica" w:cs="Times New Roman"/>
          <w:sz w:val="22"/>
          <w:szCs w:val="22"/>
        </w:rPr>
        <w:t xml:space="preserve">‘policy’ is defined and operationalised is therefore central to issues of research design and method. Scholars working in the fields of public administration and policy analysis have provided working definitions of what they take to mean ‘policy’, and these have been influential in subsequent studies of transfer. For example, Anderson (2014:7) suggests that policy can be defined as </w:t>
      </w:r>
      <w:r w:rsidR="00E97ADD">
        <w:rPr>
          <w:rFonts w:ascii="Helvetica" w:hAnsi="Helvetica" w:cs="Times New Roman"/>
          <w:sz w:val="22"/>
          <w:szCs w:val="22"/>
        </w:rPr>
        <w:t xml:space="preserve">a </w:t>
      </w:r>
      <w:r w:rsidR="00C0041D" w:rsidRPr="00BD6FFE">
        <w:rPr>
          <w:rFonts w:ascii="Helvetica" w:hAnsi="Helvetica" w:cs="Times New Roman"/>
          <w:sz w:val="22"/>
          <w:szCs w:val="22"/>
        </w:rPr>
        <w:t>‘purposive course of action followed by an actor or set of actors in dealing with a matter of concern’. An important distinction is made in the political science literature between two key dimensions of policy, concerned with ‘process’ and ‘substance’ respectively. Formal public ‘policy’ represents the outcome of a set of processes, rather than an ‘event’</w:t>
      </w:r>
      <w:r w:rsidR="000A1533">
        <w:rPr>
          <w:rFonts w:ascii="Helvetica" w:hAnsi="Helvetica" w:cs="Times New Roman"/>
          <w:sz w:val="22"/>
          <w:szCs w:val="22"/>
        </w:rPr>
        <w:t xml:space="preserve"> (see also </w:t>
      </w:r>
      <w:r w:rsidR="001A2D20">
        <w:rPr>
          <w:rFonts w:ascii="Helvetica" w:hAnsi="Helvetica" w:cs="Times New Roman"/>
          <w:sz w:val="22"/>
          <w:szCs w:val="22"/>
        </w:rPr>
        <w:t xml:space="preserve">Colebatch 2009 </w:t>
      </w:r>
      <w:r w:rsidR="000A1533">
        <w:rPr>
          <w:rFonts w:ascii="Helvetica" w:hAnsi="Helvetica" w:cs="Times New Roman"/>
          <w:sz w:val="22"/>
          <w:szCs w:val="22"/>
        </w:rPr>
        <w:t>for a</w:t>
      </w:r>
      <w:r w:rsidR="001A2D20">
        <w:rPr>
          <w:rFonts w:ascii="Helvetica" w:hAnsi="Helvetica" w:cs="Times New Roman"/>
          <w:sz w:val="22"/>
          <w:szCs w:val="22"/>
        </w:rPr>
        <w:t>n insightful</w:t>
      </w:r>
      <w:r w:rsidR="000A1533">
        <w:rPr>
          <w:rFonts w:ascii="Helvetica" w:hAnsi="Helvetica" w:cs="Times New Roman"/>
          <w:sz w:val="22"/>
          <w:szCs w:val="22"/>
        </w:rPr>
        <w:t xml:space="preserve"> analysis of notions of ‘policy’). </w:t>
      </w:r>
      <w:r w:rsidR="00C0041D" w:rsidRPr="00BD6FFE">
        <w:rPr>
          <w:rFonts w:ascii="Helvetica" w:hAnsi="Helvetica" w:cs="Times New Roman"/>
          <w:sz w:val="22"/>
          <w:szCs w:val="22"/>
        </w:rPr>
        <w:t xml:space="preserve"> </w:t>
      </w:r>
    </w:p>
    <w:p w14:paraId="10BEF289" w14:textId="77777777" w:rsidR="00C0041D" w:rsidRPr="00BD6FFE" w:rsidRDefault="00C0041D" w:rsidP="00C0041D">
      <w:pPr>
        <w:rPr>
          <w:rFonts w:ascii="Helvetica" w:hAnsi="Helvetica" w:cs="Times New Roman"/>
          <w:sz w:val="22"/>
          <w:szCs w:val="22"/>
        </w:rPr>
      </w:pPr>
    </w:p>
    <w:p w14:paraId="56FFB8A5" w14:textId="0D45326D" w:rsidR="004711F0" w:rsidRDefault="00C0041D" w:rsidP="00BD6FFE">
      <w:pPr>
        <w:spacing w:line="480" w:lineRule="auto"/>
        <w:rPr>
          <w:rFonts w:ascii="Helvetica" w:hAnsi="Helvetica" w:cs="Times New Roman"/>
          <w:sz w:val="22"/>
          <w:szCs w:val="22"/>
        </w:rPr>
      </w:pPr>
      <w:r w:rsidRPr="00BD6FFE">
        <w:rPr>
          <w:rFonts w:ascii="Helvetica" w:hAnsi="Helvetica" w:cs="Times New Roman"/>
          <w:sz w:val="22"/>
          <w:szCs w:val="22"/>
        </w:rPr>
        <w:t xml:space="preserve">Paying due regard to the dynamic and processual feature of policy transfers makes the ‘research object’ something of a moving target but it is possible and potentially fruitful to analyse the ‘substance’ of policy at a particular point in time. This requires an analysis of the different substantive levels of policy. </w:t>
      </w:r>
      <w:r>
        <w:rPr>
          <w:rFonts w:ascii="Helvetica" w:hAnsi="Helvetica" w:cs="Times New Roman"/>
          <w:sz w:val="22"/>
          <w:szCs w:val="22"/>
        </w:rPr>
        <w:t xml:space="preserve">To date, criminological studies of policy transfer have tended to take </w:t>
      </w:r>
      <w:r w:rsidRPr="00BD6FFE">
        <w:rPr>
          <w:rFonts w:ascii="Helvetica" w:hAnsi="Helvetica" w:cs="Times New Roman"/>
          <w:sz w:val="22"/>
          <w:szCs w:val="22"/>
        </w:rPr>
        <w:t>formal poli</w:t>
      </w:r>
      <w:r>
        <w:rPr>
          <w:rFonts w:ascii="Helvetica" w:hAnsi="Helvetica" w:cs="Times New Roman"/>
          <w:sz w:val="22"/>
          <w:szCs w:val="22"/>
        </w:rPr>
        <w:t xml:space="preserve">cy </w:t>
      </w:r>
      <w:r w:rsidR="004711F0">
        <w:rPr>
          <w:rFonts w:ascii="Helvetica" w:hAnsi="Helvetica" w:cs="Times New Roman"/>
          <w:sz w:val="22"/>
          <w:szCs w:val="22"/>
        </w:rPr>
        <w:t>documents</w:t>
      </w:r>
      <w:r>
        <w:rPr>
          <w:rFonts w:ascii="Helvetica" w:hAnsi="Helvetica" w:cs="Times New Roman"/>
          <w:sz w:val="22"/>
          <w:szCs w:val="22"/>
        </w:rPr>
        <w:t xml:space="preserve"> or legislation </w:t>
      </w:r>
      <w:r w:rsidR="00E97ADD">
        <w:rPr>
          <w:rFonts w:ascii="Helvetica" w:hAnsi="Helvetica" w:cs="Times New Roman"/>
          <w:sz w:val="22"/>
          <w:szCs w:val="22"/>
        </w:rPr>
        <w:t xml:space="preserve">as the object of study for as </w:t>
      </w:r>
      <w:r>
        <w:rPr>
          <w:rFonts w:ascii="Helvetica" w:hAnsi="Helvetica" w:cs="Times New Roman"/>
          <w:sz w:val="22"/>
          <w:szCs w:val="22"/>
        </w:rPr>
        <w:t xml:space="preserve">these </w:t>
      </w:r>
      <w:r w:rsidRPr="00BD6FFE">
        <w:rPr>
          <w:rFonts w:ascii="Helvetica" w:hAnsi="Helvetica" w:cs="Times New Roman"/>
          <w:sz w:val="22"/>
          <w:szCs w:val="22"/>
        </w:rPr>
        <w:t>capture the ‘actual choices of government’</w:t>
      </w:r>
      <w:r w:rsidR="00E97ADD">
        <w:rPr>
          <w:rFonts w:ascii="Helvetica" w:hAnsi="Helvetica" w:cs="Times New Roman"/>
          <w:sz w:val="22"/>
          <w:szCs w:val="22"/>
        </w:rPr>
        <w:t xml:space="preserve"> (Bernstein and Cashmore, </w:t>
      </w:r>
      <w:r w:rsidR="00E97ADD" w:rsidRPr="00BD6FFE">
        <w:rPr>
          <w:rFonts w:ascii="Helvetica" w:hAnsi="Helvetica" w:cs="Times New Roman"/>
          <w:sz w:val="22"/>
          <w:szCs w:val="22"/>
        </w:rPr>
        <w:t>2000: 70)</w:t>
      </w:r>
      <w:r w:rsidRPr="00BD6FFE">
        <w:rPr>
          <w:rFonts w:ascii="Helvetica" w:hAnsi="Helvetica" w:cs="Times New Roman"/>
          <w:sz w:val="22"/>
          <w:szCs w:val="22"/>
        </w:rPr>
        <w:t xml:space="preserve">. However, other scholars working within political science and public administration have suggested that a more complex analysis of policy ‘levels’ is required (see Bennett 1991, Dolowitz and Marsh 2000). To this one </w:t>
      </w:r>
      <w:r w:rsidRPr="00BD6FFE">
        <w:rPr>
          <w:rFonts w:ascii="Helvetica" w:hAnsi="Helvetica" w:cs="Times New Roman"/>
          <w:sz w:val="22"/>
          <w:szCs w:val="22"/>
        </w:rPr>
        <w:lastRenderedPageBreak/>
        <w:t>can add a crucial ‘ground level’ aspect that concerns the actual implementation and outcomes of policy. These different cross-sectional dimensions are usefully captured in by the analytical dist</w:t>
      </w:r>
      <w:r w:rsidR="007F7FCD">
        <w:rPr>
          <w:rFonts w:ascii="Helvetica" w:hAnsi="Helvetica" w:cs="Times New Roman"/>
          <w:sz w:val="22"/>
          <w:szCs w:val="22"/>
        </w:rPr>
        <w:t>inctions made by Pollitt’s (2001</w:t>
      </w:r>
      <w:r w:rsidRPr="00BD6FFE">
        <w:rPr>
          <w:rFonts w:ascii="Helvetica" w:hAnsi="Helvetica" w:cs="Times New Roman"/>
          <w:sz w:val="22"/>
          <w:szCs w:val="22"/>
        </w:rPr>
        <w:t>) account of the international spread of policies associated with ‘new public management’ when he differentiates between policy ‘talk’, policy ‘decisions’ and ‘policy action’.</w:t>
      </w:r>
      <w:r>
        <w:rPr>
          <w:rFonts w:ascii="Helvetica" w:hAnsi="Helvetica" w:cs="Times New Roman"/>
          <w:sz w:val="22"/>
          <w:szCs w:val="22"/>
        </w:rPr>
        <w:t xml:space="preserve"> </w:t>
      </w:r>
      <w:r w:rsidR="00E22F57">
        <w:rPr>
          <w:rFonts w:ascii="Helvetica" w:hAnsi="Helvetica" w:cs="Times New Roman"/>
          <w:sz w:val="22"/>
          <w:szCs w:val="22"/>
        </w:rPr>
        <w:t>T</w:t>
      </w:r>
      <w:r>
        <w:rPr>
          <w:rFonts w:ascii="Helvetica" w:hAnsi="Helvetica" w:cs="Times New Roman"/>
          <w:sz w:val="22"/>
          <w:szCs w:val="22"/>
        </w:rPr>
        <w:t xml:space="preserve">he broader concept of a policy ‘assemblage’ is potentially helpful </w:t>
      </w:r>
      <w:r w:rsidR="000A42BB">
        <w:rPr>
          <w:rFonts w:ascii="Helvetica" w:hAnsi="Helvetica" w:cs="Times New Roman"/>
          <w:sz w:val="22"/>
          <w:szCs w:val="22"/>
        </w:rPr>
        <w:t xml:space="preserve">in this context </w:t>
      </w:r>
      <w:r>
        <w:rPr>
          <w:rFonts w:ascii="Helvetica" w:hAnsi="Helvetica" w:cs="Times New Roman"/>
          <w:sz w:val="22"/>
          <w:szCs w:val="22"/>
        </w:rPr>
        <w:t xml:space="preserve">in sensitising researchers to the </w:t>
      </w:r>
      <w:r w:rsidR="00E914C3">
        <w:rPr>
          <w:rFonts w:ascii="Helvetica" w:hAnsi="Helvetica" w:cs="Times New Roman"/>
          <w:sz w:val="22"/>
          <w:szCs w:val="22"/>
        </w:rPr>
        <w:t xml:space="preserve">wider </w:t>
      </w:r>
      <w:r>
        <w:rPr>
          <w:rFonts w:ascii="Helvetica" w:hAnsi="Helvetica" w:cs="Times New Roman"/>
          <w:sz w:val="22"/>
          <w:szCs w:val="22"/>
        </w:rPr>
        <w:t>array of contextual influences and dynamic processes of policy-making</w:t>
      </w:r>
      <w:r w:rsidR="00694904">
        <w:rPr>
          <w:rFonts w:ascii="Helvetica" w:hAnsi="Helvetica" w:cs="Times New Roman"/>
          <w:sz w:val="22"/>
          <w:szCs w:val="22"/>
        </w:rPr>
        <w:t>, and the essentially emergent nature of public policies</w:t>
      </w:r>
      <w:r>
        <w:rPr>
          <w:rFonts w:ascii="Helvetica" w:hAnsi="Helvetica" w:cs="Times New Roman"/>
          <w:sz w:val="22"/>
          <w:szCs w:val="22"/>
        </w:rPr>
        <w:t>. But</w:t>
      </w:r>
      <w:r w:rsidR="00694904">
        <w:rPr>
          <w:rFonts w:ascii="Helvetica" w:hAnsi="Helvetica" w:cs="Times New Roman"/>
          <w:sz w:val="22"/>
          <w:szCs w:val="22"/>
        </w:rPr>
        <w:t xml:space="preserve"> it is important to be</w:t>
      </w:r>
      <w:r w:rsidR="000A42BB">
        <w:rPr>
          <w:rFonts w:ascii="Helvetica" w:hAnsi="Helvetica" w:cs="Times New Roman"/>
          <w:sz w:val="22"/>
          <w:szCs w:val="22"/>
        </w:rPr>
        <w:t xml:space="preserve"> a</w:t>
      </w:r>
      <w:r w:rsidR="00694904">
        <w:rPr>
          <w:rFonts w:ascii="Helvetica" w:hAnsi="Helvetica" w:cs="Times New Roman"/>
          <w:sz w:val="22"/>
          <w:szCs w:val="22"/>
        </w:rPr>
        <w:t xml:space="preserve">ware of the </w:t>
      </w:r>
      <w:r>
        <w:rPr>
          <w:rFonts w:ascii="Helvetica" w:hAnsi="Helvetica" w:cs="Times New Roman"/>
          <w:sz w:val="22"/>
          <w:szCs w:val="22"/>
        </w:rPr>
        <w:t>risk</w:t>
      </w:r>
      <w:r w:rsidR="00694904">
        <w:rPr>
          <w:rFonts w:ascii="Helvetica" w:hAnsi="Helvetica" w:cs="Times New Roman"/>
          <w:sz w:val="22"/>
          <w:szCs w:val="22"/>
        </w:rPr>
        <w:t xml:space="preserve"> of</w:t>
      </w:r>
      <w:r>
        <w:rPr>
          <w:rFonts w:ascii="Helvetica" w:hAnsi="Helvetica" w:cs="Times New Roman"/>
          <w:sz w:val="22"/>
          <w:szCs w:val="22"/>
        </w:rPr>
        <w:t xml:space="preserve"> stretching the concept of ‘policy’ so far as to render it, if not indistinguishable from its broad</w:t>
      </w:r>
      <w:r w:rsidR="007F7FCD">
        <w:rPr>
          <w:rFonts w:ascii="Helvetica" w:hAnsi="Helvetica" w:cs="Times New Roman"/>
          <w:sz w:val="22"/>
          <w:szCs w:val="22"/>
        </w:rPr>
        <w:t xml:space="preserve">er context, </w:t>
      </w:r>
      <w:r w:rsidR="000A42BB">
        <w:rPr>
          <w:rFonts w:ascii="Helvetica" w:hAnsi="Helvetica" w:cs="Times New Roman"/>
          <w:sz w:val="22"/>
          <w:szCs w:val="22"/>
        </w:rPr>
        <w:t>extremely</w:t>
      </w:r>
      <w:r w:rsidR="007F7FCD">
        <w:rPr>
          <w:rFonts w:ascii="Helvetica" w:hAnsi="Helvetica" w:cs="Times New Roman"/>
          <w:sz w:val="22"/>
          <w:szCs w:val="22"/>
        </w:rPr>
        <w:t xml:space="preserve"> difficult</w:t>
      </w:r>
      <w:r>
        <w:rPr>
          <w:rFonts w:ascii="Helvetica" w:hAnsi="Helvetica" w:cs="Times New Roman"/>
          <w:sz w:val="22"/>
          <w:szCs w:val="22"/>
        </w:rPr>
        <w:t xml:space="preserve"> to </w:t>
      </w:r>
      <w:r w:rsidR="00694904">
        <w:rPr>
          <w:rFonts w:ascii="Helvetica" w:hAnsi="Helvetica" w:cs="Times New Roman"/>
          <w:sz w:val="22"/>
          <w:szCs w:val="22"/>
        </w:rPr>
        <w:t>capture</w:t>
      </w:r>
      <w:r>
        <w:rPr>
          <w:rFonts w:ascii="Helvetica" w:hAnsi="Helvetica" w:cs="Times New Roman"/>
          <w:sz w:val="22"/>
          <w:szCs w:val="22"/>
        </w:rPr>
        <w:t xml:space="preserve"> empirically in any systematic sense</w:t>
      </w:r>
      <w:r w:rsidR="00694904">
        <w:rPr>
          <w:rFonts w:ascii="Helvetica" w:hAnsi="Helvetica" w:cs="Times New Roman"/>
          <w:sz w:val="22"/>
          <w:szCs w:val="22"/>
        </w:rPr>
        <w:t xml:space="preserve"> (Marsh and Evans, 2012)</w:t>
      </w:r>
      <w:r>
        <w:rPr>
          <w:rFonts w:ascii="Helvetica" w:hAnsi="Helvetica" w:cs="Times New Roman"/>
          <w:sz w:val="22"/>
          <w:szCs w:val="22"/>
        </w:rPr>
        <w:t xml:space="preserve">. </w:t>
      </w:r>
      <w:r w:rsidR="000A42BB">
        <w:rPr>
          <w:rFonts w:ascii="Helvetica" w:hAnsi="Helvetica" w:cs="Times New Roman"/>
          <w:sz w:val="22"/>
          <w:szCs w:val="22"/>
        </w:rPr>
        <w:t xml:space="preserve">In our view </w:t>
      </w:r>
      <w:r>
        <w:rPr>
          <w:rFonts w:ascii="Helvetica" w:hAnsi="Helvetica" w:cs="Times New Roman"/>
          <w:sz w:val="22"/>
          <w:szCs w:val="22"/>
        </w:rPr>
        <w:t xml:space="preserve">it is perfectly possible to examine different, more or less ‘concrete’ manifestations of particular </w:t>
      </w:r>
      <w:r w:rsidR="006E4980">
        <w:rPr>
          <w:rFonts w:ascii="Helvetica" w:hAnsi="Helvetica" w:cs="Times New Roman"/>
          <w:sz w:val="22"/>
          <w:szCs w:val="22"/>
        </w:rPr>
        <w:t xml:space="preserve">crime control policies without </w:t>
      </w:r>
      <w:r w:rsidR="00E914C3">
        <w:rPr>
          <w:rFonts w:ascii="Helvetica" w:hAnsi="Helvetica" w:cs="Times New Roman"/>
          <w:sz w:val="22"/>
          <w:szCs w:val="22"/>
        </w:rPr>
        <w:t xml:space="preserve">either </w:t>
      </w:r>
      <w:r w:rsidR="006E4980">
        <w:rPr>
          <w:rFonts w:ascii="Helvetica" w:hAnsi="Helvetica" w:cs="Times New Roman"/>
          <w:sz w:val="22"/>
          <w:szCs w:val="22"/>
        </w:rPr>
        <w:t>reducing the concept to a simplified and static notion</w:t>
      </w:r>
      <w:r w:rsidR="00E914C3">
        <w:rPr>
          <w:rFonts w:ascii="Helvetica" w:hAnsi="Helvetica" w:cs="Times New Roman"/>
          <w:sz w:val="22"/>
          <w:szCs w:val="22"/>
        </w:rPr>
        <w:t xml:space="preserve"> or evacuating it of its tangible and material substance</w:t>
      </w:r>
      <w:r w:rsidR="006E4980">
        <w:rPr>
          <w:rFonts w:ascii="Helvetica" w:hAnsi="Helvetica" w:cs="Times New Roman"/>
          <w:sz w:val="22"/>
          <w:szCs w:val="22"/>
        </w:rPr>
        <w:t xml:space="preserve">. </w:t>
      </w:r>
      <w:r w:rsidR="004711F0">
        <w:rPr>
          <w:rFonts w:ascii="Helvetica" w:hAnsi="Helvetica" w:cs="Times New Roman"/>
          <w:sz w:val="22"/>
          <w:szCs w:val="22"/>
        </w:rPr>
        <w:t xml:space="preserve">Indeed, </w:t>
      </w:r>
      <w:r w:rsidR="00694904">
        <w:rPr>
          <w:rFonts w:ascii="Helvetica" w:hAnsi="Helvetica" w:cs="Times New Roman"/>
          <w:sz w:val="22"/>
          <w:szCs w:val="22"/>
        </w:rPr>
        <w:t xml:space="preserve">recent work </w:t>
      </w:r>
      <w:r w:rsidR="007F7FCD">
        <w:rPr>
          <w:rFonts w:ascii="Helvetica" w:hAnsi="Helvetica" w:cs="Times New Roman"/>
          <w:sz w:val="22"/>
          <w:szCs w:val="22"/>
        </w:rPr>
        <w:t xml:space="preserve">on crime policy mobilities has </w:t>
      </w:r>
      <w:r w:rsidR="00BD4B76">
        <w:rPr>
          <w:rFonts w:ascii="Helvetica" w:hAnsi="Helvetica" w:cs="Times New Roman"/>
          <w:sz w:val="22"/>
          <w:szCs w:val="22"/>
        </w:rPr>
        <w:t>helpfully combined analysis of political science</w:t>
      </w:r>
      <w:r w:rsidR="00055678">
        <w:rPr>
          <w:rFonts w:ascii="Helvetica" w:hAnsi="Helvetica" w:cs="Times New Roman"/>
          <w:sz w:val="22"/>
          <w:szCs w:val="22"/>
        </w:rPr>
        <w:t>-</w:t>
      </w:r>
      <w:r w:rsidR="00BD4B76">
        <w:rPr>
          <w:rFonts w:ascii="Helvetica" w:hAnsi="Helvetica" w:cs="Times New Roman"/>
          <w:sz w:val="22"/>
          <w:szCs w:val="22"/>
        </w:rPr>
        <w:t>inspired notions</w:t>
      </w:r>
      <w:r w:rsidR="007F7FCD">
        <w:rPr>
          <w:rFonts w:ascii="Helvetica" w:hAnsi="Helvetica" w:cs="Times New Roman"/>
          <w:sz w:val="22"/>
          <w:szCs w:val="22"/>
        </w:rPr>
        <w:t xml:space="preserve"> of ‘policy levels’</w:t>
      </w:r>
      <w:r w:rsidR="00D23523">
        <w:rPr>
          <w:rFonts w:ascii="Helvetica" w:hAnsi="Helvetica" w:cs="Times New Roman"/>
          <w:sz w:val="22"/>
          <w:szCs w:val="22"/>
        </w:rPr>
        <w:t xml:space="preserve"> with ‘mobilities’</w:t>
      </w:r>
      <w:r w:rsidR="007F7FCD">
        <w:rPr>
          <w:rFonts w:ascii="Helvetica" w:hAnsi="Helvetica" w:cs="Times New Roman"/>
          <w:sz w:val="22"/>
          <w:szCs w:val="22"/>
        </w:rPr>
        <w:t xml:space="preserve"> concepts of policy assemblages</w:t>
      </w:r>
      <w:r w:rsidR="00D23523">
        <w:rPr>
          <w:rFonts w:ascii="Helvetica" w:hAnsi="Helvetica" w:cs="Times New Roman"/>
          <w:sz w:val="22"/>
          <w:szCs w:val="22"/>
        </w:rPr>
        <w:t xml:space="preserve"> in order</w:t>
      </w:r>
      <w:r w:rsidR="007F7FCD">
        <w:rPr>
          <w:rFonts w:ascii="Helvetica" w:hAnsi="Helvetica" w:cs="Times New Roman"/>
          <w:sz w:val="22"/>
          <w:szCs w:val="22"/>
        </w:rPr>
        <w:t xml:space="preserve"> </w:t>
      </w:r>
      <w:r w:rsidR="00D23523">
        <w:rPr>
          <w:rFonts w:ascii="Helvetica" w:hAnsi="Helvetica" w:cs="Times New Roman"/>
          <w:sz w:val="22"/>
          <w:szCs w:val="22"/>
        </w:rPr>
        <w:t>to interrogate the</w:t>
      </w:r>
      <w:r w:rsidR="007F7FCD">
        <w:rPr>
          <w:rFonts w:ascii="Helvetica" w:hAnsi="Helvetica" w:cs="Times New Roman"/>
          <w:sz w:val="22"/>
          <w:szCs w:val="22"/>
        </w:rPr>
        <w:t xml:space="preserve"> dynamic processes of knowledge formation and exchange that shape the form and mobilisation of policy (</w:t>
      </w:r>
      <w:proofErr w:type="spellStart"/>
      <w:r w:rsidR="007F7FCD">
        <w:rPr>
          <w:rFonts w:ascii="Helvetica" w:hAnsi="Helvetica" w:cs="Times New Roman"/>
          <w:sz w:val="22"/>
          <w:szCs w:val="22"/>
        </w:rPr>
        <w:t>McMenzie</w:t>
      </w:r>
      <w:proofErr w:type="spellEnd"/>
      <w:r w:rsidR="007F7FCD">
        <w:rPr>
          <w:rFonts w:ascii="Helvetica" w:hAnsi="Helvetica" w:cs="Times New Roman"/>
          <w:sz w:val="22"/>
          <w:szCs w:val="22"/>
        </w:rPr>
        <w:t xml:space="preserve"> </w:t>
      </w:r>
      <w:r w:rsidR="00D23523" w:rsidRPr="00D23523">
        <w:rPr>
          <w:rFonts w:ascii="Helvetica" w:hAnsi="Helvetica" w:cs="Times New Roman"/>
          <w:i/>
          <w:sz w:val="22"/>
          <w:szCs w:val="22"/>
        </w:rPr>
        <w:t>e</w:t>
      </w:r>
      <w:r w:rsidR="007F7FCD" w:rsidRPr="00D23523">
        <w:rPr>
          <w:rFonts w:ascii="Helvetica" w:hAnsi="Helvetica" w:cs="Times New Roman"/>
          <w:i/>
          <w:sz w:val="22"/>
          <w:szCs w:val="22"/>
        </w:rPr>
        <w:t>t al</w:t>
      </w:r>
      <w:r w:rsidR="00581177">
        <w:rPr>
          <w:rFonts w:ascii="Helvetica" w:hAnsi="Helvetica" w:cs="Times New Roman"/>
          <w:sz w:val="22"/>
          <w:szCs w:val="22"/>
        </w:rPr>
        <w:t>,</w:t>
      </w:r>
      <w:r w:rsidR="007F7FCD">
        <w:rPr>
          <w:rFonts w:ascii="Helvetica" w:hAnsi="Helvetica" w:cs="Times New Roman"/>
          <w:sz w:val="22"/>
          <w:szCs w:val="22"/>
        </w:rPr>
        <w:t xml:space="preserve"> </w:t>
      </w:r>
      <w:r w:rsidR="00581177">
        <w:rPr>
          <w:rFonts w:ascii="Helvetica" w:hAnsi="Helvetica" w:cs="Times New Roman"/>
          <w:sz w:val="22"/>
          <w:szCs w:val="22"/>
        </w:rPr>
        <w:t>2019</w:t>
      </w:r>
      <w:r w:rsidR="007F7FCD">
        <w:rPr>
          <w:rFonts w:ascii="Helvetica" w:hAnsi="Helvetica" w:cs="Times New Roman"/>
          <w:sz w:val="22"/>
          <w:szCs w:val="22"/>
        </w:rPr>
        <w:t xml:space="preserve">). </w:t>
      </w:r>
    </w:p>
    <w:p w14:paraId="70E5FF6D" w14:textId="77777777" w:rsidR="004711F0" w:rsidRDefault="004711F0" w:rsidP="00BD6FFE">
      <w:pPr>
        <w:spacing w:line="480" w:lineRule="auto"/>
        <w:rPr>
          <w:rFonts w:ascii="Helvetica" w:hAnsi="Helvetica" w:cs="Times New Roman"/>
          <w:sz w:val="22"/>
          <w:szCs w:val="22"/>
        </w:rPr>
      </w:pPr>
    </w:p>
    <w:p w14:paraId="10BDEDBD" w14:textId="1CAC85A5" w:rsidR="002D754A" w:rsidRPr="00BD6FFE" w:rsidRDefault="006E4980" w:rsidP="00BD6FFE">
      <w:pPr>
        <w:spacing w:line="480" w:lineRule="auto"/>
        <w:rPr>
          <w:rFonts w:ascii="Helvetica" w:hAnsi="Helvetica" w:cs="Times New Roman"/>
          <w:sz w:val="22"/>
          <w:szCs w:val="22"/>
        </w:rPr>
      </w:pPr>
      <w:r>
        <w:rPr>
          <w:rFonts w:ascii="Helvetica" w:hAnsi="Helvetica" w:cs="Times New Roman"/>
          <w:sz w:val="22"/>
          <w:szCs w:val="22"/>
        </w:rPr>
        <w:t>This relates to a broader question about the object of study</w:t>
      </w:r>
      <w:r w:rsidR="00D23523">
        <w:rPr>
          <w:rFonts w:ascii="Helvetica" w:hAnsi="Helvetica" w:cs="Times New Roman"/>
          <w:sz w:val="22"/>
          <w:szCs w:val="22"/>
        </w:rPr>
        <w:t xml:space="preserve">, and how far criminological interest in cross national crime policy movement approaches the phenomenon </w:t>
      </w:r>
      <w:r w:rsidR="006C09FF" w:rsidRPr="00BD6FFE">
        <w:rPr>
          <w:rFonts w:ascii="Helvetica" w:hAnsi="Helvetica" w:cs="Times New Roman"/>
          <w:sz w:val="22"/>
          <w:szCs w:val="22"/>
        </w:rPr>
        <w:t>as an independent variable, a dependent variable, or both (Evans and Davies 1999)</w:t>
      </w:r>
      <w:r w:rsidR="00D23523">
        <w:rPr>
          <w:rFonts w:ascii="Helvetica" w:hAnsi="Helvetica" w:cs="Times New Roman"/>
          <w:sz w:val="22"/>
          <w:szCs w:val="22"/>
        </w:rPr>
        <w:t>.</w:t>
      </w:r>
      <w:r w:rsidR="006C09FF" w:rsidRPr="00BD6FFE">
        <w:rPr>
          <w:rFonts w:ascii="Helvetica" w:hAnsi="Helvetica" w:cs="Times New Roman"/>
          <w:sz w:val="22"/>
          <w:szCs w:val="22"/>
        </w:rPr>
        <w:t xml:space="preserve"> </w:t>
      </w:r>
      <w:r w:rsidR="007F7FCD">
        <w:rPr>
          <w:rFonts w:ascii="Helvetica" w:hAnsi="Helvetica" w:cs="Times New Roman"/>
          <w:sz w:val="22"/>
          <w:szCs w:val="22"/>
        </w:rPr>
        <w:t>In a number of the studies</w:t>
      </w:r>
      <w:r w:rsidR="00D23523">
        <w:rPr>
          <w:rFonts w:ascii="Helvetica" w:hAnsi="Helvetica" w:cs="Times New Roman"/>
          <w:sz w:val="22"/>
          <w:szCs w:val="22"/>
        </w:rPr>
        <w:t xml:space="preserve"> discussed above</w:t>
      </w:r>
      <w:r w:rsidR="007F7FCD">
        <w:rPr>
          <w:rFonts w:ascii="Helvetica" w:hAnsi="Helvetica" w:cs="Times New Roman"/>
          <w:sz w:val="22"/>
          <w:szCs w:val="22"/>
        </w:rPr>
        <w:t>, c</w:t>
      </w:r>
      <w:r w:rsidR="004711F0">
        <w:rPr>
          <w:rFonts w:ascii="Helvetica" w:hAnsi="Helvetica" w:cs="Times New Roman"/>
          <w:sz w:val="22"/>
          <w:szCs w:val="22"/>
        </w:rPr>
        <w:t xml:space="preserve">riminologists </w:t>
      </w:r>
      <w:r w:rsidR="007F7FCD">
        <w:rPr>
          <w:rFonts w:ascii="Helvetica" w:hAnsi="Helvetica" w:cs="Times New Roman"/>
          <w:sz w:val="22"/>
          <w:szCs w:val="22"/>
        </w:rPr>
        <w:t>have focused on</w:t>
      </w:r>
      <w:r w:rsidR="004711F0">
        <w:rPr>
          <w:rFonts w:ascii="Helvetica" w:hAnsi="Helvetica" w:cs="Times New Roman"/>
          <w:sz w:val="22"/>
          <w:szCs w:val="22"/>
        </w:rPr>
        <w:t xml:space="preserve"> the </w:t>
      </w:r>
      <w:r w:rsidR="00DA008E">
        <w:rPr>
          <w:rFonts w:ascii="Helvetica" w:hAnsi="Helvetica" w:cs="Times New Roman"/>
          <w:sz w:val="22"/>
          <w:szCs w:val="22"/>
        </w:rPr>
        <w:t xml:space="preserve">study </w:t>
      </w:r>
      <w:r w:rsidR="004711F0">
        <w:rPr>
          <w:rFonts w:ascii="Helvetica" w:hAnsi="Helvetica" w:cs="Times New Roman"/>
          <w:sz w:val="22"/>
          <w:szCs w:val="22"/>
        </w:rPr>
        <w:t xml:space="preserve">of ‘policy transfer’ </w:t>
      </w:r>
      <w:r w:rsidR="00DA008E">
        <w:rPr>
          <w:rFonts w:ascii="Helvetica" w:hAnsi="Helvetica" w:cs="Times New Roman"/>
          <w:sz w:val="22"/>
          <w:szCs w:val="22"/>
        </w:rPr>
        <w:t>as a dependent variable</w:t>
      </w:r>
      <w:r w:rsidR="007F7FCD">
        <w:rPr>
          <w:rFonts w:ascii="Helvetica" w:hAnsi="Helvetica" w:cs="Times New Roman"/>
          <w:sz w:val="22"/>
          <w:szCs w:val="22"/>
        </w:rPr>
        <w:t xml:space="preserve"> and th</w:t>
      </w:r>
      <w:r w:rsidR="00D23523">
        <w:rPr>
          <w:rFonts w:ascii="Helvetica" w:hAnsi="Helvetica" w:cs="Times New Roman"/>
          <w:sz w:val="22"/>
          <w:szCs w:val="22"/>
        </w:rPr>
        <w:t>erefore</w:t>
      </w:r>
      <w:r w:rsidR="007F7FCD">
        <w:rPr>
          <w:rFonts w:ascii="Helvetica" w:hAnsi="Helvetica" w:cs="Times New Roman"/>
          <w:sz w:val="22"/>
          <w:szCs w:val="22"/>
        </w:rPr>
        <w:t xml:space="preserve"> </w:t>
      </w:r>
      <w:r w:rsidR="00D22DE9">
        <w:rPr>
          <w:rFonts w:ascii="Helvetica" w:hAnsi="Helvetica" w:cs="Times New Roman"/>
          <w:sz w:val="22"/>
          <w:szCs w:val="22"/>
        </w:rPr>
        <w:t xml:space="preserve">as being </w:t>
      </w:r>
      <w:r w:rsidR="004711F0">
        <w:rPr>
          <w:rFonts w:ascii="Helvetica" w:hAnsi="Helvetica" w:cs="Times New Roman"/>
          <w:sz w:val="22"/>
          <w:szCs w:val="22"/>
        </w:rPr>
        <w:t>an interesting phenomenon in its own right</w:t>
      </w:r>
      <w:r w:rsidR="007F7FCD">
        <w:rPr>
          <w:rFonts w:ascii="Helvetica" w:hAnsi="Helvetica" w:cs="Times New Roman"/>
          <w:sz w:val="22"/>
          <w:szCs w:val="22"/>
        </w:rPr>
        <w:t>. Such studies aim to</w:t>
      </w:r>
      <w:r w:rsidR="00DA008E">
        <w:rPr>
          <w:rFonts w:ascii="Helvetica" w:hAnsi="Helvetica" w:cs="Times New Roman"/>
          <w:sz w:val="22"/>
          <w:szCs w:val="22"/>
        </w:rPr>
        <w:t xml:space="preserve"> explore its prevalence, </w:t>
      </w:r>
      <w:r w:rsidR="007F7FCD">
        <w:rPr>
          <w:rFonts w:ascii="Helvetica" w:hAnsi="Helvetica" w:cs="Times New Roman"/>
          <w:sz w:val="22"/>
          <w:szCs w:val="22"/>
        </w:rPr>
        <w:t>the</w:t>
      </w:r>
      <w:r w:rsidR="004711F0">
        <w:rPr>
          <w:rFonts w:ascii="Helvetica" w:hAnsi="Helvetica" w:cs="Times New Roman"/>
          <w:sz w:val="22"/>
          <w:szCs w:val="22"/>
        </w:rPr>
        <w:t xml:space="preserve"> </w:t>
      </w:r>
      <w:r w:rsidR="007F7FCD">
        <w:rPr>
          <w:rFonts w:ascii="Helvetica" w:hAnsi="Helvetica" w:cs="Times New Roman"/>
          <w:sz w:val="22"/>
          <w:szCs w:val="22"/>
        </w:rPr>
        <w:t xml:space="preserve">different </w:t>
      </w:r>
      <w:r w:rsidR="004711F0">
        <w:rPr>
          <w:rFonts w:ascii="Helvetica" w:hAnsi="Helvetica" w:cs="Times New Roman"/>
          <w:sz w:val="22"/>
          <w:szCs w:val="22"/>
        </w:rPr>
        <w:t xml:space="preserve">forms </w:t>
      </w:r>
      <w:r w:rsidR="007F7FCD">
        <w:rPr>
          <w:rFonts w:ascii="Helvetica" w:hAnsi="Helvetica" w:cs="Times New Roman"/>
          <w:sz w:val="22"/>
          <w:szCs w:val="22"/>
        </w:rPr>
        <w:t xml:space="preserve">that </w:t>
      </w:r>
      <w:r w:rsidR="004711F0">
        <w:rPr>
          <w:rFonts w:ascii="Helvetica" w:hAnsi="Helvetica" w:cs="Times New Roman"/>
          <w:sz w:val="22"/>
          <w:szCs w:val="22"/>
        </w:rPr>
        <w:t>it takes</w:t>
      </w:r>
      <w:r w:rsidR="007F7FCD">
        <w:rPr>
          <w:rFonts w:ascii="Helvetica" w:hAnsi="Helvetica" w:cs="Times New Roman"/>
          <w:sz w:val="22"/>
          <w:szCs w:val="22"/>
        </w:rPr>
        <w:t>,</w:t>
      </w:r>
      <w:r w:rsidR="004711F0">
        <w:rPr>
          <w:rFonts w:ascii="Helvetica" w:hAnsi="Helvetica" w:cs="Times New Roman"/>
          <w:sz w:val="22"/>
          <w:szCs w:val="22"/>
        </w:rPr>
        <w:t xml:space="preserve"> and how it is impeded</w:t>
      </w:r>
      <w:r w:rsidR="00A53034">
        <w:rPr>
          <w:rFonts w:ascii="Helvetica" w:hAnsi="Helvetica" w:cs="Times New Roman"/>
          <w:sz w:val="22"/>
          <w:szCs w:val="22"/>
        </w:rPr>
        <w:t xml:space="preserve"> or</w:t>
      </w:r>
      <w:r w:rsidR="004711F0">
        <w:rPr>
          <w:rFonts w:ascii="Helvetica" w:hAnsi="Helvetica" w:cs="Times New Roman"/>
          <w:sz w:val="22"/>
          <w:szCs w:val="22"/>
        </w:rPr>
        <w:t xml:space="preserve"> facilitated by </w:t>
      </w:r>
      <w:r w:rsidR="00DA008E">
        <w:rPr>
          <w:rFonts w:ascii="Helvetica" w:hAnsi="Helvetica" w:cs="Times New Roman"/>
          <w:sz w:val="22"/>
          <w:szCs w:val="22"/>
        </w:rPr>
        <w:lastRenderedPageBreak/>
        <w:t>other variables</w:t>
      </w:r>
      <w:r w:rsidR="007F7FCD">
        <w:rPr>
          <w:rFonts w:ascii="Helvetica" w:hAnsi="Helvetica" w:cs="Times New Roman"/>
          <w:sz w:val="22"/>
          <w:szCs w:val="22"/>
        </w:rPr>
        <w:t xml:space="preserve">. </w:t>
      </w:r>
      <w:r w:rsidR="00DA008E">
        <w:rPr>
          <w:rFonts w:ascii="Helvetica" w:hAnsi="Helvetica" w:cs="Times New Roman"/>
          <w:sz w:val="22"/>
          <w:szCs w:val="22"/>
        </w:rPr>
        <w:t xml:space="preserve">Alternatively, policy </w:t>
      </w:r>
      <w:r w:rsidR="00D23523">
        <w:rPr>
          <w:rFonts w:ascii="Helvetica" w:hAnsi="Helvetica" w:cs="Times New Roman"/>
          <w:sz w:val="22"/>
          <w:szCs w:val="22"/>
        </w:rPr>
        <w:t>movement</w:t>
      </w:r>
      <w:r w:rsidR="00A53034">
        <w:rPr>
          <w:rFonts w:ascii="Helvetica" w:hAnsi="Helvetica" w:cs="Times New Roman"/>
          <w:sz w:val="22"/>
          <w:szCs w:val="22"/>
        </w:rPr>
        <w:t xml:space="preserve"> might be </w:t>
      </w:r>
      <w:r w:rsidR="00D23523">
        <w:rPr>
          <w:rFonts w:ascii="Helvetica" w:hAnsi="Helvetica" w:cs="Times New Roman"/>
          <w:sz w:val="22"/>
          <w:szCs w:val="22"/>
        </w:rPr>
        <w:t xml:space="preserve">considered as </w:t>
      </w:r>
      <w:r w:rsidR="00A53034">
        <w:rPr>
          <w:rFonts w:ascii="Helvetica" w:hAnsi="Helvetica" w:cs="Times New Roman"/>
          <w:sz w:val="22"/>
          <w:szCs w:val="22"/>
        </w:rPr>
        <w:t>one of a number of possible dependent variables within a b</w:t>
      </w:r>
      <w:r w:rsidR="00DA008E">
        <w:rPr>
          <w:rFonts w:ascii="Helvetica" w:hAnsi="Helvetica" w:cs="Times New Roman"/>
          <w:sz w:val="22"/>
          <w:szCs w:val="22"/>
        </w:rPr>
        <w:t xml:space="preserve">roader </w:t>
      </w:r>
      <w:r w:rsidR="00A53034">
        <w:rPr>
          <w:rFonts w:ascii="Helvetica" w:hAnsi="Helvetica" w:cs="Times New Roman"/>
          <w:sz w:val="22"/>
          <w:szCs w:val="22"/>
        </w:rPr>
        <w:t>study</w:t>
      </w:r>
      <w:r w:rsidR="00DA008E">
        <w:rPr>
          <w:rFonts w:ascii="Helvetica" w:hAnsi="Helvetica" w:cs="Times New Roman"/>
          <w:sz w:val="22"/>
          <w:szCs w:val="22"/>
        </w:rPr>
        <w:t xml:space="preserve"> of </w:t>
      </w:r>
      <w:r w:rsidR="00D23523">
        <w:rPr>
          <w:rFonts w:ascii="Helvetica" w:hAnsi="Helvetica" w:cs="Times New Roman"/>
          <w:sz w:val="22"/>
          <w:szCs w:val="22"/>
        </w:rPr>
        <w:t xml:space="preserve">crime </w:t>
      </w:r>
      <w:r w:rsidR="00DA008E">
        <w:rPr>
          <w:rFonts w:ascii="Helvetica" w:hAnsi="Helvetica" w:cs="Times New Roman"/>
          <w:sz w:val="22"/>
          <w:szCs w:val="22"/>
        </w:rPr>
        <w:t xml:space="preserve">policy formation, </w:t>
      </w:r>
      <w:r w:rsidR="00D23523">
        <w:rPr>
          <w:rFonts w:ascii="Helvetica" w:hAnsi="Helvetica" w:cs="Times New Roman"/>
          <w:sz w:val="22"/>
          <w:szCs w:val="22"/>
        </w:rPr>
        <w:t>with the overall</w:t>
      </w:r>
      <w:r w:rsidR="00A53034">
        <w:rPr>
          <w:rFonts w:ascii="Helvetica" w:hAnsi="Helvetica" w:cs="Times New Roman"/>
          <w:sz w:val="22"/>
          <w:szCs w:val="22"/>
        </w:rPr>
        <w:t xml:space="preserve"> object of </w:t>
      </w:r>
      <w:r w:rsidR="00D23523">
        <w:rPr>
          <w:rFonts w:ascii="Helvetica" w:hAnsi="Helvetica" w:cs="Times New Roman"/>
          <w:sz w:val="22"/>
          <w:szCs w:val="22"/>
        </w:rPr>
        <w:t>study in need of explanation as</w:t>
      </w:r>
      <w:r w:rsidR="00A53034">
        <w:rPr>
          <w:rFonts w:ascii="Helvetica" w:hAnsi="Helvetica" w:cs="Times New Roman"/>
          <w:sz w:val="22"/>
          <w:szCs w:val="22"/>
        </w:rPr>
        <w:t xml:space="preserve"> </w:t>
      </w:r>
      <w:r w:rsidR="00DA008E">
        <w:rPr>
          <w:rFonts w:ascii="Helvetica" w:hAnsi="Helvetica" w:cs="Times New Roman"/>
          <w:sz w:val="22"/>
          <w:szCs w:val="22"/>
        </w:rPr>
        <w:t xml:space="preserve">the overall trajectory and pattern of crime control policy in a particular jurisdiction. </w:t>
      </w:r>
      <w:r w:rsidR="00A53034">
        <w:rPr>
          <w:rFonts w:ascii="Helvetica" w:hAnsi="Helvetica" w:cs="Times New Roman"/>
          <w:sz w:val="22"/>
          <w:szCs w:val="22"/>
        </w:rPr>
        <w:t>In such studies, policy transfer</w:t>
      </w:r>
      <w:r w:rsidR="00D23523">
        <w:rPr>
          <w:rFonts w:ascii="Helvetica" w:hAnsi="Helvetica" w:cs="Times New Roman"/>
          <w:sz w:val="22"/>
          <w:szCs w:val="22"/>
        </w:rPr>
        <w:t xml:space="preserve"> and related concepts are</w:t>
      </w:r>
      <w:r w:rsidR="00A53034">
        <w:rPr>
          <w:rFonts w:ascii="Helvetica" w:hAnsi="Helvetica" w:cs="Times New Roman"/>
          <w:sz w:val="22"/>
          <w:szCs w:val="22"/>
        </w:rPr>
        <w:t xml:space="preserve"> interesting </w:t>
      </w:r>
      <w:r w:rsidR="00D23523">
        <w:rPr>
          <w:rFonts w:ascii="Helvetica" w:hAnsi="Helvetica" w:cs="Times New Roman"/>
          <w:sz w:val="22"/>
          <w:szCs w:val="22"/>
        </w:rPr>
        <w:t>as possible explanatory factors (but not the only ones)</w:t>
      </w:r>
      <w:r w:rsidR="00A53034">
        <w:rPr>
          <w:rFonts w:ascii="Helvetica" w:hAnsi="Helvetica" w:cs="Times New Roman"/>
          <w:sz w:val="22"/>
          <w:szCs w:val="22"/>
        </w:rPr>
        <w:t xml:space="preserve"> that</w:t>
      </w:r>
      <w:r>
        <w:rPr>
          <w:rFonts w:ascii="Helvetica" w:hAnsi="Helvetica" w:cs="Times New Roman"/>
          <w:sz w:val="22"/>
          <w:szCs w:val="22"/>
        </w:rPr>
        <w:t xml:space="preserve"> </w:t>
      </w:r>
      <w:r w:rsidR="00D23523">
        <w:rPr>
          <w:rFonts w:ascii="Helvetica" w:hAnsi="Helvetica" w:cs="Times New Roman"/>
          <w:sz w:val="22"/>
          <w:szCs w:val="22"/>
        </w:rPr>
        <w:t xml:space="preserve">can </w:t>
      </w:r>
      <w:r>
        <w:rPr>
          <w:rFonts w:ascii="Helvetica" w:hAnsi="Helvetica" w:cs="Times New Roman"/>
          <w:sz w:val="22"/>
          <w:szCs w:val="22"/>
        </w:rPr>
        <w:t>help shed light on how and why policy emerged in the way that it did</w:t>
      </w:r>
      <w:r w:rsidR="002D754A" w:rsidRPr="00BD6FFE">
        <w:rPr>
          <w:rFonts w:ascii="Helvetica" w:hAnsi="Helvetica" w:cs="Times New Roman"/>
          <w:sz w:val="22"/>
          <w:szCs w:val="22"/>
        </w:rPr>
        <w:t>.</w:t>
      </w:r>
      <w:r w:rsidR="00D23523">
        <w:rPr>
          <w:rFonts w:ascii="Helvetica" w:hAnsi="Helvetica" w:cs="Times New Roman"/>
          <w:sz w:val="22"/>
          <w:szCs w:val="22"/>
        </w:rPr>
        <w:t xml:space="preserve"> The mobilities perspectives advanced by human geographers have made a particular contribution here by </w:t>
      </w:r>
      <w:r w:rsidR="002D754A" w:rsidRPr="00BD6FFE">
        <w:rPr>
          <w:rFonts w:ascii="Helvetica" w:hAnsi="Helvetica" w:cs="Times New Roman"/>
          <w:sz w:val="22"/>
          <w:szCs w:val="22"/>
        </w:rPr>
        <w:t>privileg</w:t>
      </w:r>
      <w:r w:rsidR="00D23523">
        <w:rPr>
          <w:rFonts w:ascii="Helvetica" w:hAnsi="Helvetica" w:cs="Times New Roman"/>
          <w:sz w:val="22"/>
          <w:szCs w:val="22"/>
        </w:rPr>
        <w:t>ing</w:t>
      </w:r>
      <w:r w:rsidR="002D754A" w:rsidRPr="00BD6FFE">
        <w:rPr>
          <w:rFonts w:ascii="Helvetica" w:hAnsi="Helvetica" w:cs="Times New Roman"/>
          <w:sz w:val="22"/>
          <w:szCs w:val="22"/>
        </w:rPr>
        <w:t xml:space="preserve"> the study of place, </w:t>
      </w:r>
      <w:r w:rsidR="00DA008E">
        <w:rPr>
          <w:rFonts w:ascii="Helvetica" w:hAnsi="Helvetica" w:cs="Times New Roman"/>
          <w:sz w:val="22"/>
          <w:szCs w:val="22"/>
        </w:rPr>
        <w:t>and consider</w:t>
      </w:r>
      <w:r w:rsidR="00D23523">
        <w:rPr>
          <w:rFonts w:ascii="Helvetica" w:hAnsi="Helvetica" w:cs="Times New Roman"/>
          <w:sz w:val="22"/>
          <w:szCs w:val="22"/>
        </w:rPr>
        <w:t xml:space="preserve">ing </w:t>
      </w:r>
      <w:r w:rsidR="002D754A" w:rsidRPr="00BD6FFE">
        <w:rPr>
          <w:rFonts w:ascii="Helvetica" w:hAnsi="Helvetica" w:cs="Times New Roman"/>
          <w:sz w:val="22"/>
          <w:szCs w:val="22"/>
        </w:rPr>
        <w:t>how its cultural, economic, political and social characteristics have impacted</w:t>
      </w:r>
      <w:r w:rsidR="00A53034">
        <w:rPr>
          <w:rFonts w:ascii="Helvetica" w:hAnsi="Helvetica" w:cs="Times New Roman"/>
          <w:sz w:val="22"/>
          <w:szCs w:val="22"/>
        </w:rPr>
        <w:t xml:space="preserve"> on, or been influenced</w:t>
      </w:r>
      <w:r w:rsidR="002D754A" w:rsidRPr="00BD6FFE">
        <w:rPr>
          <w:rFonts w:ascii="Helvetica" w:hAnsi="Helvetica" w:cs="Times New Roman"/>
          <w:sz w:val="22"/>
          <w:szCs w:val="22"/>
        </w:rPr>
        <w:t xml:space="preserve"> by, policies borrowed or imposed from abroad</w:t>
      </w:r>
      <w:r w:rsidR="00E22F57">
        <w:rPr>
          <w:rFonts w:ascii="Helvetica" w:hAnsi="Helvetica" w:cs="Times New Roman"/>
          <w:sz w:val="22"/>
          <w:szCs w:val="22"/>
        </w:rPr>
        <w:t xml:space="preserve"> (Wood 2016</w:t>
      </w:r>
      <w:r w:rsidR="00B659BB">
        <w:rPr>
          <w:rFonts w:ascii="Helvetica" w:hAnsi="Helvetica" w:cs="Times New Roman"/>
          <w:sz w:val="22"/>
          <w:szCs w:val="22"/>
        </w:rPr>
        <w:t>)</w:t>
      </w:r>
      <w:r w:rsidR="00B659BB">
        <w:rPr>
          <w:rStyle w:val="FootnoteReference"/>
          <w:rFonts w:ascii="Helvetica" w:hAnsi="Helvetica" w:cs="Times New Roman"/>
          <w:sz w:val="22"/>
          <w:szCs w:val="22"/>
        </w:rPr>
        <w:footnoteReference w:id="4"/>
      </w:r>
      <w:r w:rsidR="00E22F57">
        <w:rPr>
          <w:rFonts w:ascii="Helvetica" w:hAnsi="Helvetica" w:cs="Times New Roman"/>
          <w:sz w:val="22"/>
          <w:szCs w:val="22"/>
        </w:rPr>
        <w:t xml:space="preserve"> </w:t>
      </w:r>
      <w:r w:rsidR="002D754A" w:rsidRPr="00BD6FFE">
        <w:rPr>
          <w:rFonts w:ascii="Helvetica" w:hAnsi="Helvetica" w:cs="Times New Roman"/>
          <w:sz w:val="22"/>
          <w:szCs w:val="22"/>
        </w:rPr>
        <w:t xml:space="preserve">. </w:t>
      </w:r>
    </w:p>
    <w:p w14:paraId="61561E4F" w14:textId="77777777" w:rsidR="002D754A" w:rsidRPr="00BD6FFE" w:rsidRDefault="002D754A" w:rsidP="00BD6FFE">
      <w:pPr>
        <w:spacing w:line="480" w:lineRule="auto"/>
        <w:rPr>
          <w:rFonts w:ascii="Helvetica" w:hAnsi="Helvetica" w:cs="Times New Roman"/>
          <w:sz w:val="22"/>
          <w:szCs w:val="22"/>
        </w:rPr>
      </w:pPr>
    </w:p>
    <w:p w14:paraId="78D1FA7E" w14:textId="218FC982" w:rsidR="00420E25" w:rsidRPr="00BD6FFE" w:rsidRDefault="00420E25" w:rsidP="00BD6FFE">
      <w:pPr>
        <w:spacing w:line="480" w:lineRule="auto"/>
        <w:rPr>
          <w:rFonts w:ascii="Helvetica" w:hAnsi="Helvetica" w:cs="Times New Roman"/>
          <w:sz w:val="22"/>
          <w:szCs w:val="22"/>
        </w:rPr>
      </w:pPr>
      <w:r w:rsidRPr="00BD6FFE">
        <w:rPr>
          <w:rFonts w:ascii="Helvetica" w:hAnsi="Helvetica" w:cs="Times New Roman"/>
          <w:sz w:val="22"/>
          <w:szCs w:val="22"/>
        </w:rPr>
        <w:t>Finally, as</w:t>
      </w:r>
      <w:r w:rsidR="002D754A" w:rsidRPr="00BD6FFE">
        <w:rPr>
          <w:rFonts w:ascii="Helvetica" w:hAnsi="Helvetica" w:cs="Times New Roman"/>
          <w:sz w:val="22"/>
          <w:szCs w:val="22"/>
        </w:rPr>
        <w:t xml:space="preserve"> with all social research, the choice of research design in the study of policy mobility (and the related set of data collection techniques) </w:t>
      </w:r>
      <w:r w:rsidR="00D23523">
        <w:rPr>
          <w:rFonts w:ascii="Helvetica" w:hAnsi="Helvetica" w:cs="Times New Roman"/>
          <w:sz w:val="22"/>
          <w:szCs w:val="22"/>
        </w:rPr>
        <w:t>will</w:t>
      </w:r>
      <w:r w:rsidRPr="00BD6FFE">
        <w:rPr>
          <w:rFonts w:ascii="Helvetica" w:hAnsi="Helvetica" w:cs="Times New Roman"/>
          <w:sz w:val="22"/>
          <w:szCs w:val="22"/>
        </w:rPr>
        <w:t xml:space="preserve"> </w:t>
      </w:r>
      <w:r w:rsidR="002D754A" w:rsidRPr="00BD6FFE">
        <w:rPr>
          <w:rFonts w:ascii="Helvetica" w:hAnsi="Helvetica" w:cs="Times New Roman"/>
          <w:sz w:val="22"/>
          <w:szCs w:val="22"/>
        </w:rPr>
        <w:t xml:space="preserve">be determined by the </w:t>
      </w:r>
      <w:r w:rsidR="002D754A" w:rsidRPr="00BD6FFE">
        <w:rPr>
          <w:rFonts w:ascii="Helvetica" w:hAnsi="Helvetica" w:cs="Times New Roman"/>
          <w:i/>
          <w:sz w:val="22"/>
          <w:szCs w:val="22"/>
        </w:rPr>
        <w:t>nature of the research questions being asked</w:t>
      </w:r>
      <w:r w:rsidR="002D754A" w:rsidRPr="00BD6FFE">
        <w:rPr>
          <w:rFonts w:ascii="Helvetica" w:hAnsi="Helvetica" w:cs="Times New Roman"/>
          <w:sz w:val="22"/>
          <w:szCs w:val="22"/>
        </w:rPr>
        <w:t>. Different kinds of policy mobility study ask different types of questions</w:t>
      </w:r>
      <w:r w:rsidR="005D1DD6">
        <w:rPr>
          <w:rFonts w:ascii="Helvetica" w:hAnsi="Helvetica" w:cs="Times New Roman"/>
          <w:sz w:val="22"/>
          <w:szCs w:val="22"/>
        </w:rPr>
        <w:t>, and these</w:t>
      </w:r>
      <w:r w:rsidR="002D754A" w:rsidRPr="00BD6FFE">
        <w:rPr>
          <w:rFonts w:ascii="Helvetica" w:hAnsi="Helvetica" w:cs="Times New Roman"/>
          <w:sz w:val="22"/>
          <w:szCs w:val="22"/>
        </w:rPr>
        <w:t xml:space="preserve"> may be grouped broadly within one or more of the categories of description, understanding, explanation and assessment. It could be argued that detailed and accurate description can be both useful in itself, and </w:t>
      </w:r>
      <w:r w:rsidR="0061122F" w:rsidRPr="00BD6FFE">
        <w:rPr>
          <w:rFonts w:ascii="Helvetica" w:hAnsi="Helvetica" w:cs="Times New Roman"/>
          <w:sz w:val="22"/>
          <w:szCs w:val="22"/>
        </w:rPr>
        <w:t xml:space="preserve">function </w:t>
      </w:r>
      <w:r w:rsidR="002D754A" w:rsidRPr="00BD6FFE">
        <w:rPr>
          <w:rFonts w:ascii="Helvetica" w:hAnsi="Helvetica" w:cs="Times New Roman"/>
          <w:sz w:val="22"/>
          <w:szCs w:val="22"/>
        </w:rPr>
        <w:t>as a precondition for the other two categories. Descriptive questions address the ‘what’, ‘who’, ‘where’ and ‘when’ issues and are illustrated by some of the template of research questions for policy transfer studies provided by Dolowitz and Mar</w:t>
      </w:r>
      <w:r w:rsidR="0077463D">
        <w:rPr>
          <w:rFonts w:ascii="Helvetica" w:hAnsi="Helvetica" w:cs="Times New Roman"/>
          <w:sz w:val="22"/>
          <w:szCs w:val="22"/>
        </w:rPr>
        <w:t>s</w:t>
      </w:r>
      <w:r w:rsidR="002D754A" w:rsidRPr="00BD6FFE">
        <w:rPr>
          <w:rFonts w:ascii="Helvetica" w:hAnsi="Helvetica" w:cs="Times New Roman"/>
          <w:sz w:val="22"/>
          <w:szCs w:val="22"/>
        </w:rPr>
        <w:t xml:space="preserve">h (2000). For example, ‘who transfers policy’, ‘what is transferred’, ‘from (and to) where are policies transferred’, and ‘what are the different degrees of transfer’ could be seen as classic descriptive questions. Much policy diffusion research is engaged in the project of detailed descriptive mapping of the </w:t>
      </w:r>
      <w:r w:rsidR="002D754A" w:rsidRPr="00BD6FFE">
        <w:rPr>
          <w:rFonts w:ascii="Helvetica" w:hAnsi="Helvetica" w:cs="Times New Roman"/>
          <w:sz w:val="22"/>
          <w:szCs w:val="22"/>
        </w:rPr>
        <w:lastRenderedPageBreak/>
        <w:t xml:space="preserve">spread of particular policies over space and time (although </w:t>
      </w:r>
      <w:r w:rsidR="00A53034">
        <w:rPr>
          <w:rFonts w:ascii="Helvetica" w:hAnsi="Helvetica" w:cs="Times New Roman"/>
          <w:sz w:val="22"/>
          <w:szCs w:val="22"/>
        </w:rPr>
        <w:t>some</w:t>
      </w:r>
      <w:r w:rsidR="002D754A" w:rsidRPr="00BD6FFE">
        <w:rPr>
          <w:rFonts w:ascii="Helvetica" w:hAnsi="Helvetica" w:cs="Times New Roman"/>
          <w:sz w:val="22"/>
          <w:szCs w:val="22"/>
        </w:rPr>
        <w:t xml:space="preserve"> studies then go on to </w:t>
      </w:r>
      <w:r w:rsidR="00D675AC">
        <w:rPr>
          <w:rFonts w:ascii="Helvetica" w:hAnsi="Helvetica" w:cs="Times New Roman"/>
          <w:sz w:val="22"/>
          <w:szCs w:val="22"/>
        </w:rPr>
        <w:t>address</w:t>
      </w:r>
      <w:r w:rsidR="002D754A" w:rsidRPr="00BD6FFE">
        <w:rPr>
          <w:rFonts w:ascii="Helvetica" w:hAnsi="Helvetica" w:cs="Times New Roman"/>
          <w:sz w:val="22"/>
          <w:szCs w:val="22"/>
        </w:rPr>
        <w:t xml:space="preserve"> more ambitious kinds of questions as set out below). </w:t>
      </w:r>
    </w:p>
    <w:p w14:paraId="1AEF804F" w14:textId="77777777" w:rsidR="00420E25" w:rsidRPr="00BD6FFE" w:rsidRDefault="00420E25" w:rsidP="00BD6FFE">
      <w:pPr>
        <w:spacing w:line="480" w:lineRule="auto"/>
        <w:rPr>
          <w:rFonts w:ascii="Helvetica" w:hAnsi="Helvetica" w:cs="Times New Roman"/>
          <w:sz w:val="22"/>
          <w:szCs w:val="22"/>
        </w:rPr>
      </w:pPr>
    </w:p>
    <w:p w14:paraId="0009FAB0" w14:textId="38D045B4" w:rsidR="00420E25" w:rsidRPr="00BD6FFE" w:rsidRDefault="00E1085E" w:rsidP="00BD6FFE">
      <w:pPr>
        <w:spacing w:line="480" w:lineRule="auto"/>
        <w:rPr>
          <w:rFonts w:ascii="Helvetica" w:hAnsi="Helvetica" w:cs="Times New Roman"/>
          <w:sz w:val="22"/>
          <w:szCs w:val="22"/>
        </w:rPr>
      </w:pPr>
      <w:r w:rsidRPr="00BD6FFE">
        <w:rPr>
          <w:rFonts w:ascii="Helvetica" w:hAnsi="Helvetica" w:cs="Times New Roman"/>
          <w:sz w:val="22"/>
          <w:szCs w:val="22"/>
        </w:rPr>
        <w:t xml:space="preserve">A second </w:t>
      </w:r>
      <w:r w:rsidR="002D754A" w:rsidRPr="00BD6FFE">
        <w:rPr>
          <w:rFonts w:ascii="Helvetica" w:hAnsi="Helvetica" w:cs="Times New Roman"/>
          <w:sz w:val="22"/>
          <w:szCs w:val="22"/>
        </w:rPr>
        <w:t>category of research question relate</w:t>
      </w:r>
      <w:r w:rsidRPr="00BD6FFE">
        <w:rPr>
          <w:rFonts w:ascii="Helvetica" w:hAnsi="Helvetica" w:cs="Times New Roman"/>
          <w:sz w:val="22"/>
          <w:szCs w:val="22"/>
        </w:rPr>
        <w:t>s</w:t>
      </w:r>
      <w:r w:rsidR="002D754A" w:rsidRPr="00BD6FFE">
        <w:rPr>
          <w:rFonts w:ascii="Helvetica" w:hAnsi="Helvetica" w:cs="Times New Roman"/>
          <w:sz w:val="22"/>
          <w:szCs w:val="22"/>
        </w:rPr>
        <w:t xml:space="preserve"> to the issues of understanding and interpretation of the patterns revealed by descriptive research questions. The core questions of interpretative research</w:t>
      </w:r>
      <w:r w:rsidR="00944862" w:rsidRPr="00BD6FFE">
        <w:rPr>
          <w:rFonts w:ascii="Helvetica" w:hAnsi="Helvetica" w:cs="Times New Roman"/>
          <w:sz w:val="22"/>
          <w:szCs w:val="22"/>
        </w:rPr>
        <w:t xml:space="preserve"> </w:t>
      </w:r>
      <w:r w:rsidR="00DF3217" w:rsidRPr="00BD6FFE">
        <w:rPr>
          <w:rFonts w:ascii="Helvetica" w:hAnsi="Helvetica" w:cs="Times New Roman"/>
          <w:sz w:val="22"/>
          <w:szCs w:val="22"/>
        </w:rPr>
        <w:t>focus on</w:t>
      </w:r>
      <w:r w:rsidR="002D754A" w:rsidRPr="00BD6FFE">
        <w:rPr>
          <w:rFonts w:ascii="Helvetica" w:hAnsi="Helvetica" w:cs="Times New Roman"/>
          <w:sz w:val="22"/>
          <w:szCs w:val="22"/>
        </w:rPr>
        <w:t xml:space="preserve"> the ways in which policy actors construct meaning in particular social circumstances</w:t>
      </w:r>
      <w:r w:rsidR="00D675AC">
        <w:rPr>
          <w:rFonts w:ascii="Helvetica" w:hAnsi="Helvetica" w:cs="Times New Roman"/>
          <w:sz w:val="22"/>
          <w:szCs w:val="22"/>
        </w:rPr>
        <w:t xml:space="preserve"> and the inherently political features of the policy formation processes. However,</w:t>
      </w:r>
      <w:r w:rsidR="00944862" w:rsidRPr="00BD6FFE">
        <w:rPr>
          <w:rFonts w:ascii="Helvetica" w:hAnsi="Helvetica" w:cs="Times New Roman"/>
          <w:sz w:val="22"/>
          <w:szCs w:val="22"/>
        </w:rPr>
        <w:t xml:space="preserve"> </w:t>
      </w:r>
      <w:r w:rsidR="00CC3EFD" w:rsidRPr="00BD6FFE">
        <w:rPr>
          <w:rFonts w:ascii="Helvetica" w:hAnsi="Helvetica" w:cs="Times New Roman"/>
          <w:sz w:val="22"/>
          <w:szCs w:val="22"/>
        </w:rPr>
        <w:t xml:space="preserve">scholars </w:t>
      </w:r>
      <w:r w:rsidR="002D754A" w:rsidRPr="00BD6FFE">
        <w:rPr>
          <w:rFonts w:ascii="Helvetica" w:hAnsi="Helvetica" w:cs="Times New Roman"/>
          <w:sz w:val="22"/>
          <w:szCs w:val="22"/>
        </w:rPr>
        <w:t xml:space="preserve">of a </w:t>
      </w:r>
      <w:r w:rsidR="00944862" w:rsidRPr="00BD6FFE">
        <w:rPr>
          <w:rFonts w:ascii="Helvetica" w:hAnsi="Helvetica" w:cs="Times New Roman"/>
          <w:sz w:val="22"/>
          <w:szCs w:val="22"/>
        </w:rPr>
        <w:t xml:space="preserve">more </w:t>
      </w:r>
      <w:r w:rsidR="002D754A" w:rsidRPr="00BD6FFE">
        <w:rPr>
          <w:rFonts w:ascii="Helvetica" w:hAnsi="Helvetica" w:cs="Times New Roman"/>
          <w:sz w:val="22"/>
          <w:szCs w:val="22"/>
        </w:rPr>
        <w:t>realist bent</w:t>
      </w:r>
      <w:r w:rsidR="00944862" w:rsidRPr="00BD6FFE">
        <w:rPr>
          <w:rFonts w:ascii="Helvetica" w:hAnsi="Helvetica" w:cs="Times New Roman"/>
          <w:sz w:val="22"/>
          <w:szCs w:val="22"/>
        </w:rPr>
        <w:t xml:space="preserve"> </w:t>
      </w:r>
      <w:r w:rsidR="00D675AC">
        <w:rPr>
          <w:rFonts w:ascii="Helvetica" w:hAnsi="Helvetica" w:cs="Times New Roman"/>
          <w:sz w:val="22"/>
          <w:szCs w:val="22"/>
        </w:rPr>
        <w:t>are also concerned with</w:t>
      </w:r>
      <w:r w:rsidR="00944862" w:rsidRPr="00BD6FFE">
        <w:rPr>
          <w:rFonts w:ascii="Helvetica" w:hAnsi="Helvetica" w:cs="Times New Roman"/>
          <w:sz w:val="22"/>
          <w:szCs w:val="22"/>
        </w:rPr>
        <w:t xml:space="preserve"> </w:t>
      </w:r>
      <w:r w:rsidR="002D754A" w:rsidRPr="00BD6FFE">
        <w:rPr>
          <w:rFonts w:ascii="Helvetica" w:hAnsi="Helvetica" w:cs="Times New Roman"/>
          <w:sz w:val="22"/>
          <w:szCs w:val="22"/>
        </w:rPr>
        <w:t>the</w:t>
      </w:r>
      <w:r w:rsidR="00DA008E">
        <w:rPr>
          <w:rFonts w:ascii="Helvetica" w:hAnsi="Helvetica" w:cs="Times New Roman"/>
          <w:sz w:val="22"/>
          <w:szCs w:val="22"/>
        </w:rPr>
        <w:t xml:space="preserve"> ‘what’, the</w:t>
      </w:r>
      <w:r w:rsidR="002D754A" w:rsidRPr="00BD6FFE">
        <w:rPr>
          <w:rFonts w:ascii="Helvetica" w:hAnsi="Helvetica" w:cs="Times New Roman"/>
          <w:sz w:val="22"/>
          <w:szCs w:val="22"/>
        </w:rPr>
        <w:t xml:space="preserve"> ‘how’ and the ‘why’ of policy mobility. What are the causal mechanisms involved, how are policies defined and shaped, what kinds of policy knowledge are mobilised and why </w:t>
      </w:r>
      <w:r w:rsidRPr="00BD6FFE">
        <w:rPr>
          <w:rFonts w:ascii="Helvetica" w:hAnsi="Helvetica" w:cs="Times New Roman"/>
          <w:sz w:val="22"/>
          <w:szCs w:val="22"/>
        </w:rPr>
        <w:t xml:space="preserve">are some </w:t>
      </w:r>
      <w:r w:rsidR="002D754A" w:rsidRPr="00BD6FFE">
        <w:rPr>
          <w:rFonts w:ascii="Helvetica" w:hAnsi="Helvetica" w:cs="Times New Roman"/>
          <w:sz w:val="22"/>
          <w:szCs w:val="22"/>
        </w:rPr>
        <w:t xml:space="preserve">policy models </w:t>
      </w:r>
      <w:r w:rsidR="00A53034">
        <w:rPr>
          <w:rFonts w:ascii="Helvetica" w:hAnsi="Helvetica" w:cs="Times New Roman"/>
          <w:sz w:val="22"/>
          <w:szCs w:val="22"/>
        </w:rPr>
        <w:t xml:space="preserve">rather than others </w:t>
      </w:r>
      <w:r w:rsidR="002D754A" w:rsidRPr="00BD6FFE">
        <w:rPr>
          <w:rFonts w:ascii="Helvetica" w:hAnsi="Helvetica" w:cs="Times New Roman"/>
          <w:sz w:val="22"/>
          <w:szCs w:val="22"/>
        </w:rPr>
        <w:t>selecte</w:t>
      </w:r>
      <w:r w:rsidR="00CC3EFD" w:rsidRPr="00BD6FFE">
        <w:rPr>
          <w:rFonts w:ascii="Helvetica" w:hAnsi="Helvetica" w:cs="Times New Roman"/>
          <w:sz w:val="22"/>
          <w:szCs w:val="22"/>
        </w:rPr>
        <w:t>d as exe</w:t>
      </w:r>
      <w:r w:rsidR="002D754A" w:rsidRPr="00BD6FFE">
        <w:rPr>
          <w:rFonts w:ascii="Helvetica" w:hAnsi="Helvetica" w:cs="Times New Roman"/>
          <w:sz w:val="22"/>
          <w:szCs w:val="22"/>
        </w:rPr>
        <w:t xml:space="preserve">mplars? </w:t>
      </w:r>
      <w:r w:rsidR="00DF3217" w:rsidRPr="00BD6FFE">
        <w:rPr>
          <w:rFonts w:ascii="Helvetica" w:hAnsi="Helvetica" w:cs="Times New Roman"/>
          <w:sz w:val="22"/>
          <w:szCs w:val="22"/>
        </w:rPr>
        <w:t xml:space="preserve">Different </w:t>
      </w:r>
      <w:r w:rsidR="00631591">
        <w:rPr>
          <w:rFonts w:ascii="Helvetica" w:hAnsi="Helvetica" w:cs="Times New Roman"/>
          <w:sz w:val="22"/>
          <w:szCs w:val="22"/>
        </w:rPr>
        <w:t>classes</w:t>
      </w:r>
      <w:r w:rsidR="00D675AC">
        <w:rPr>
          <w:rFonts w:ascii="Helvetica" w:hAnsi="Helvetica" w:cs="Times New Roman"/>
          <w:sz w:val="22"/>
          <w:szCs w:val="22"/>
        </w:rPr>
        <w:t xml:space="preserve"> of </w:t>
      </w:r>
      <w:r w:rsidR="00DF3217" w:rsidRPr="00BD6FFE">
        <w:rPr>
          <w:rFonts w:ascii="Helvetica" w:hAnsi="Helvetica" w:cs="Times New Roman"/>
          <w:sz w:val="22"/>
          <w:szCs w:val="22"/>
        </w:rPr>
        <w:t xml:space="preserve">questions </w:t>
      </w:r>
      <w:r w:rsidR="00DA008E">
        <w:rPr>
          <w:rFonts w:ascii="Helvetica" w:hAnsi="Helvetica" w:cs="Times New Roman"/>
          <w:sz w:val="22"/>
          <w:szCs w:val="22"/>
        </w:rPr>
        <w:t>imply</w:t>
      </w:r>
      <w:r w:rsidR="00DF3217" w:rsidRPr="00BD6FFE">
        <w:rPr>
          <w:rFonts w:ascii="Helvetica" w:hAnsi="Helvetica" w:cs="Times New Roman"/>
          <w:sz w:val="22"/>
          <w:szCs w:val="22"/>
        </w:rPr>
        <w:t xml:space="preserve"> </w:t>
      </w:r>
      <w:r w:rsidR="00DA008E">
        <w:rPr>
          <w:rFonts w:ascii="Helvetica" w:hAnsi="Helvetica" w:cs="Times New Roman"/>
          <w:sz w:val="22"/>
          <w:szCs w:val="22"/>
        </w:rPr>
        <w:t>distinct</w:t>
      </w:r>
      <w:r w:rsidR="00DF3217" w:rsidRPr="00BD6FFE">
        <w:rPr>
          <w:rFonts w:ascii="Helvetica" w:hAnsi="Helvetica" w:cs="Times New Roman"/>
          <w:sz w:val="22"/>
          <w:szCs w:val="22"/>
        </w:rPr>
        <w:t xml:space="preserve"> choices</w:t>
      </w:r>
      <w:r w:rsidR="00DA008E">
        <w:rPr>
          <w:rFonts w:ascii="Helvetica" w:hAnsi="Helvetica" w:cs="Times New Roman"/>
          <w:sz w:val="22"/>
          <w:szCs w:val="22"/>
        </w:rPr>
        <w:t xml:space="preserve"> of method</w:t>
      </w:r>
      <w:r w:rsidR="00DF3217" w:rsidRPr="00BD6FFE">
        <w:rPr>
          <w:rFonts w:ascii="Helvetica" w:hAnsi="Helvetica" w:cs="Times New Roman"/>
          <w:sz w:val="22"/>
          <w:szCs w:val="22"/>
        </w:rPr>
        <w:t>. Recent</w:t>
      </w:r>
      <w:r w:rsidR="002D754A" w:rsidRPr="00BD6FFE">
        <w:rPr>
          <w:rFonts w:ascii="Helvetica" w:hAnsi="Helvetica" w:cs="Times New Roman"/>
          <w:sz w:val="22"/>
          <w:szCs w:val="22"/>
        </w:rPr>
        <w:t xml:space="preserve"> quantitative studies of diffusion</w:t>
      </w:r>
      <w:r w:rsidR="00DF3217" w:rsidRPr="00BD6FFE">
        <w:rPr>
          <w:rFonts w:ascii="Helvetica" w:hAnsi="Helvetica" w:cs="Times New Roman"/>
          <w:sz w:val="22"/>
          <w:szCs w:val="22"/>
        </w:rPr>
        <w:t>, for example,</w:t>
      </w:r>
      <w:r w:rsidR="002D754A" w:rsidRPr="00BD6FFE">
        <w:rPr>
          <w:rFonts w:ascii="Helvetica" w:hAnsi="Helvetica" w:cs="Times New Roman"/>
          <w:sz w:val="22"/>
          <w:szCs w:val="22"/>
        </w:rPr>
        <w:t xml:space="preserve"> have attempted to test different theories about the key mechanisms that explain patterns of adoption of policies across jurisdictions (competition, coercion, emulation, learning etc</w:t>
      </w:r>
      <w:r w:rsidR="00420E25" w:rsidRPr="00BD6FFE">
        <w:rPr>
          <w:rFonts w:ascii="Helvetica" w:hAnsi="Helvetica" w:cs="Times New Roman"/>
          <w:sz w:val="22"/>
          <w:szCs w:val="22"/>
        </w:rPr>
        <w:t>.</w:t>
      </w:r>
      <w:r w:rsidR="002D754A" w:rsidRPr="00BD6FFE">
        <w:rPr>
          <w:rFonts w:ascii="Helvetica" w:hAnsi="Helvetica" w:cs="Times New Roman"/>
          <w:sz w:val="22"/>
          <w:szCs w:val="22"/>
        </w:rPr>
        <w:t xml:space="preserve">). </w:t>
      </w:r>
      <w:r w:rsidR="00DF3217" w:rsidRPr="00BD6FFE">
        <w:rPr>
          <w:rFonts w:ascii="Helvetica" w:hAnsi="Helvetica" w:cs="Times New Roman"/>
          <w:sz w:val="22"/>
          <w:szCs w:val="22"/>
        </w:rPr>
        <w:t>On the other hand,</w:t>
      </w:r>
      <w:r w:rsidR="002D754A" w:rsidRPr="00BD6FFE">
        <w:rPr>
          <w:rFonts w:ascii="Helvetica" w:hAnsi="Helvetica" w:cs="Times New Roman"/>
          <w:sz w:val="22"/>
          <w:szCs w:val="22"/>
        </w:rPr>
        <w:t xml:space="preserve"> qualitative research designs </w:t>
      </w:r>
      <w:r w:rsidR="00DF3217" w:rsidRPr="00BD6FFE">
        <w:rPr>
          <w:rFonts w:ascii="Helvetica" w:hAnsi="Helvetica" w:cs="Times New Roman"/>
          <w:sz w:val="22"/>
          <w:szCs w:val="22"/>
        </w:rPr>
        <w:t xml:space="preserve">tend to be </w:t>
      </w:r>
      <w:r w:rsidR="002D754A" w:rsidRPr="00BD6FFE">
        <w:rPr>
          <w:rFonts w:ascii="Helvetica" w:hAnsi="Helvetica" w:cs="Times New Roman"/>
          <w:sz w:val="22"/>
          <w:szCs w:val="22"/>
        </w:rPr>
        <w:t xml:space="preserve">more suited to the exploration of the complex processes and generative mechanisms </w:t>
      </w:r>
      <w:r w:rsidR="00DF3217" w:rsidRPr="00BD6FFE">
        <w:rPr>
          <w:rFonts w:ascii="Helvetica" w:hAnsi="Helvetica" w:cs="Times New Roman"/>
          <w:sz w:val="22"/>
          <w:szCs w:val="22"/>
        </w:rPr>
        <w:t>influencing</w:t>
      </w:r>
      <w:r w:rsidR="002D754A" w:rsidRPr="00BD6FFE">
        <w:rPr>
          <w:rFonts w:ascii="Helvetica" w:hAnsi="Helvetica" w:cs="Times New Roman"/>
          <w:sz w:val="22"/>
          <w:szCs w:val="22"/>
        </w:rPr>
        <w:t xml:space="preserve"> the factors that shape policy development. Qualitative case studies of </w:t>
      </w:r>
      <w:r w:rsidR="00A53034">
        <w:rPr>
          <w:rFonts w:ascii="Helvetica" w:hAnsi="Helvetica" w:cs="Times New Roman"/>
          <w:sz w:val="22"/>
          <w:szCs w:val="22"/>
        </w:rPr>
        <w:t xml:space="preserve">crime </w:t>
      </w:r>
      <w:r w:rsidR="002D754A" w:rsidRPr="00BD6FFE">
        <w:rPr>
          <w:rFonts w:ascii="Helvetica" w:hAnsi="Helvetica" w:cs="Times New Roman"/>
          <w:sz w:val="22"/>
          <w:szCs w:val="22"/>
        </w:rPr>
        <w:t xml:space="preserve">policy </w:t>
      </w:r>
      <w:r w:rsidR="00A53034">
        <w:rPr>
          <w:rFonts w:ascii="Helvetica" w:hAnsi="Helvetica" w:cs="Times New Roman"/>
          <w:sz w:val="22"/>
          <w:szCs w:val="22"/>
        </w:rPr>
        <w:t>mobility</w:t>
      </w:r>
      <w:r w:rsidR="002D754A" w:rsidRPr="00BD6FFE">
        <w:rPr>
          <w:rFonts w:ascii="Helvetica" w:hAnsi="Helvetica" w:cs="Times New Roman"/>
          <w:sz w:val="22"/>
          <w:szCs w:val="22"/>
        </w:rPr>
        <w:t xml:space="preserve"> have attempted to illuminate the processes via which policies travel, the motivations of policy actors in promoting or resisting transfer, and the institutional and ideological contexts of the policy fields that condition these processes</w:t>
      </w:r>
      <w:r w:rsidR="001A5B6E">
        <w:rPr>
          <w:rFonts w:ascii="Helvetica" w:hAnsi="Helvetica" w:cs="Times New Roman"/>
          <w:sz w:val="22"/>
          <w:szCs w:val="22"/>
        </w:rPr>
        <w:t xml:space="preserve"> (for example, Mendez and Jaffe 2018; </w:t>
      </w:r>
      <w:proofErr w:type="spellStart"/>
      <w:r w:rsidR="001A5B6E">
        <w:rPr>
          <w:rFonts w:ascii="Helvetica" w:hAnsi="Helvetica" w:cs="Times New Roman"/>
          <w:sz w:val="22"/>
          <w:szCs w:val="22"/>
        </w:rPr>
        <w:t>McMenzie</w:t>
      </w:r>
      <w:proofErr w:type="spellEnd"/>
      <w:r w:rsidR="001A5B6E">
        <w:rPr>
          <w:rFonts w:ascii="Helvetica" w:hAnsi="Helvetica" w:cs="Times New Roman"/>
          <w:sz w:val="22"/>
          <w:szCs w:val="22"/>
        </w:rPr>
        <w:t xml:space="preserve"> </w:t>
      </w:r>
      <w:r w:rsidR="0077463D" w:rsidRPr="000A1533">
        <w:rPr>
          <w:rFonts w:ascii="Helvetica" w:hAnsi="Helvetica" w:cs="Times New Roman"/>
          <w:i/>
          <w:sz w:val="22"/>
          <w:szCs w:val="22"/>
        </w:rPr>
        <w:t>et al</w:t>
      </w:r>
      <w:r w:rsidR="001A5B6E">
        <w:rPr>
          <w:rFonts w:ascii="Helvetica" w:hAnsi="Helvetica" w:cs="Times New Roman"/>
          <w:sz w:val="22"/>
          <w:szCs w:val="22"/>
        </w:rPr>
        <w:t xml:space="preserve"> forthcoming)</w:t>
      </w:r>
      <w:r w:rsidR="002D754A" w:rsidRPr="00BD6FFE">
        <w:rPr>
          <w:rFonts w:ascii="Helvetica" w:hAnsi="Helvetica" w:cs="Times New Roman"/>
          <w:sz w:val="22"/>
          <w:szCs w:val="22"/>
        </w:rPr>
        <w:t xml:space="preserve">. </w:t>
      </w:r>
    </w:p>
    <w:p w14:paraId="2F265517" w14:textId="77777777" w:rsidR="00420E25" w:rsidRPr="00BD6FFE" w:rsidRDefault="00420E25" w:rsidP="00BD6FFE">
      <w:pPr>
        <w:spacing w:line="480" w:lineRule="auto"/>
        <w:rPr>
          <w:rFonts w:ascii="Helvetica" w:hAnsi="Helvetica" w:cs="Times New Roman"/>
          <w:sz w:val="22"/>
          <w:szCs w:val="22"/>
        </w:rPr>
      </w:pPr>
    </w:p>
    <w:p w14:paraId="2EC0BD0E" w14:textId="48A56D75" w:rsidR="002D754A" w:rsidRPr="00BD6FFE" w:rsidRDefault="002D754A" w:rsidP="00BD6FFE">
      <w:pPr>
        <w:spacing w:line="480" w:lineRule="auto"/>
        <w:rPr>
          <w:rFonts w:ascii="Helvetica" w:hAnsi="Helvetica" w:cs="Times New Roman"/>
          <w:sz w:val="22"/>
          <w:szCs w:val="22"/>
        </w:rPr>
      </w:pPr>
      <w:r w:rsidRPr="00BD6FFE">
        <w:rPr>
          <w:rFonts w:ascii="Helvetica" w:hAnsi="Helvetica" w:cs="Times New Roman"/>
          <w:sz w:val="22"/>
          <w:szCs w:val="22"/>
        </w:rPr>
        <w:t>A final category of research question cover</w:t>
      </w:r>
      <w:r w:rsidR="00DF3217" w:rsidRPr="00BD6FFE">
        <w:rPr>
          <w:rFonts w:ascii="Helvetica" w:hAnsi="Helvetica" w:cs="Times New Roman"/>
          <w:sz w:val="22"/>
          <w:szCs w:val="22"/>
        </w:rPr>
        <w:t>s</w:t>
      </w:r>
      <w:r w:rsidRPr="00BD6FFE">
        <w:rPr>
          <w:rFonts w:ascii="Helvetica" w:hAnsi="Helvetica" w:cs="Times New Roman"/>
          <w:sz w:val="22"/>
          <w:szCs w:val="22"/>
        </w:rPr>
        <w:t xml:space="preserve"> issues of assessment and evaluation.</w:t>
      </w:r>
      <w:r w:rsidR="00A53034">
        <w:rPr>
          <w:rFonts w:ascii="Helvetica" w:hAnsi="Helvetica" w:cs="Times New Roman"/>
          <w:sz w:val="22"/>
          <w:szCs w:val="22"/>
        </w:rPr>
        <w:t xml:space="preserve"> </w:t>
      </w:r>
      <w:r w:rsidR="00631591">
        <w:rPr>
          <w:rFonts w:ascii="Helvetica" w:hAnsi="Helvetica" w:cs="Times New Roman"/>
          <w:sz w:val="22"/>
          <w:szCs w:val="22"/>
        </w:rPr>
        <w:t>Where s</w:t>
      </w:r>
      <w:r w:rsidR="00A53034">
        <w:rPr>
          <w:rFonts w:ascii="Helvetica" w:hAnsi="Helvetica" w:cs="Times New Roman"/>
          <w:sz w:val="22"/>
          <w:szCs w:val="22"/>
        </w:rPr>
        <w:t>ome criminological researchers actively distance themselves from the enterprise of ‘administrative criminology</w:t>
      </w:r>
      <w:r w:rsidR="00D71B1E">
        <w:rPr>
          <w:rFonts w:ascii="Helvetica" w:hAnsi="Helvetica" w:cs="Times New Roman"/>
          <w:sz w:val="22"/>
          <w:szCs w:val="22"/>
        </w:rPr>
        <w:t>’</w:t>
      </w:r>
      <w:r w:rsidR="00A53034">
        <w:rPr>
          <w:rFonts w:ascii="Helvetica" w:hAnsi="Helvetica" w:cs="Times New Roman"/>
          <w:sz w:val="22"/>
          <w:szCs w:val="22"/>
        </w:rPr>
        <w:t xml:space="preserve"> </w:t>
      </w:r>
      <w:r w:rsidR="00D71B1E">
        <w:rPr>
          <w:rFonts w:ascii="Helvetica" w:hAnsi="Helvetica" w:cs="Times New Roman"/>
          <w:sz w:val="22"/>
          <w:szCs w:val="22"/>
        </w:rPr>
        <w:t>(Young, 1987)</w:t>
      </w:r>
      <w:r w:rsidR="00631591">
        <w:rPr>
          <w:rFonts w:ascii="Helvetica" w:hAnsi="Helvetica" w:cs="Times New Roman"/>
          <w:sz w:val="22"/>
          <w:szCs w:val="22"/>
        </w:rPr>
        <w:t>,</w:t>
      </w:r>
      <w:r w:rsidR="00D71B1E">
        <w:rPr>
          <w:rFonts w:ascii="Helvetica" w:hAnsi="Helvetica" w:cs="Times New Roman"/>
          <w:sz w:val="22"/>
          <w:szCs w:val="22"/>
        </w:rPr>
        <w:t xml:space="preserve"> </w:t>
      </w:r>
      <w:r w:rsidR="00A53034">
        <w:rPr>
          <w:rFonts w:ascii="Helvetica" w:hAnsi="Helvetica" w:cs="Times New Roman"/>
          <w:sz w:val="22"/>
          <w:szCs w:val="22"/>
        </w:rPr>
        <w:t>engag</w:t>
      </w:r>
      <w:r w:rsidR="00631591">
        <w:rPr>
          <w:rFonts w:ascii="Helvetica" w:hAnsi="Helvetica" w:cs="Times New Roman"/>
          <w:sz w:val="22"/>
          <w:szCs w:val="22"/>
        </w:rPr>
        <w:t>ing</w:t>
      </w:r>
      <w:r w:rsidR="00A53034">
        <w:rPr>
          <w:rFonts w:ascii="Helvetica" w:hAnsi="Helvetica" w:cs="Times New Roman"/>
          <w:sz w:val="22"/>
          <w:szCs w:val="22"/>
        </w:rPr>
        <w:t xml:space="preserve"> with self-</w:t>
      </w:r>
      <w:r w:rsidR="00A53034">
        <w:rPr>
          <w:rFonts w:ascii="Helvetica" w:hAnsi="Helvetica" w:cs="Times New Roman"/>
          <w:sz w:val="22"/>
          <w:szCs w:val="22"/>
        </w:rPr>
        <w:lastRenderedPageBreak/>
        <w:t xml:space="preserve">conscious attempts to shape </w:t>
      </w:r>
      <w:r w:rsidR="00D71B1E">
        <w:rPr>
          <w:rFonts w:ascii="Helvetica" w:hAnsi="Helvetica" w:cs="Times New Roman"/>
          <w:sz w:val="22"/>
          <w:szCs w:val="22"/>
        </w:rPr>
        <w:t xml:space="preserve">penal practice and </w:t>
      </w:r>
      <w:r w:rsidR="00A53034">
        <w:rPr>
          <w:rFonts w:ascii="Helvetica" w:hAnsi="Helvetica" w:cs="Times New Roman"/>
          <w:sz w:val="22"/>
          <w:szCs w:val="22"/>
        </w:rPr>
        <w:t>public policy via social scientific assessment and evaluation</w:t>
      </w:r>
      <w:r w:rsidR="00631591">
        <w:rPr>
          <w:rFonts w:ascii="Helvetica" w:hAnsi="Helvetica" w:cs="Times New Roman"/>
          <w:sz w:val="22"/>
          <w:szCs w:val="22"/>
        </w:rPr>
        <w:t>, others</w:t>
      </w:r>
      <w:r w:rsidR="00A53034">
        <w:rPr>
          <w:rFonts w:ascii="Helvetica" w:hAnsi="Helvetica" w:cs="Times New Roman"/>
          <w:sz w:val="22"/>
          <w:szCs w:val="22"/>
        </w:rPr>
        <w:t xml:space="preserve"> adopt a more pragmatic approach, </w:t>
      </w:r>
      <w:r w:rsidR="00631591">
        <w:rPr>
          <w:rFonts w:ascii="Helvetica" w:hAnsi="Helvetica" w:cs="Times New Roman"/>
          <w:sz w:val="22"/>
          <w:szCs w:val="22"/>
        </w:rPr>
        <w:t xml:space="preserve">seeing in the </w:t>
      </w:r>
      <w:r w:rsidR="00A53034">
        <w:rPr>
          <w:rFonts w:ascii="Helvetica" w:hAnsi="Helvetica" w:cs="Times New Roman"/>
          <w:sz w:val="22"/>
          <w:szCs w:val="22"/>
        </w:rPr>
        <w:t xml:space="preserve">criminological research </w:t>
      </w:r>
      <w:r w:rsidR="00631591">
        <w:rPr>
          <w:rFonts w:ascii="Helvetica" w:hAnsi="Helvetica" w:cs="Times New Roman"/>
          <w:sz w:val="22"/>
          <w:szCs w:val="22"/>
        </w:rPr>
        <w:t xml:space="preserve">enterprise </w:t>
      </w:r>
      <w:r w:rsidR="00A53034">
        <w:rPr>
          <w:rFonts w:ascii="Helvetica" w:hAnsi="Helvetica" w:cs="Times New Roman"/>
          <w:sz w:val="22"/>
          <w:szCs w:val="22"/>
        </w:rPr>
        <w:t xml:space="preserve">the potential </w:t>
      </w:r>
      <w:r w:rsidR="00631591">
        <w:rPr>
          <w:rFonts w:ascii="Helvetica" w:hAnsi="Helvetica" w:cs="Times New Roman"/>
          <w:sz w:val="22"/>
          <w:szCs w:val="22"/>
        </w:rPr>
        <w:t>to</w:t>
      </w:r>
      <w:r w:rsidR="00A53034">
        <w:rPr>
          <w:rFonts w:ascii="Helvetica" w:hAnsi="Helvetica" w:cs="Times New Roman"/>
          <w:sz w:val="22"/>
          <w:szCs w:val="22"/>
        </w:rPr>
        <w:t xml:space="preserve"> influenc</w:t>
      </w:r>
      <w:r w:rsidR="00631591">
        <w:rPr>
          <w:rFonts w:ascii="Helvetica" w:hAnsi="Helvetica" w:cs="Times New Roman"/>
          <w:sz w:val="22"/>
          <w:szCs w:val="22"/>
        </w:rPr>
        <w:t>e</w:t>
      </w:r>
      <w:r w:rsidR="00A53034">
        <w:rPr>
          <w:rFonts w:ascii="Helvetica" w:hAnsi="Helvetica" w:cs="Times New Roman"/>
          <w:sz w:val="22"/>
          <w:szCs w:val="22"/>
        </w:rPr>
        <w:t xml:space="preserve"> public policy</w:t>
      </w:r>
      <w:r w:rsidR="00631591">
        <w:rPr>
          <w:rFonts w:ascii="Helvetica" w:hAnsi="Helvetica" w:cs="Times New Roman"/>
          <w:sz w:val="22"/>
          <w:szCs w:val="22"/>
        </w:rPr>
        <w:t>, and taking this to be one of its core objectives</w:t>
      </w:r>
      <w:r w:rsidR="00A53034">
        <w:rPr>
          <w:rFonts w:ascii="Helvetica" w:hAnsi="Helvetica" w:cs="Times New Roman"/>
          <w:sz w:val="22"/>
          <w:szCs w:val="22"/>
        </w:rPr>
        <w:t xml:space="preserve"> </w:t>
      </w:r>
      <w:r w:rsidR="00D675AC">
        <w:rPr>
          <w:rFonts w:ascii="Helvetica" w:hAnsi="Helvetica" w:cs="Times New Roman"/>
          <w:sz w:val="22"/>
          <w:szCs w:val="22"/>
        </w:rPr>
        <w:t>(see for example the discussion in Mayhew 2016</w:t>
      </w:r>
      <w:r w:rsidR="00D71B1E">
        <w:rPr>
          <w:rFonts w:ascii="Helvetica" w:hAnsi="Helvetica" w:cs="Times New Roman"/>
          <w:sz w:val="22"/>
          <w:szCs w:val="22"/>
        </w:rPr>
        <w:t>; Hough, 2014</w:t>
      </w:r>
      <w:r w:rsidR="00D675AC">
        <w:rPr>
          <w:rFonts w:ascii="Helvetica" w:hAnsi="Helvetica" w:cs="Times New Roman"/>
          <w:sz w:val="22"/>
          <w:szCs w:val="22"/>
        </w:rPr>
        <w:t>).</w:t>
      </w:r>
      <w:r w:rsidR="00454128">
        <w:rPr>
          <w:rFonts w:ascii="Helvetica" w:hAnsi="Helvetica" w:cs="Times New Roman"/>
          <w:sz w:val="22"/>
          <w:szCs w:val="22"/>
        </w:rPr>
        <w:t xml:space="preserve"> Such choices are reflected w</w:t>
      </w:r>
      <w:r w:rsidR="00A53034">
        <w:rPr>
          <w:rFonts w:ascii="Helvetica" w:hAnsi="Helvetica" w:cs="Times New Roman"/>
          <w:sz w:val="22"/>
          <w:szCs w:val="22"/>
        </w:rPr>
        <w:t xml:space="preserve">ithin the field of cross-national crime policy flows, </w:t>
      </w:r>
      <w:r w:rsidR="00454128">
        <w:rPr>
          <w:rFonts w:ascii="Helvetica" w:hAnsi="Helvetica" w:cs="Times New Roman"/>
          <w:sz w:val="22"/>
          <w:szCs w:val="22"/>
        </w:rPr>
        <w:t>some seeing it as an opportunity</w:t>
      </w:r>
      <w:r w:rsidR="00A53034">
        <w:rPr>
          <w:rFonts w:ascii="Helvetica" w:hAnsi="Helvetica" w:cs="Times New Roman"/>
          <w:sz w:val="22"/>
          <w:szCs w:val="22"/>
        </w:rPr>
        <w:t xml:space="preserve"> to </w:t>
      </w:r>
      <w:r w:rsidRPr="00BD6FFE">
        <w:rPr>
          <w:rFonts w:ascii="Helvetica" w:hAnsi="Helvetica" w:cs="Times New Roman"/>
          <w:sz w:val="22"/>
          <w:szCs w:val="22"/>
        </w:rPr>
        <w:t xml:space="preserve">explore </w:t>
      </w:r>
      <w:r w:rsidR="004C4D9A" w:rsidRPr="00BD6FFE">
        <w:rPr>
          <w:rFonts w:ascii="Helvetica" w:hAnsi="Helvetica" w:cs="Times New Roman"/>
          <w:sz w:val="22"/>
          <w:szCs w:val="22"/>
        </w:rPr>
        <w:t xml:space="preserve">the </w:t>
      </w:r>
      <w:r w:rsidRPr="00BD6FFE">
        <w:rPr>
          <w:rFonts w:ascii="Helvetica" w:hAnsi="Helvetica" w:cs="Times New Roman"/>
          <w:sz w:val="22"/>
          <w:szCs w:val="22"/>
        </w:rPr>
        <w:t>effective</w:t>
      </w:r>
      <w:r w:rsidR="004C4D9A" w:rsidRPr="00BD6FFE">
        <w:rPr>
          <w:rFonts w:ascii="Helvetica" w:hAnsi="Helvetica" w:cs="Times New Roman"/>
          <w:sz w:val="22"/>
          <w:szCs w:val="22"/>
        </w:rPr>
        <w:t>ness of</w:t>
      </w:r>
      <w:r w:rsidRPr="00BD6FFE">
        <w:rPr>
          <w:rFonts w:ascii="Helvetica" w:hAnsi="Helvetica" w:cs="Times New Roman"/>
          <w:sz w:val="22"/>
          <w:szCs w:val="22"/>
        </w:rPr>
        <w:t xml:space="preserve"> policies that are transferred into different cultural, politi</w:t>
      </w:r>
      <w:r w:rsidR="00420E25" w:rsidRPr="00BD6FFE">
        <w:rPr>
          <w:rFonts w:ascii="Helvetica" w:hAnsi="Helvetica" w:cs="Times New Roman"/>
          <w:sz w:val="22"/>
          <w:szCs w:val="22"/>
        </w:rPr>
        <w:t>cal and legal settings</w:t>
      </w:r>
      <w:r w:rsidR="00A9463F">
        <w:rPr>
          <w:rFonts w:ascii="Helvetica" w:hAnsi="Helvetica" w:cs="Times New Roman"/>
          <w:sz w:val="22"/>
          <w:szCs w:val="22"/>
        </w:rPr>
        <w:t xml:space="preserve"> </w:t>
      </w:r>
      <w:r w:rsidR="00D675AC">
        <w:rPr>
          <w:rFonts w:ascii="Helvetica" w:hAnsi="Helvetica" w:cs="Times New Roman"/>
          <w:sz w:val="22"/>
          <w:szCs w:val="22"/>
        </w:rPr>
        <w:t xml:space="preserve">with a view to finding out how far and in what ways the process of ‘learning from elsewhere’ can be improved </w:t>
      </w:r>
      <w:r w:rsidR="00A9463F">
        <w:rPr>
          <w:rFonts w:ascii="Helvetica" w:hAnsi="Helvetica" w:cs="Times New Roman"/>
          <w:sz w:val="22"/>
          <w:szCs w:val="22"/>
        </w:rPr>
        <w:t xml:space="preserve">(see earlier discussion of </w:t>
      </w:r>
      <w:proofErr w:type="spellStart"/>
      <w:r w:rsidR="00A9463F">
        <w:rPr>
          <w:rFonts w:ascii="Helvetica" w:hAnsi="Helvetica" w:cs="Times New Roman"/>
          <w:sz w:val="22"/>
          <w:szCs w:val="22"/>
        </w:rPr>
        <w:t>Tonry</w:t>
      </w:r>
      <w:proofErr w:type="spellEnd"/>
      <w:r w:rsidR="00A9463F">
        <w:rPr>
          <w:rFonts w:ascii="Helvetica" w:hAnsi="Helvetica" w:cs="Times New Roman"/>
          <w:sz w:val="22"/>
          <w:szCs w:val="22"/>
        </w:rPr>
        <w:t xml:space="preserve"> 2013)</w:t>
      </w:r>
      <w:r w:rsidR="00420E25" w:rsidRPr="00BD6FFE">
        <w:rPr>
          <w:rFonts w:ascii="Helvetica" w:hAnsi="Helvetica" w:cs="Times New Roman"/>
          <w:sz w:val="22"/>
          <w:szCs w:val="22"/>
        </w:rPr>
        <w:t xml:space="preserve">. </w:t>
      </w:r>
      <w:r w:rsidR="00454128">
        <w:rPr>
          <w:rFonts w:ascii="Helvetica" w:hAnsi="Helvetica" w:cs="Times New Roman"/>
          <w:sz w:val="22"/>
          <w:szCs w:val="22"/>
        </w:rPr>
        <w:t>Indeed, m</w:t>
      </w:r>
      <w:r w:rsidR="00D675AC">
        <w:rPr>
          <w:rFonts w:ascii="Helvetica" w:hAnsi="Helvetica" w:cs="Times New Roman"/>
          <w:sz w:val="22"/>
          <w:szCs w:val="22"/>
        </w:rPr>
        <w:t xml:space="preserve">ost studies of policy movement </w:t>
      </w:r>
      <w:r w:rsidR="00420E25" w:rsidRPr="00BD6FFE">
        <w:rPr>
          <w:rFonts w:ascii="Helvetica" w:hAnsi="Helvetica" w:cs="Times New Roman"/>
          <w:sz w:val="22"/>
          <w:szCs w:val="22"/>
        </w:rPr>
        <w:t xml:space="preserve">include </w:t>
      </w:r>
      <w:r w:rsidRPr="00BD6FFE">
        <w:rPr>
          <w:rFonts w:ascii="Helvetica" w:hAnsi="Helvetica" w:cs="Times New Roman"/>
          <w:sz w:val="22"/>
          <w:szCs w:val="22"/>
        </w:rPr>
        <w:t>normative judgements about the benefits or otherwise of particular policy flows, although th</w:t>
      </w:r>
      <w:r w:rsidR="00D675AC">
        <w:rPr>
          <w:rFonts w:ascii="Helvetica" w:hAnsi="Helvetica" w:cs="Times New Roman"/>
          <w:sz w:val="22"/>
          <w:szCs w:val="22"/>
        </w:rPr>
        <w:t>ese are</w:t>
      </w:r>
      <w:r w:rsidRPr="00BD6FFE">
        <w:rPr>
          <w:rFonts w:ascii="Helvetica" w:hAnsi="Helvetica" w:cs="Times New Roman"/>
          <w:sz w:val="22"/>
          <w:szCs w:val="22"/>
        </w:rPr>
        <w:t xml:space="preserve"> not always </w:t>
      </w:r>
      <w:r w:rsidR="00D675AC">
        <w:rPr>
          <w:rFonts w:ascii="Helvetica" w:hAnsi="Helvetica" w:cs="Times New Roman"/>
          <w:sz w:val="22"/>
          <w:szCs w:val="22"/>
        </w:rPr>
        <w:t>set out explicitly</w:t>
      </w:r>
      <w:r w:rsidRPr="00BD6FFE">
        <w:rPr>
          <w:rFonts w:ascii="Helvetica" w:hAnsi="Helvetica" w:cs="Times New Roman"/>
          <w:sz w:val="22"/>
          <w:szCs w:val="22"/>
        </w:rPr>
        <w:t>. For example, much of the critical policy studies discourse on policy mobilities e</w:t>
      </w:r>
      <w:r w:rsidR="00420E25" w:rsidRPr="00BD6FFE">
        <w:rPr>
          <w:rFonts w:ascii="Helvetica" w:hAnsi="Helvetica" w:cs="Times New Roman"/>
          <w:sz w:val="22"/>
          <w:szCs w:val="22"/>
        </w:rPr>
        <w:t>xplores the circulation of ‘neo</w:t>
      </w:r>
      <w:r w:rsidRPr="00BD6FFE">
        <w:rPr>
          <w:rFonts w:ascii="Helvetica" w:hAnsi="Helvetica" w:cs="Times New Roman"/>
          <w:sz w:val="22"/>
          <w:szCs w:val="22"/>
        </w:rPr>
        <w:t xml:space="preserve">liberal’ urban management models, </w:t>
      </w:r>
      <w:r w:rsidR="00A9463F">
        <w:rPr>
          <w:rFonts w:ascii="Helvetica" w:hAnsi="Helvetica" w:cs="Times New Roman"/>
          <w:sz w:val="22"/>
          <w:szCs w:val="22"/>
        </w:rPr>
        <w:t>often travelling from the Global North to the Global South</w:t>
      </w:r>
      <w:r w:rsidR="00111F3E">
        <w:rPr>
          <w:rFonts w:ascii="Helvetica" w:hAnsi="Helvetica" w:cs="Times New Roman"/>
          <w:sz w:val="22"/>
          <w:szCs w:val="22"/>
        </w:rPr>
        <w:t xml:space="preserve">. </w:t>
      </w:r>
      <w:r w:rsidR="00454128">
        <w:rPr>
          <w:rFonts w:ascii="Helvetica" w:hAnsi="Helvetica" w:cs="Times New Roman"/>
          <w:sz w:val="22"/>
          <w:szCs w:val="22"/>
        </w:rPr>
        <w:t>C</w:t>
      </w:r>
      <w:r w:rsidRPr="00BD6FFE">
        <w:rPr>
          <w:rFonts w:ascii="Helvetica" w:hAnsi="Helvetica" w:cs="Times New Roman"/>
          <w:sz w:val="22"/>
          <w:szCs w:val="22"/>
        </w:rPr>
        <w:t xml:space="preserve">oncerns about the appropriateness and the likely impacts of such policies are a core theme of such work. </w:t>
      </w:r>
      <w:r w:rsidR="00454128">
        <w:rPr>
          <w:rFonts w:ascii="Helvetica" w:hAnsi="Helvetica" w:cs="Times New Roman"/>
          <w:sz w:val="22"/>
          <w:szCs w:val="22"/>
        </w:rPr>
        <w:t xml:space="preserve">The same general observation may be made of </w:t>
      </w:r>
      <w:r w:rsidR="00A9463F">
        <w:rPr>
          <w:rFonts w:ascii="Helvetica" w:hAnsi="Helvetica" w:cs="Times New Roman"/>
          <w:sz w:val="22"/>
          <w:szCs w:val="22"/>
        </w:rPr>
        <w:t>studies of crime policy movement</w:t>
      </w:r>
      <w:r w:rsidR="00454128">
        <w:rPr>
          <w:rFonts w:ascii="Helvetica" w:hAnsi="Helvetica" w:cs="Times New Roman"/>
          <w:sz w:val="22"/>
          <w:szCs w:val="22"/>
        </w:rPr>
        <w:t>. N</w:t>
      </w:r>
      <w:r w:rsidRPr="00BD6FFE">
        <w:rPr>
          <w:rFonts w:ascii="Helvetica" w:hAnsi="Helvetica" w:cs="Times New Roman"/>
          <w:sz w:val="22"/>
          <w:szCs w:val="22"/>
        </w:rPr>
        <w:t xml:space="preserve">ormative </w:t>
      </w:r>
      <w:r w:rsidR="00454128">
        <w:rPr>
          <w:rFonts w:ascii="Helvetica" w:hAnsi="Helvetica" w:cs="Times New Roman"/>
          <w:sz w:val="22"/>
          <w:szCs w:val="22"/>
        </w:rPr>
        <w:t>concerns</w:t>
      </w:r>
      <w:r w:rsidRPr="00BD6FFE">
        <w:rPr>
          <w:rFonts w:ascii="Helvetica" w:hAnsi="Helvetica" w:cs="Times New Roman"/>
          <w:sz w:val="22"/>
          <w:szCs w:val="22"/>
        </w:rPr>
        <w:t>, whether they be explicitly foregrounded (</w:t>
      </w:r>
      <w:r w:rsidR="00A9463F">
        <w:rPr>
          <w:rFonts w:ascii="Helvetica" w:hAnsi="Helvetica" w:cs="Times New Roman"/>
          <w:sz w:val="22"/>
          <w:szCs w:val="22"/>
        </w:rPr>
        <w:t>for example, Wacquant 1999; Swanson 2013</w:t>
      </w:r>
      <w:r w:rsidRPr="00BD6FFE">
        <w:rPr>
          <w:rFonts w:ascii="Helvetica" w:hAnsi="Helvetica" w:cs="Times New Roman"/>
          <w:sz w:val="22"/>
          <w:szCs w:val="22"/>
        </w:rPr>
        <w:t xml:space="preserve">) or implicit (such as in </w:t>
      </w:r>
      <w:proofErr w:type="spellStart"/>
      <w:r w:rsidR="00C33D4E" w:rsidRPr="00BD6FFE">
        <w:rPr>
          <w:rFonts w:ascii="Helvetica" w:hAnsi="Helvetica" w:cs="Times New Roman"/>
          <w:sz w:val="22"/>
          <w:szCs w:val="22"/>
        </w:rPr>
        <w:t>Durnescu</w:t>
      </w:r>
      <w:proofErr w:type="spellEnd"/>
      <w:r w:rsidR="00C33D4E" w:rsidRPr="00BD6FFE">
        <w:rPr>
          <w:rFonts w:ascii="Helvetica" w:hAnsi="Helvetica" w:cs="Times New Roman"/>
          <w:sz w:val="22"/>
          <w:szCs w:val="22"/>
        </w:rPr>
        <w:t xml:space="preserve"> and </w:t>
      </w:r>
      <w:r w:rsidRPr="00BD6FFE">
        <w:rPr>
          <w:rFonts w:ascii="Helvetica" w:hAnsi="Helvetica" w:cs="Times New Roman"/>
          <w:sz w:val="22"/>
          <w:szCs w:val="22"/>
        </w:rPr>
        <w:t xml:space="preserve">Haines’ </w:t>
      </w:r>
      <w:r w:rsidR="00111F3E">
        <w:rPr>
          <w:rFonts w:ascii="Helvetica" w:hAnsi="Helvetica" w:cs="Times New Roman"/>
          <w:sz w:val="22"/>
          <w:szCs w:val="22"/>
        </w:rPr>
        <w:t xml:space="preserve">(2012) </w:t>
      </w:r>
      <w:r w:rsidRPr="00BD6FFE">
        <w:rPr>
          <w:rFonts w:ascii="Helvetica" w:hAnsi="Helvetica" w:cs="Times New Roman"/>
          <w:sz w:val="22"/>
          <w:szCs w:val="22"/>
        </w:rPr>
        <w:t>work on attempts to inform the development of non-custodial sanctions in Romania)</w:t>
      </w:r>
      <w:r w:rsidR="00454128">
        <w:rPr>
          <w:rFonts w:ascii="Helvetica" w:hAnsi="Helvetica" w:cs="Times New Roman"/>
          <w:sz w:val="22"/>
          <w:szCs w:val="22"/>
        </w:rPr>
        <w:t xml:space="preserve"> are generally present</w:t>
      </w:r>
      <w:r w:rsidRPr="00BD6FFE">
        <w:rPr>
          <w:rFonts w:ascii="Helvetica" w:hAnsi="Helvetica" w:cs="Times New Roman"/>
          <w:sz w:val="22"/>
          <w:szCs w:val="22"/>
        </w:rPr>
        <w:t xml:space="preserve">. </w:t>
      </w:r>
      <w:r w:rsidR="00DA008E">
        <w:rPr>
          <w:rFonts w:ascii="Helvetica" w:hAnsi="Helvetica" w:cs="Times New Roman"/>
          <w:sz w:val="22"/>
          <w:szCs w:val="22"/>
        </w:rPr>
        <w:t xml:space="preserve">Other accounts of policy transfer have been explicitly critical of the negative impacts of attempts to introduce crime control policy models/programmes developed in relatively stable Anglophone democracies into the contrasting circumstances of </w:t>
      </w:r>
      <w:r w:rsidR="00ED007D">
        <w:rPr>
          <w:rFonts w:ascii="Helvetica" w:hAnsi="Helvetica" w:cs="Times New Roman"/>
          <w:sz w:val="22"/>
          <w:szCs w:val="22"/>
        </w:rPr>
        <w:t>post-conflict and/or developing polities (Steinberg 2011</w:t>
      </w:r>
      <w:r w:rsidR="00111F3E">
        <w:rPr>
          <w:rFonts w:ascii="Helvetica" w:hAnsi="Helvetica" w:cs="Times New Roman"/>
          <w:sz w:val="22"/>
          <w:szCs w:val="22"/>
        </w:rPr>
        <w:t xml:space="preserve">, </w:t>
      </w:r>
      <w:proofErr w:type="spellStart"/>
      <w:r w:rsidR="00111F3E">
        <w:rPr>
          <w:rFonts w:ascii="Helvetica" w:hAnsi="Helvetica" w:cs="Times New Roman"/>
          <w:sz w:val="22"/>
          <w:szCs w:val="22"/>
        </w:rPr>
        <w:t>Blaustein</w:t>
      </w:r>
      <w:proofErr w:type="spellEnd"/>
      <w:r w:rsidR="00111F3E">
        <w:rPr>
          <w:rFonts w:ascii="Helvetica" w:hAnsi="Helvetica" w:cs="Times New Roman"/>
          <w:sz w:val="22"/>
          <w:szCs w:val="22"/>
        </w:rPr>
        <w:t xml:space="preserve"> 2016</w:t>
      </w:r>
      <w:r w:rsidR="00ED007D">
        <w:rPr>
          <w:rFonts w:ascii="Helvetica" w:hAnsi="Helvetica" w:cs="Times New Roman"/>
          <w:sz w:val="22"/>
          <w:szCs w:val="22"/>
        </w:rPr>
        <w:t xml:space="preserve">). </w:t>
      </w:r>
      <w:r w:rsidR="00E90F57">
        <w:rPr>
          <w:rFonts w:ascii="Helvetica" w:hAnsi="Helvetica" w:cs="Times New Roman"/>
          <w:sz w:val="22"/>
          <w:szCs w:val="22"/>
        </w:rPr>
        <w:t xml:space="preserve">Much extant work appears to have been driven from normative concerns about the potentially negative impact of policy movement and, consequently, one interesting future direction for research in this field might be to focus on areas where policy mobility appears to have had </w:t>
      </w:r>
      <w:r w:rsidR="00ED007D">
        <w:rPr>
          <w:rFonts w:ascii="Helvetica" w:hAnsi="Helvetica" w:cs="Times New Roman"/>
          <w:sz w:val="22"/>
          <w:szCs w:val="22"/>
        </w:rPr>
        <w:t xml:space="preserve">normatively </w:t>
      </w:r>
      <w:r w:rsidR="00ED007D">
        <w:rPr>
          <w:rFonts w:ascii="Helvetica" w:hAnsi="Helvetica" w:cs="Times New Roman"/>
          <w:sz w:val="22"/>
          <w:szCs w:val="22"/>
        </w:rPr>
        <w:lastRenderedPageBreak/>
        <w:t>desirable</w:t>
      </w:r>
      <w:r w:rsidR="00E90F57">
        <w:rPr>
          <w:rFonts w:ascii="Helvetica" w:hAnsi="Helvetica" w:cs="Times New Roman"/>
          <w:sz w:val="22"/>
          <w:szCs w:val="22"/>
        </w:rPr>
        <w:t xml:space="preserve"> consequences such as, to take two</w:t>
      </w:r>
      <w:r w:rsidR="00ED007D">
        <w:rPr>
          <w:rFonts w:ascii="Helvetica" w:hAnsi="Helvetica" w:cs="Times New Roman"/>
          <w:sz w:val="22"/>
          <w:szCs w:val="22"/>
        </w:rPr>
        <w:t xml:space="preserve"> example</w:t>
      </w:r>
      <w:r w:rsidR="00E90F57">
        <w:rPr>
          <w:rFonts w:ascii="Helvetica" w:hAnsi="Helvetica" w:cs="Times New Roman"/>
          <w:sz w:val="22"/>
          <w:szCs w:val="22"/>
        </w:rPr>
        <w:t>s</w:t>
      </w:r>
      <w:r w:rsidR="00ED007D">
        <w:rPr>
          <w:rFonts w:ascii="Helvetica" w:hAnsi="Helvetica" w:cs="Times New Roman"/>
          <w:sz w:val="22"/>
          <w:szCs w:val="22"/>
        </w:rPr>
        <w:t xml:space="preserve">, </w:t>
      </w:r>
      <w:r w:rsidR="00E90F57">
        <w:rPr>
          <w:rFonts w:ascii="Helvetica" w:hAnsi="Helvetica" w:cs="Times New Roman"/>
          <w:sz w:val="22"/>
          <w:szCs w:val="22"/>
        </w:rPr>
        <w:t>via</w:t>
      </w:r>
      <w:r w:rsidR="00ED007D">
        <w:rPr>
          <w:rFonts w:ascii="Helvetica" w:hAnsi="Helvetica" w:cs="Times New Roman"/>
          <w:sz w:val="22"/>
          <w:szCs w:val="22"/>
        </w:rPr>
        <w:t xml:space="preserve"> </w:t>
      </w:r>
      <w:r w:rsidR="00E90F57">
        <w:rPr>
          <w:rFonts w:ascii="Helvetica" w:hAnsi="Helvetica" w:cs="Times New Roman"/>
          <w:sz w:val="22"/>
          <w:szCs w:val="22"/>
        </w:rPr>
        <w:t xml:space="preserve">the diffusion of </w:t>
      </w:r>
      <w:r w:rsidR="00ED007D">
        <w:rPr>
          <w:rFonts w:ascii="Helvetica" w:hAnsi="Helvetica" w:cs="Times New Roman"/>
          <w:sz w:val="22"/>
          <w:szCs w:val="22"/>
        </w:rPr>
        <w:t xml:space="preserve">human rights </w:t>
      </w:r>
      <w:r w:rsidR="00E90F57">
        <w:rPr>
          <w:rFonts w:ascii="Helvetica" w:hAnsi="Helvetica" w:cs="Times New Roman"/>
          <w:sz w:val="22"/>
          <w:szCs w:val="22"/>
        </w:rPr>
        <w:t xml:space="preserve">norms </w:t>
      </w:r>
      <w:r w:rsidR="00B220A3">
        <w:rPr>
          <w:rFonts w:ascii="Helvetica" w:hAnsi="Helvetica" w:cs="Times New Roman"/>
          <w:sz w:val="22"/>
          <w:szCs w:val="22"/>
        </w:rPr>
        <w:t xml:space="preserve">(Linde, 2016) </w:t>
      </w:r>
      <w:r w:rsidR="00E90F57">
        <w:rPr>
          <w:rFonts w:ascii="Helvetica" w:hAnsi="Helvetica" w:cs="Times New Roman"/>
          <w:sz w:val="22"/>
          <w:szCs w:val="22"/>
        </w:rPr>
        <w:t>or the spread of legal protections against torture</w:t>
      </w:r>
      <w:r w:rsidR="00B220A3">
        <w:rPr>
          <w:rFonts w:ascii="Helvetica" w:hAnsi="Helvetica" w:cs="Times New Roman"/>
          <w:sz w:val="22"/>
          <w:szCs w:val="22"/>
        </w:rPr>
        <w:t xml:space="preserve"> (</w:t>
      </w:r>
      <w:proofErr w:type="spellStart"/>
      <w:r w:rsidR="00B220A3">
        <w:rPr>
          <w:rFonts w:ascii="Helvetica" w:hAnsi="Helvetica" w:cs="Times New Roman"/>
          <w:sz w:val="22"/>
          <w:szCs w:val="22"/>
        </w:rPr>
        <w:t>Daems</w:t>
      </w:r>
      <w:proofErr w:type="spellEnd"/>
      <w:r w:rsidR="00B220A3">
        <w:rPr>
          <w:rFonts w:ascii="Helvetica" w:hAnsi="Helvetica" w:cs="Times New Roman"/>
          <w:sz w:val="22"/>
          <w:szCs w:val="22"/>
        </w:rPr>
        <w:t>, 2017)</w:t>
      </w:r>
      <w:r w:rsidR="00ED007D">
        <w:rPr>
          <w:rFonts w:ascii="Helvetica" w:hAnsi="Helvetica" w:cs="Times New Roman"/>
          <w:sz w:val="22"/>
          <w:szCs w:val="22"/>
        </w:rPr>
        <w:t xml:space="preserve">. </w:t>
      </w:r>
    </w:p>
    <w:p w14:paraId="33218E37" w14:textId="77777777" w:rsidR="002D754A" w:rsidRPr="00BD6FFE" w:rsidRDefault="002D754A" w:rsidP="00BD6FFE">
      <w:pPr>
        <w:spacing w:line="480" w:lineRule="auto"/>
        <w:rPr>
          <w:rFonts w:ascii="Helvetica" w:hAnsi="Helvetica" w:cs="Times New Roman"/>
          <w:sz w:val="22"/>
          <w:szCs w:val="22"/>
        </w:rPr>
      </w:pPr>
    </w:p>
    <w:p w14:paraId="1A0C57F0" w14:textId="0EB92DB8" w:rsidR="00E42971" w:rsidRPr="00BD6FFE" w:rsidRDefault="002D754A" w:rsidP="00BD6FFE">
      <w:pPr>
        <w:spacing w:line="480" w:lineRule="auto"/>
        <w:rPr>
          <w:rFonts w:ascii="Helvetica" w:hAnsi="Helvetica" w:cs="Times New Roman"/>
          <w:i/>
          <w:sz w:val="22"/>
          <w:szCs w:val="22"/>
        </w:rPr>
      </w:pPr>
      <w:r w:rsidRPr="00BD6FFE">
        <w:rPr>
          <w:rFonts w:ascii="Helvetica" w:hAnsi="Helvetica" w:cs="Times New Roman"/>
          <w:i/>
          <w:sz w:val="22"/>
          <w:szCs w:val="22"/>
        </w:rPr>
        <w:t>Methodological practicalities</w:t>
      </w:r>
    </w:p>
    <w:p w14:paraId="51945F8F" w14:textId="05E010FD" w:rsidR="00433DD9" w:rsidRPr="00BD6FFE" w:rsidRDefault="002D754A" w:rsidP="00BD6FFE">
      <w:pPr>
        <w:spacing w:line="480" w:lineRule="auto"/>
        <w:rPr>
          <w:rFonts w:ascii="Helvetica" w:hAnsi="Helvetica" w:cs="Times New Roman"/>
          <w:sz w:val="22"/>
          <w:szCs w:val="22"/>
        </w:rPr>
      </w:pPr>
      <w:r w:rsidRPr="00BD6FFE">
        <w:rPr>
          <w:rFonts w:ascii="Helvetica" w:hAnsi="Helvetica" w:cs="Times New Roman"/>
          <w:sz w:val="22"/>
          <w:szCs w:val="22"/>
        </w:rPr>
        <w:t xml:space="preserve">In addition to the core features of principle that shape methodological choices, it is clear that there are a number of pragmatic </w:t>
      </w:r>
      <w:r w:rsidR="00CC3EFD" w:rsidRPr="00BD6FFE">
        <w:rPr>
          <w:rFonts w:ascii="Helvetica" w:hAnsi="Helvetica" w:cs="Times New Roman"/>
          <w:sz w:val="22"/>
          <w:szCs w:val="22"/>
        </w:rPr>
        <w:t>considerations</w:t>
      </w:r>
      <w:r w:rsidR="00433DD9">
        <w:rPr>
          <w:rFonts w:ascii="Helvetica" w:hAnsi="Helvetica" w:cs="Times New Roman"/>
          <w:sz w:val="22"/>
          <w:szCs w:val="22"/>
        </w:rPr>
        <w:t xml:space="preserve"> that are both important and not necessarily always explicitly acknowledged in the literature</w:t>
      </w:r>
      <w:r w:rsidRPr="00BD6FFE">
        <w:rPr>
          <w:rFonts w:ascii="Helvetica" w:hAnsi="Helvetica" w:cs="Times New Roman"/>
          <w:sz w:val="22"/>
          <w:szCs w:val="22"/>
        </w:rPr>
        <w:t xml:space="preserve">. </w:t>
      </w:r>
      <w:r w:rsidR="00C33D4E" w:rsidRPr="00BD6FFE">
        <w:rPr>
          <w:rFonts w:ascii="Helvetica" w:hAnsi="Helvetica" w:cs="Times New Roman"/>
          <w:sz w:val="22"/>
          <w:szCs w:val="22"/>
        </w:rPr>
        <w:t>Here we</w:t>
      </w:r>
      <w:r w:rsidRPr="00BD6FFE">
        <w:rPr>
          <w:rFonts w:ascii="Helvetica" w:hAnsi="Helvetica" w:cs="Times New Roman"/>
          <w:sz w:val="22"/>
          <w:szCs w:val="22"/>
        </w:rPr>
        <w:t xml:space="preserve"> focus on </w:t>
      </w:r>
      <w:r w:rsidR="00C33D4E" w:rsidRPr="00BD6FFE">
        <w:rPr>
          <w:rFonts w:ascii="Helvetica" w:hAnsi="Helvetica" w:cs="Times New Roman"/>
          <w:sz w:val="22"/>
          <w:szCs w:val="22"/>
        </w:rPr>
        <w:t>three</w:t>
      </w:r>
      <w:r w:rsidR="00433DD9">
        <w:rPr>
          <w:rFonts w:ascii="Helvetica" w:hAnsi="Helvetica" w:cs="Times New Roman"/>
          <w:sz w:val="22"/>
          <w:szCs w:val="22"/>
        </w:rPr>
        <w:t xml:space="preserve"> </w:t>
      </w:r>
      <w:r w:rsidRPr="00BD6FFE">
        <w:rPr>
          <w:rFonts w:ascii="Helvetica" w:hAnsi="Helvetica" w:cs="Times New Roman"/>
          <w:sz w:val="22"/>
          <w:szCs w:val="22"/>
        </w:rPr>
        <w:t xml:space="preserve">– </w:t>
      </w:r>
      <w:r w:rsidR="00C33D4E" w:rsidRPr="00BD6FFE">
        <w:rPr>
          <w:rFonts w:ascii="Helvetica" w:hAnsi="Helvetica" w:cs="Times New Roman"/>
          <w:i/>
          <w:sz w:val="22"/>
          <w:szCs w:val="22"/>
        </w:rPr>
        <w:t>accessibility of</w:t>
      </w:r>
      <w:r w:rsidRPr="00BD6FFE">
        <w:rPr>
          <w:rFonts w:ascii="Helvetica" w:hAnsi="Helvetica" w:cs="Times New Roman"/>
          <w:i/>
          <w:sz w:val="22"/>
          <w:szCs w:val="22"/>
        </w:rPr>
        <w:t xml:space="preserve"> data</w:t>
      </w:r>
      <w:r w:rsidRPr="00BD6FFE">
        <w:rPr>
          <w:rFonts w:ascii="Helvetica" w:hAnsi="Helvetica" w:cs="Times New Roman"/>
          <w:sz w:val="22"/>
          <w:szCs w:val="22"/>
        </w:rPr>
        <w:t xml:space="preserve">, </w:t>
      </w:r>
      <w:r w:rsidRPr="00BD6FFE">
        <w:rPr>
          <w:rFonts w:ascii="Helvetica" w:hAnsi="Helvetica" w:cs="Times New Roman"/>
          <w:i/>
          <w:sz w:val="22"/>
          <w:szCs w:val="22"/>
        </w:rPr>
        <w:t>resources available to the researcher(s</w:t>
      </w:r>
      <w:r w:rsidR="00C33D4E" w:rsidRPr="00BD6FFE">
        <w:rPr>
          <w:rFonts w:ascii="Helvetica" w:hAnsi="Helvetica" w:cs="Times New Roman"/>
          <w:sz w:val="22"/>
          <w:szCs w:val="22"/>
        </w:rPr>
        <w:t>), and t</w:t>
      </w:r>
      <w:r w:rsidRPr="00BD6FFE">
        <w:rPr>
          <w:rFonts w:ascii="Helvetica" w:hAnsi="Helvetica" w:cs="Times New Roman"/>
          <w:sz w:val="22"/>
          <w:szCs w:val="22"/>
        </w:rPr>
        <w:t xml:space="preserve">he </w:t>
      </w:r>
      <w:r w:rsidRPr="00BD6FFE">
        <w:rPr>
          <w:rFonts w:ascii="Helvetica" w:hAnsi="Helvetica" w:cs="Times New Roman"/>
          <w:i/>
          <w:sz w:val="22"/>
          <w:szCs w:val="22"/>
        </w:rPr>
        <w:t>temporality of the proposed research</w:t>
      </w:r>
      <w:r w:rsidR="00C33D4E" w:rsidRPr="00BD6FFE">
        <w:rPr>
          <w:rFonts w:ascii="Helvetica" w:hAnsi="Helvetica" w:cs="Times New Roman"/>
          <w:sz w:val="22"/>
          <w:szCs w:val="22"/>
        </w:rPr>
        <w:t>.</w:t>
      </w:r>
    </w:p>
    <w:p w14:paraId="5C701A1F" w14:textId="77777777" w:rsidR="002D754A" w:rsidRPr="00BD6FFE" w:rsidRDefault="002D754A" w:rsidP="00BD6FFE">
      <w:pPr>
        <w:spacing w:line="480" w:lineRule="auto"/>
        <w:rPr>
          <w:rFonts w:ascii="Helvetica" w:hAnsi="Helvetica" w:cs="Times New Roman"/>
          <w:sz w:val="22"/>
          <w:szCs w:val="22"/>
        </w:rPr>
      </w:pPr>
    </w:p>
    <w:p w14:paraId="3405C1CE" w14:textId="2DD5935A" w:rsidR="00C33D4E" w:rsidRPr="00BD6FFE" w:rsidRDefault="002D754A" w:rsidP="00BD6FFE">
      <w:pPr>
        <w:spacing w:line="480" w:lineRule="auto"/>
        <w:rPr>
          <w:rFonts w:ascii="Helvetica" w:hAnsi="Helvetica" w:cs="Times New Roman"/>
          <w:sz w:val="22"/>
          <w:szCs w:val="22"/>
        </w:rPr>
      </w:pPr>
      <w:r w:rsidRPr="00BD6FFE">
        <w:rPr>
          <w:rFonts w:ascii="Helvetica" w:hAnsi="Helvetica" w:cs="Times New Roman"/>
          <w:sz w:val="22"/>
          <w:szCs w:val="22"/>
        </w:rPr>
        <w:t xml:space="preserve">A key practical constraint that informs the choice of research design and method in the study of policy movement concerns the </w:t>
      </w:r>
      <w:r w:rsidR="00C33D4E" w:rsidRPr="00BD6FFE">
        <w:rPr>
          <w:rFonts w:ascii="Helvetica" w:hAnsi="Helvetica" w:cs="Times New Roman"/>
          <w:i/>
          <w:sz w:val="22"/>
          <w:szCs w:val="22"/>
        </w:rPr>
        <w:t>accessibility</w:t>
      </w:r>
      <w:r w:rsidRPr="00BD6FFE">
        <w:rPr>
          <w:rFonts w:ascii="Helvetica" w:hAnsi="Helvetica" w:cs="Times New Roman"/>
          <w:i/>
          <w:sz w:val="22"/>
          <w:szCs w:val="22"/>
        </w:rPr>
        <w:t xml:space="preserve"> of relevant empirical data</w:t>
      </w:r>
      <w:r w:rsidRPr="00BD6FFE">
        <w:rPr>
          <w:rFonts w:ascii="Helvetica" w:hAnsi="Helvetica" w:cs="Times New Roman"/>
          <w:sz w:val="22"/>
          <w:szCs w:val="22"/>
        </w:rPr>
        <w:t xml:space="preserve">. This has a number of distinct but related elements. First, the degree of access that </w:t>
      </w:r>
      <w:r w:rsidR="004C78AA">
        <w:rPr>
          <w:rFonts w:ascii="Helvetica" w:hAnsi="Helvetica" w:cs="Times New Roman"/>
          <w:sz w:val="22"/>
          <w:szCs w:val="22"/>
        </w:rPr>
        <w:t>researchers have</w:t>
      </w:r>
      <w:r w:rsidRPr="00BD6FFE">
        <w:rPr>
          <w:rFonts w:ascii="Helvetica" w:hAnsi="Helvetica" w:cs="Times New Roman"/>
          <w:sz w:val="22"/>
          <w:szCs w:val="22"/>
        </w:rPr>
        <w:t xml:space="preserve"> to key people</w:t>
      </w:r>
      <w:r w:rsidR="008E4711">
        <w:rPr>
          <w:rFonts w:ascii="Helvetica" w:hAnsi="Helvetica" w:cs="Times New Roman"/>
          <w:sz w:val="22"/>
          <w:szCs w:val="22"/>
        </w:rPr>
        <w:t xml:space="preserve"> and</w:t>
      </w:r>
      <w:r w:rsidRPr="00BD6FFE">
        <w:rPr>
          <w:rFonts w:ascii="Helvetica" w:hAnsi="Helvetica" w:cs="Times New Roman"/>
          <w:sz w:val="22"/>
          <w:szCs w:val="22"/>
        </w:rPr>
        <w:t xml:space="preserve"> places circumscribe</w:t>
      </w:r>
      <w:r w:rsidR="004C78AA">
        <w:rPr>
          <w:rFonts w:ascii="Helvetica" w:hAnsi="Helvetica" w:cs="Times New Roman"/>
          <w:sz w:val="22"/>
          <w:szCs w:val="22"/>
        </w:rPr>
        <w:t>s</w:t>
      </w:r>
      <w:r w:rsidRPr="00BD6FFE">
        <w:rPr>
          <w:rFonts w:ascii="Helvetica" w:hAnsi="Helvetica" w:cs="Times New Roman"/>
          <w:sz w:val="22"/>
          <w:szCs w:val="22"/>
        </w:rPr>
        <w:t>/facilitate</w:t>
      </w:r>
      <w:r w:rsidR="004C78AA">
        <w:rPr>
          <w:rFonts w:ascii="Helvetica" w:hAnsi="Helvetica" w:cs="Times New Roman"/>
          <w:sz w:val="22"/>
          <w:szCs w:val="22"/>
        </w:rPr>
        <w:t>s</w:t>
      </w:r>
      <w:r w:rsidRPr="00BD6FFE">
        <w:rPr>
          <w:rFonts w:ascii="Helvetica" w:hAnsi="Helvetica" w:cs="Times New Roman"/>
          <w:sz w:val="22"/>
          <w:szCs w:val="22"/>
        </w:rPr>
        <w:t xml:space="preserve"> the choice of particular approaches. A key feature of past studies of movement of crime policy has been elite interviews with key policy actors in fields that may well be sensitive or securitized to a degree</w:t>
      </w:r>
      <w:r w:rsidR="00DB0769">
        <w:rPr>
          <w:rFonts w:ascii="Helvetica" w:hAnsi="Helvetica" w:cs="Times New Roman"/>
          <w:sz w:val="22"/>
          <w:szCs w:val="22"/>
        </w:rPr>
        <w:t>, often more so than in relation to other policy fields such as housing or transport</w:t>
      </w:r>
      <w:r w:rsidRPr="00BD6FFE">
        <w:rPr>
          <w:rFonts w:ascii="Helvetica" w:hAnsi="Helvetica" w:cs="Times New Roman"/>
          <w:sz w:val="22"/>
          <w:szCs w:val="22"/>
        </w:rPr>
        <w:t xml:space="preserve">. Assuming that the politicians, political advisors, civil servants and senior professionals/practitioners who have in some way exerted influence over the shaping of policy, the challenge is to elicit first-hand accounts from them of what happened. The ‘distended case study’ designs proposed by some critical policy studies scholars appear to pose even more daunting challenges of access, given their emphasis on the study a wide range of formal and informal policy domains. Research designs that incorporate a degree of ethnographic immersion within transnational and </w:t>
      </w:r>
      <w:proofErr w:type="spellStart"/>
      <w:r w:rsidRPr="00BD6FFE">
        <w:rPr>
          <w:rFonts w:ascii="Helvetica" w:hAnsi="Helvetica" w:cs="Times New Roman"/>
          <w:sz w:val="22"/>
          <w:szCs w:val="22"/>
        </w:rPr>
        <w:t>translocal</w:t>
      </w:r>
      <w:proofErr w:type="spellEnd"/>
      <w:r w:rsidRPr="00BD6FFE">
        <w:rPr>
          <w:rFonts w:ascii="Helvetica" w:hAnsi="Helvetica" w:cs="Times New Roman"/>
          <w:sz w:val="22"/>
          <w:szCs w:val="22"/>
        </w:rPr>
        <w:t xml:space="preserve"> policy networks have significant </w:t>
      </w:r>
      <w:r w:rsidR="00C01C36">
        <w:rPr>
          <w:rFonts w:ascii="Helvetica" w:hAnsi="Helvetica" w:cs="Times New Roman"/>
          <w:sz w:val="22"/>
          <w:szCs w:val="22"/>
        </w:rPr>
        <w:t xml:space="preserve">access and </w:t>
      </w:r>
      <w:r w:rsidRPr="00BD6FFE">
        <w:rPr>
          <w:rFonts w:ascii="Helvetica" w:hAnsi="Helvetica" w:cs="Times New Roman"/>
          <w:sz w:val="22"/>
          <w:szCs w:val="22"/>
        </w:rPr>
        <w:t xml:space="preserve">resource </w:t>
      </w:r>
      <w:r w:rsidRPr="00BD6FFE">
        <w:rPr>
          <w:rFonts w:ascii="Helvetica" w:hAnsi="Helvetica" w:cs="Times New Roman"/>
          <w:sz w:val="22"/>
          <w:szCs w:val="22"/>
        </w:rPr>
        <w:lastRenderedPageBreak/>
        <w:t>implications (</w:t>
      </w:r>
      <w:r w:rsidR="00C33D4E" w:rsidRPr="00BD6FFE">
        <w:rPr>
          <w:rFonts w:ascii="Helvetica" w:hAnsi="Helvetica" w:cs="Times New Roman"/>
          <w:sz w:val="22"/>
          <w:szCs w:val="22"/>
        </w:rPr>
        <w:t>discussed below)</w:t>
      </w:r>
      <w:r w:rsidRPr="00BD6FFE">
        <w:rPr>
          <w:rFonts w:ascii="Helvetica" w:hAnsi="Helvetica" w:cs="Times New Roman"/>
          <w:sz w:val="22"/>
          <w:szCs w:val="22"/>
        </w:rPr>
        <w:t xml:space="preserve"> but presuppose ongoing contacts to both frontstage and backstage policy arenas that might facilitate a deep understanding of the processes of knowledge mobilisation and ongoing policy formation at a range of levels. Indeed, the ‘open-ended’ and ‘flexible’ designs that are, according to some scholars, necessary </w:t>
      </w:r>
      <w:r w:rsidR="00C33D4E" w:rsidRPr="00BD6FFE">
        <w:rPr>
          <w:rFonts w:ascii="Helvetica" w:hAnsi="Helvetica" w:cs="Times New Roman"/>
          <w:sz w:val="22"/>
          <w:szCs w:val="22"/>
        </w:rPr>
        <w:t>for undertaking</w:t>
      </w:r>
      <w:r w:rsidRPr="00BD6FFE">
        <w:rPr>
          <w:rFonts w:ascii="Helvetica" w:hAnsi="Helvetica" w:cs="Times New Roman"/>
          <w:sz w:val="22"/>
          <w:szCs w:val="22"/>
        </w:rPr>
        <w:t xml:space="preserve"> meaningful stud</w:t>
      </w:r>
      <w:r w:rsidR="0097620A">
        <w:rPr>
          <w:rFonts w:ascii="Helvetica" w:hAnsi="Helvetica" w:cs="Times New Roman"/>
          <w:sz w:val="22"/>
          <w:szCs w:val="22"/>
        </w:rPr>
        <w:t>ies</w:t>
      </w:r>
      <w:r w:rsidRPr="00BD6FFE">
        <w:rPr>
          <w:rFonts w:ascii="Helvetica" w:hAnsi="Helvetica" w:cs="Times New Roman"/>
          <w:sz w:val="22"/>
          <w:szCs w:val="22"/>
        </w:rPr>
        <w:t xml:space="preserve"> of policy mobilities multiply the traditional access challenges to a degree that would be </w:t>
      </w:r>
      <w:r w:rsidR="00895A8B">
        <w:rPr>
          <w:rFonts w:ascii="Helvetica" w:hAnsi="Helvetica" w:cs="Times New Roman"/>
          <w:sz w:val="22"/>
          <w:szCs w:val="22"/>
        </w:rPr>
        <w:t>highly challenging for many</w:t>
      </w:r>
      <w:r w:rsidRPr="00BD6FFE">
        <w:rPr>
          <w:rFonts w:ascii="Helvetica" w:hAnsi="Helvetica" w:cs="Times New Roman"/>
          <w:sz w:val="22"/>
          <w:szCs w:val="22"/>
        </w:rPr>
        <w:t xml:space="preserve"> researchers</w:t>
      </w:r>
      <w:r w:rsidR="00DB0769">
        <w:rPr>
          <w:rFonts w:ascii="Helvetica" w:hAnsi="Helvetica" w:cs="Times New Roman"/>
          <w:sz w:val="22"/>
          <w:szCs w:val="22"/>
        </w:rPr>
        <w:t>,</w:t>
      </w:r>
      <w:r w:rsidRPr="00BD6FFE">
        <w:rPr>
          <w:rFonts w:ascii="Helvetica" w:hAnsi="Helvetica" w:cs="Times New Roman"/>
          <w:sz w:val="22"/>
          <w:szCs w:val="22"/>
        </w:rPr>
        <w:t xml:space="preserve">. </w:t>
      </w:r>
      <w:r w:rsidR="009E4E35">
        <w:rPr>
          <w:rFonts w:ascii="Helvetica" w:hAnsi="Helvetica" w:cs="Times New Roman"/>
          <w:sz w:val="22"/>
          <w:szCs w:val="22"/>
        </w:rPr>
        <w:t xml:space="preserve">However, the burgeoning body of work on policy mobilities in other spheres of public policy-making demonstrates that such challenges can be overcome by a combination of persistence and methodological flexibility. Baker and </w:t>
      </w:r>
      <w:proofErr w:type="spellStart"/>
      <w:r w:rsidR="009E4E35">
        <w:rPr>
          <w:rFonts w:ascii="Helvetica" w:hAnsi="Helvetica" w:cs="Times New Roman"/>
          <w:sz w:val="22"/>
          <w:szCs w:val="22"/>
        </w:rPr>
        <w:t>McGuirk</w:t>
      </w:r>
      <w:proofErr w:type="spellEnd"/>
      <w:r w:rsidR="009E4E35">
        <w:rPr>
          <w:rFonts w:ascii="Helvetica" w:hAnsi="Helvetica" w:cs="Times New Roman"/>
          <w:sz w:val="22"/>
          <w:szCs w:val="22"/>
        </w:rPr>
        <w:t xml:space="preserve"> (2007)’s research on US-influenced policies to counter homelessness in a number of </w:t>
      </w:r>
      <w:r w:rsidR="00E97F48">
        <w:rPr>
          <w:rFonts w:ascii="Helvetica" w:hAnsi="Helvetica" w:cs="Times New Roman"/>
          <w:sz w:val="22"/>
          <w:szCs w:val="22"/>
        </w:rPr>
        <w:t>Australian</w:t>
      </w:r>
      <w:r w:rsidR="009E4E35">
        <w:rPr>
          <w:rFonts w:ascii="Helvetica" w:hAnsi="Helvetica" w:cs="Times New Roman"/>
          <w:sz w:val="22"/>
          <w:szCs w:val="22"/>
        </w:rPr>
        <w:t xml:space="preserve"> cities highlighted </w:t>
      </w:r>
      <w:r w:rsidR="00DB0769">
        <w:rPr>
          <w:rFonts w:ascii="Helvetica" w:hAnsi="Helvetica" w:cs="Times New Roman"/>
          <w:sz w:val="22"/>
          <w:szCs w:val="22"/>
        </w:rPr>
        <w:t>a number of</w:t>
      </w:r>
      <w:r w:rsidR="009E4E35">
        <w:rPr>
          <w:rFonts w:ascii="Helvetica" w:hAnsi="Helvetica" w:cs="Times New Roman"/>
          <w:sz w:val="22"/>
          <w:szCs w:val="22"/>
        </w:rPr>
        <w:t xml:space="preserve"> barriers to ethnographic immersion in sites of policy-making</w:t>
      </w:r>
      <w:r w:rsidR="00DB0769">
        <w:rPr>
          <w:rFonts w:ascii="Helvetica" w:hAnsi="Helvetica" w:cs="Times New Roman"/>
          <w:sz w:val="22"/>
          <w:szCs w:val="22"/>
        </w:rPr>
        <w:t xml:space="preserve"> including </w:t>
      </w:r>
      <w:r w:rsidR="009E4E35">
        <w:rPr>
          <w:rFonts w:ascii="Helvetica" w:hAnsi="Helvetica" w:cs="Times New Roman"/>
          <w:sz w:val="22"/>
          <w:szCs w:val="22"/>
        </w:rPr>
        <w:t xml:space="preserve">complex institutional structures, difficulties in identifying key individual policy actors, and issues of consent. They responded </w:t>
      </w:r>
      <w:r w:rsidR="000258D3">
        <w:rPr>
          <w:rFonts w:ascii="Helvetica" w:hAnsi="Helvetica" w:cs="Times New Roman"/>
          <w:sz w:val="22"/>
          <w:szCs w:val="22"/>
        </w:rPr>
        <w:t xml:space="preserve">to this challenge </w:t>
      </w:r>
      <w:r w:rsidR="009E4E35">
        <w:rPr>
          <w:rFonts w:ascii="Helvetica" w:hAnsi="Helvetica" w:cs="Times New Roman"/>
          <w:sz w:val="22"/>
          <w:szCs w:val="22"/>
        </w:rPr>
        <w:t>by undertaking a programme of semi-structured interviews, undertaken within an ‘ethnographic sensibility’ and incorporating a wider range of territories and sites than have been the traditional focus of policy transfer research.</w:t>
      </w:r>
      <w:r w:rsidR="000258D3">
        <w:rPr>
          <w:rFonts w:ascii="Helvetica" w:hAnsi="Helvetica" w:cs="Times New Roman"/>
          <w:sz w:val="22"/>
          <w:szCs w:val="22"/>
        </w:rPr>
        <w:t xml:space="preserve"> </w:t>
      </w:r>
    </w:p>
    <w:p w14:paraId="0A077150" w14:textId="77777777" w:rsidR="00C33D4E" w:rsidRPr="00BD6FFE" w:rsidRDefault="00C33D4E" w:rsidP="00BD6FFE">
      <w:pPr>
        <w:spacing w:line="480" w:lineRule="auto"/>
        <w:rPr>
          <w:rFonts w:ascii="Helvetica" w:hAnsi="Helvetica" w:cs="Times New Roman"/>
          <w:sz w:val="22"/>
          <w:szCs w:val="22"/>
        </w:rPr>
      </w:pPr>
    </w:p>
    <w:p w14:paraId="48FA6768" w14:textId="03347014" w:rsidR="002D754A" w:rsidRPr="00BD6FFE" w:rsidRDefault="002D754A" w:rsidP="00BD6FFE">
      <w:pPr>
        <w:spacing w:line="480" w:lineRule="auto"/>
        <w:rPr>
          <w:rFonts w:ascii="Helvetica" w:hAnsi="Helvetica" w:cs="Times New Roman"/>
          <w:sz w:val="22"/>
          <w:szCs w:val="22"/>
        </w:rPr>
      </w:pPr>
      <w:r w:rsidRPr="00BD6FFE">
        <w:rPr>
          <w:rFonts w:ascii="Helvetica" w:hAnsi="Helvetica" w:cs="Times New Roman"/>
          <w:sz w:val="22"/>
          <w:szCs w:val="22"/>
        </w:rPr>
        <w:t xml:space="preserve">Whilst direct access to policy elites and policy-making spaces </w:t>
      </w:r>
      <w:r w:rsidR="009C4C49">
        <w:rPr>
          <w:rFonts w:ascii="Helvetica" w:hAnsi="Helvetica" w:cs="Times New Roman"/>
          <w:sz w:val="22"/>
          <w:szCs w:val="22"/>
        </w:rPr>
        <w:t>is</w:t>
      </w:r>
      <w:r w:rsidRPr="00BD6FFE">
        <w:rPr>
          <w:rFonts w:ascii="Helvetica" w:hAnsi="Helvetica" w:cs="Times New Roman"/>
          <w:sz w:val="22"/>
          <w:szCs w:val="22"/>
        </w:rPr>
        <w:t xml:space="preserve"> a</w:t>
      </w:r>
      <w:r w:rsidR="00111F3E">
        <w:rPr>
          <w:rFonts w:ascii="Helvetica" w:hAnsi="Helvetica" w:cs="Times New Roman"/>
          <w:sz w:val="22"/>
          <w:szCs w:val="22"/>
        </w:rPr>
        <w:t xml:space="preserve"> major constraint</w:t>
      </w:r>
      <w:r w:rsidRPr="00BD6FFE">
        <w:rPr>
          <w:rFonts w:ascii="Helvetica" w:hAnsi="Helvetica" w:cs="Times New Roman"/>
          <w:sz w:val="22"/>
          <w:szCs w:val="22"/>
        </w:rPr>
        <w:t xml:space="preserve"> for many researchers, access to secondary documentary sources – at least in relation to the formal manifestations of ‘policy’ discussed earlier – is less problematic. Indeed, a range of data sources are available (and are increasingly accessible in digital form) including legislation, official reports, consultation papers, parliamentary debates, political manifestos, and have provided a staple resource for researchers interested in tracking policy de</w:t>
      </w:r>
      <w:r w:rsidR="00161FE7" w:rsidRPr="00BD6FFE">
        <w:rPr>
          <w:rFonts w:ascii="Helvetica" w:hAnsi="Helvetica" w:cs="Times New Roman"/>
          <w:sz w:val="22"/>
          <w:szCs w:val="22"/>
        </w:rPr>
        <w:t xml:space="preserve">velopments across jurisdictions (see for example, </w:t>
      </w:r>
      <w:proofErr w:type="spellStart"/>
      <w:r w:rsidR="00161FE7" w:rsidRPr="00BD6FFE">
        <w:rPr>
          <w:rFonts w:ascii="Helvetica" w:hAnsi="Helvetica" w:cs="Times New Roman"/>
          <w:sz w:val="22"/>
          <w:szCs w:val="22"/>
        </w:rPr>
        <w:t>Blaustein</w:t>
      </w:r>
      <w:proofErr w:type="spellEnd"/>
      <w:r w:rsidR="00161FE7" w:rsidRPr="00BD6FFE">
        <w:rPr>
          <w:rFonts w:ascii="Helvetica" w:hAnsi="Helvetica" w:cs="Times New Roman"/>
          <w:sz w:val="22"/>
          <w:szCs w:val="22"/>
        </w:rPr>
        <w:t xml:space="preserve"> 2016).</w:t>
      </w:r>
      <w:r w:rsidR="00111F3E">
        <w:rPr>
          <w:rFonts w:ascii="Helvetica" w:hAnsi="Helvetica" w:cs="Times New Roman"/>
          <w:sz w:val="22"/>
          <w:szCs w:val="22"/>
        </w:rPr>
        <w:t xml:space="preserve"> In addition, </w:t>
      </w:r>
      <w:r w:rsidR="002A20E7">
        <w:rPr>
          <w:rFonts w:ascii="Helvetica" w:hAnsi="Helvetica" w:cs="Times New Roman"/>
          <w:sz w:val="22"/>
          <w:szCs w:val="22"/>
        </w:rPr>
        <w:t xml:space="preserve">rich first-hand accounts of elite perceptions of major </w:t>
      </w:r>
      <w:r w:rsidR="002A20E7">
        <w:rPr>
          <w:rFonts w:ascii="Helvetica" w:hAnsi="Helvetica" w:cs="Times New Roman"/>
          <w:sz w:val="22"/>
          <w:szCs w:val="22"/>
        </w:rPr>
        <w:lastRenderedPageBreak/>
        <w:t xml:space="preserve">policy decisions and the circumstances that shaped them are available in </w:t>
      </w:r>
      <w:r w:rsidR="00111F3E">
        <w:rPr>
          <w:rFonts w:ascii="Helvetica" w:hAnsi="Helvetica" w:cs="Times New Roman"/>
          <w:sz w:val="22"/>
          <w:szCs w:val="22"/>
        </w:rPr>
        <w:t xml:space="preserve">published memoires </w:t>
      </w:r>
      <w:r w:rsidR="002A20E7">
        <w:rPr>
          <w:rFonts w:ascii="Helvetica" w:hAnsi="Helvetica" w:cs="Times New Roman"/>
          <w:sz w:val="22"/>
          <w:szCs w:val="22"/>
        </w:rPr>
        <w:t xml:space="preserve">of senior politicians </w:t>
      </w:r>
      <w:r w:rsidR="00111F3E">
        <w:rPr>
          <w:rFonts w:ascii="Helvetica" w:hAnsi="Helvetica" w:cs="Times New Roman"/>
          <w:sz w:val="22"/>
          <w:szCs w:val="22"/>
        </w:rPr>
        <w:t xml:space="preserve">and other publicly-available accounts of </w:t>
      </w:r>
      <w:r w:rsidR="002A20E7">
        <w:rPr>
          <w:rFonts w:ascii="Helvetica" w:hAnsi="Helvetica" w:cs="Times New Roman"/>
          <w:sz w:val="22"/>
          <w:szCs w:val="22"/>
        </w:rPr>
        <w:t>key political actors</w:t>
      </w:r>
      <w:r w:rsidR="00111F3E">
        <w:rPr>
          <w:rFonts w:ascii="Helvetica" w:hAnsi="Helvetica" w:cs="Times New Roman"/>
          <w:sz w:val="22"/>
          <w:szCs w:val="22"/>
        </w:rPr>
        <w:t xml:space="preserve"> (such as the fascinating recent series </w:t>
      </w:r>
      <w:r w:rsidR="002A20E7" w:rsidRPr="002A20E7">
        <w:rPr>
          <w:rFonts w:ascii="Helvetica" w:hAnsi="Helvetica" w:cs="Times New Roman"/>
          <w:i/>
          <w:sz w:val="22"/>
          <w:szCs w:val="22"/>
        </w:rPr>
        <w:t>Reflections</w:t>
      </w:r>
      <w:r w:rsidR="002A20E7">
        <w:rPr>
          <w:rFonts w:ascii="Helvetica" w:hAnsi="Helvetica" w:cs="Times New Roman"/>
          <w:sz w:val="22"/>
          <w:szCs w:val="22"/>
        </w:rPr>
        <w:t xml:space="preserve"> </w:t>
      </w:r>
      <w:r w:rsidR="00111F3E">
        <w:rPr>
          <w:rFonts w:ascii="Helvetica" w:hAnsi="Helvetica" w:cs="Times New Roman"/>
          <w:sz w:val="22"/>
          <w:szCs w:val="22"/>
        </w:rPr>
        <w:t xml:space="preserve">on </w:t>
      </w:r>
      <w:r w:rsidR="002A20E7">
        <w:rPr>
          <w:rFonts w:ascii="Helvetica" w:hAnsi="Helvetica" w:cs="Times New Roman"/>
          <w:sz w:val="22"/>
          <w:szCs w:val="22"/>
        </w:rPr>
        <w:t xml:space="preserve">BBC </w:t>
      </w:r>
      <w:r w:rsidR="00111F3E">
        <w:rPr>
          <w:rFonts w:ascii="Helvetica" w:hAnsi="Helvetica" w:cs="Times New Roman"/>
          <w:sz w:val="22"/>
          <w:szCs w:val="22"/>
        </w:rPr>
        <w:t>Radio 4</w:t>
      </w:r>
      <w:r w:rsidR="002A20E7">
        <w:rPr>
          <w:rFonts w:ascii="Helvetica" w:hAnsi="Helvetica" w:cs="Times New Roman"/>
          <w:sz w:val="22"/>
          <w:szCs w:val="22"/>
        </w:rPr>
        <w:t>)</w:t>
      </w:r>
      <w:r w:rsidR="00111F3E">
        <w:rPr>
          <w:rFonts w:ascii="Helvetica" w:hAnsi="Helvetica" w:cs="Times New Roman"/>
          <w:sz w:val="22"/>
          <w:szCs w:val="22"/>
        </w:rPr>
        <w:t xml:space="preserve">. </w:t>
      </w:r>
      <w:r w:rsidRPr="00BD6FFE">
        <w:rPr>
          <w:rFonts w:ascii="Helvetica" w:hAnsi="Helvetica" w:cs="Times New Roman"/>
          <w:sz w:val="22"/>
          <w:szCs w:val="22"/>
        </w:rPr>
        <w:t xml:space="preserve"> Of course, </w:t>
      </w:r>
      <w:r w:rsidR="002A20E7">
        <w:rPr>
          <w:rFonts w:ascii="Helvetica" w:hAnsi="Helvetica" w:cs="Times New Roman"/>
          <w:sz w:val="22"/>
          <w:szCs w:val="22"/>
        </w:rPr>
        <w:t>sources</w:t>
      </w:r>
      <w:r w:rsidRPr="00BD6FFE">
        <w:rPr>
          <w:rFonts w:ascii="Helvetica" w:hAnsi="Helvetica" w:cs="Times New Roman"/>
          <w:sz w:val="22"/>
          <w:szCs w:val="22"/>
        </w:rPr>
        <w:t xml:space="preserve"> such as these provide only partial insight into the process of </w:t>
      </w:r>
      <w:r w:rsidR="002A20E7">
        <w:rPr>
          <w:rFonts w:ascii="Helvetica" w:hAnsi="Helvetica" w:cs="Times New Roman"/>
          <w:sz w:val="22"/>
          <w:szCs w:val="22"/>
        </w:rPr>
        <w:t xml:space="preserve">crime </w:t>
      </w:r>
      <w:r w:rsidRPr="00BD6FFE">
        <w:rPr>
          <w:rFonts w:ascii="Helvetica" w:hAnsi="Helvetica" w:cs="Times New Roman"/>
          <w:sz w:val="22"/>
          <w:szCs w:val="22"/>
        </w:rPr>
        <w:t>policy formation</w:t>
      </w:r>
      <w:r w:rsidR="00417128">
        <w:rPr>
          <w:rFonts w:ascii="Helvetica" w:hAnsi="Helvetica" w:cs="Times New Roman"/>
          <w:sz w:val="22"/>
          <w:szCs w:val="22"/>
        </w:rPr>
        <w:t>, certainly in its later stages, together with</w:t>
      </w:r>
      <w:r w:rsidRPr="00BD6FFE">
        <w:rPr>
          <w:rFonts w:ascii="Helvetica" w:hAnsi="Helvetica" w:cs="Times New Roman"/>
          <w:sz w:val="22"/>
          <w:szCs w:val="22"/>
        </w:rPr>
        <w:t xml:space="preserve"> the key influences on it</w:t>
      </w:r>
      <w:r w:rsidR="00417128">
        <w:rPr>
          <w:rFonts w:ascii="Helvetica" w:hAnsi="Helvetica" w:cs="Times New Roman"/>
          <w:sz w:val="22"/>
          <w:szCs w:val="22"/>
        </w:rPr>
        <w:t>,</w:t>
      </w:r>
      <w:r w:rsidR="00ED007D">
        <w:rPr>
          <w:rFonts w:ascii="Helvetica" w:hAnsi="Helvetica" w:cs="Times New Roman"/>
          <w:sz w:val="22"/>
          <w:szCs w:val="22"/>
        </w:rPr>
        <w:t xml:space="preserve"> but so long as their limitations are acknowledged, these still</w:t>
      </w:r>
      <w:r w:rsidR="001A5B6E">
        <w:rPr>
          <w:rFonts w:ascii="Helvetica" w:hAnsi="Helvetica" w:cs="Times New Roman"/>
          <w:sz w:val="22"/>
          <w:szCs w:val="22"/>
        </w:rPr>
        <w:t xml:space="preserve"> </w:t>
      </w:r>
      <w:r w:rsidR="00ED007D">
        <w:rPr>
          <w:rFonts w:ascii="Helvetica" w:hAnsi="Helvetica" w:cs="Times New Roman"/>
          <w:sz w:val="22"/>
          <w:szCs w:val="22"/>
        </w:rPr>
        <w:t>remain an important indicator of at least some dimensions of ‘policy’</w:t>
      </w:r>
      <w:r w:rsidRPr="00BD6FFE">
        <w:rPr>
          <w:rFonts w:ascii="Helvetica" w:hAnsi="Helvetica" w:cs="Times New Roman"/>
          <w:sz w:val="22"/>
          <w:szCs w:val="22"/>
        </w:rPr>
        <w:t xml:space="preserve">. </w:t>
      </w:r>
    </w:p>
    <w:p w14:paraId="495DE004" w14:textId="77777777" w:rsidR="002D754A" w:rsidRPr="00BD6FFE" w:rsidRDefault="002D754A" w:rsidP="00BD6FFE">
      <w:pPr>
        <w:spacing w:line="480" w:lineRule="auto"/>
        <w:rPr>
          <w:rFonts w:ascii="Helvetica" w:hAnsi="Helvetica" w:cs="Times New Roman"/>
          <w:sz w:val="22"/>
          <w:szCs w:val="22"/>
        </w:rPr>
      </w:pPr>
    </w:p>
    <w:p w14:paraId="122059FA" w14:textId="0DBC62AB" w:rsidR="001A5B6E" w:rsidRDefault="002D754A" w:rsidP="00BD6FFE">
      <w:pPr>
        <w:spacing w:line="480" w:lineRule="auto"/>
        <w:rPr>
          <w:rFonts w:ascii="Helvetica" w:hAnsi="Helvetica" w:cs="Times New Roman"/>
          <w:sz w:val="22"/>
          <w:szCs w:val="22"/>
        </w:rPr>
      </w:pPr>
      <w:r w:rsidRPr="00BD6FFE">
        <w:rPr>
          <w:rFonts w:ascii="Helvetica" w:hAnsi="Helvetica" w:cs="Times New Roman"/>
          <w:sz w:val="22"/>
          <w:szCs w:val="22"/>
        </w:rPr>
        <w:t xml:space="preserve">Issues of research access are connected to a second set of relevant practical considerations relating to the </w:t>
      </w:r>
      <w:r w:rsidRPr="00BD6FFE">
        <w:rPr>
          <w:rFonts w:ascii="Helvetica" w:hAnsi="Helvetica" w:cs="Times New Roman"/>
          <w:i/>
          <w:sz w:val="22"/>
          <w:szCs w:val="22"/>
        </w:rPr>
        <w:t>status and personal capital of the researcher</w:t>
      </w:r>
      <w:r w:rsidRPr="00BD6FFE">
        <w:rPr>
          <w:rFonts w:ascii="Helvetica" w:hAnsi="Helvetica" w:cs="Times New Roman"/>
          <w:sz w:val="22"/>
          <w:szCs w:val="22"/>
        </w:rPr>
        <w:t xml:space="preserve">(s) engaged in studies of policy movement. Access to policy elites </w:t>
      </w:r>
      <w:r w:rsidR="002A20E7">
        <w:rPr>
          <w:rFonts w:ascii="Helvetica" w:hAnsi="Helvetica" w:cs="Times New Roman"/>
          <w:sz w:val="22"/>
          <w:szCs w:val="22"/>
        </w:rPr>
        <w:t>may</w:t>
      </w:r>
      <w:r w:rsidRPr="00BD6FFE">
        <w:rPr>
          <w:rFonts w:ascii="Helvetica" w:hAnsi="Helvetica" w:cs="Times New Roman"/>
          <w:sz w:val="22"/>
          <w:szCs w:val="22"/>
        </w:rPr>
        <w:t xml:space="preserve"> require a significant degree of professional credibility/authority on the part of the researcher in order to even be granted an interview, let alone develop the conditions of trust and rapport for the collection of rich interview accounts</w:t>
      </w:r>
      <w:r w:rsidR="00C33D4E" w:rsidRPr="00BD6FFE">
        <w:rPr>
          <w:rFonts w:ascii="Helvetica" w:hAnsi="Helvetica" w:cs="Times New Roman"/>
          <w:sz w:val="22"/>
          <w:szCs w:val="22"/>
        </w:rPr>
        <w:t xml:space="preserve"> (see Harvey 2011)</w:t>
      </w:r>
      <w:r w:rsidRPr="00BD6FFE">
        <w:rPr>
          <w:rFonts w:ascii="Helvetica" w:hAnsi="Helvetica" w:cs="Times New Roman"/>
          <w:sz w:val="22"/>
          <w:szCs w:val="22"/>
        </w:rPr>
        <w:t xml:space="preserve">. </w:t>
      </w:r>
      <w:r w:rsidR="002A20E7">
        <w:rPr>
          <w:rFonts w:ascii="Helvetica" w:hAnsi="Helvetica" w:cs="Times New Roman"/>
          <w:sz w:val="22"/>
          <w:szCs w:val="22"/>
        </w:rPr>
        <w:t>It might be argued that s</w:t>
      </w:r>
      <w:r w:rsidRPr="00BD6FFE">
        <w:rPr>
          <w:rFonts w:ascii="Helvetica" w:hAnsi="Helvetica" w:cs="Times New Roman"/>
          <w:sz w:val="22"/>
          <w:szCs w:val="22"/>
        </w:rPr>
        <w:t xml:space="preserve">uch access would be more likely to be granted to high status researchers with established reputations in the field, rather than emerging or early career scholars. </w:t>
      </w:r>
      <w:r w:rsidR="00CC3EFD" w:rsidRPr="00BD6FFE">
        <w:rPr>
          <w:rFonts w:ascii="Helvetica" w:hAnsi="Helvetica" w:cs="Times New Roman"/>
          <w:sz w:val="22"/>
          <w:szCs w:val="22"/>
        </w:rPr>
        <w:t xml:space="preserve">Within criminology, for example, </w:t>
      </w:r>
      <w:r w:rsidR="007B7C74" w:rsidRPr="00BD6FFE">
        <w:rPr>
          <w:rFonts w:ascii="Helvetica" w:hAnsi="Helvetica" w:cs="Times New Roman"/>
          <w:sz w:val="22"/>
          <w:szCs w:val="22"/>
        </w:rPr>
        <w:t xml:space="preserve">Manuel Lopez-Rey was actively involved in shaping United Nations crime policy for much of his career. His experiences afforded him unique insight into the role of this institution in facilitating the global dissemination of knowledge and policies relating to crime. Although Lopez-Rey never explicitly wrote about or studied this phenomenon through the lens of policy mobility, he nonetheless documented </w:t>
      </w:r>
      <w:r w:rsidR="001A5B6E">
        <w:rPr>
          <w:rFonts w:ascii="Helvetica" w:hAnsi="Helvetica" w:cs="Times New Roman"/>
          <w:sz w:val="22"/>
          <w:szCs w:val="22"/>
        </w:rPr>
        <w:t>what were in essence global policy formation</w:t>
      </w:r>
      <w:r w:rsidR="001A5B6E" w:rsidRPr="00BD6FFE">
        <w:rPr>
          <w:rFonts w:ascii="Helvetica" w:hAnsi="Helvetica" w:cs="Times New Roman"/>
          <w:sz w:val="22"/>
          <w:szCs w:val="22"/>
        </w:rPr>
        <w:t xml:space="preserve"> </w:t>
      </w:r>
      <w:r w:rsidR="007B7C74" w:rsidRPr="00BD6FFE">
        <w:rPr>
          <w:rFonts w:ascii="Helvetica" w:hAnsi="Helvetica" w:cs="Times New Roman"/>
          <w:sz w:val="22"/>
          <w:szCs w:val="22"/>
        </w:rPr>
        <w:t xml:space="preserve">processes in various publications throughout his career (for example, Lopez-Rey 1957, Lopez-Rey 1985). More recently, other eminent criminologists </w:t>
      </w:r>
      <w:r w:rsidR="00CD1E96">
        <w:rPr>
          <w:rFonts w:ascii="Helvetica" w:hAnsi="Helvetica" w:cs="Times New Roman"/>
          <w:sz w:val="22"/>
          <w:szCs w:val="22"/>
        </w:rPr>
        <w:t xml:space="preserve">interested in globalised forms of crime (and its governance) </w:t>
      </w:r>
      <w:r w:rsidR="00626B7A">
        <w:rPr>
          <w:rFonts w:ascii="Helvetica" w:hAnsi="Helvetica" w:cs="Times New Roman"/>
          <w:sz w:val="22"/>
          <w:szCs w:val="22"/>
        </w:rPr>
        <w:t>such as</w:t>
      </w:r>
      <w:r w:rsidR="007B7C74" w:rsidRPr="00BD6FFE">
        <w:rPr>
          <w:rFonts w:ascii="Helvetica" w:hAnsi="Helvetica" w:cs="Times New Roman"/>
          <w:sz w:val="22"/>
          <w:szCs w:val="22"/>
        </w:rPr>
        <w:t xml:space="preserve"> Mike Levi</w:t>
      </w:r>
      <w:r w:rsidR="00BF575A">
        <w:rPr>
          <w:rFonts w:ascii="Helvetica" w:hAnsi="Helvetica" w:cs="Times New Roman"/>
          <w:sz w:val="22"/>
          <w:szCs w:val="22"/>
        </w:rPr>
        <w:t>, have</w:t>
      </w:r>
      <w:r w:rsidR="007B7C74" w:rsidRPr="00BD6FFE">
        <w:rPr>
          <w:rFonts w:ascii="Helvetica" w:hAnsi="Helvetica" w:cs="Times New Roman"/>
          <w:sz w:val="22"/>
          <w:szCs w:val="22"/>
        </w:rPr>
        <w:t xml:space="preserve"> </w:t>
      </w:r>
      <w:r w:rsidR="00626B7A">
        <w:rPr>
          <w:rFonts w:ascii="Helvetica" w:hAnsi="Helvetica" w:cs="Times New Roman"/>
          <w:sz w:val="22"/>
          <w:szCs w:val="22"/>
        </w:rPr>
        <w:t>undertake</w:t>
      </w:r>
      <w:r w:rsidR="00BF575A">
        <w:rPr>
          <w:rFonts w:ascii="Helvetica" w:hAnsi="Helvetica" w:cs="Times New Roman"/>
          <w:sz w:val="22"/>
          <w:szCs w:val="22"/>
        </w:rPr>
        <w:t>n</w:t>
      </w:r>
      <w:r w:rsidR="00626B7A">
        <w:rPr>
          <w:rFonts w:ascii="Helvetica" w:hAnsi="Helvetica" w:cs="Times New Roman"/>
          <w:sz w:val="22"/>
          <w:szCs w:val="22"/>
        </w:rPr>
        <w:t xml:space="preserve"> work that involves </w:t>
      </w:r>
      <w:r w:rsidR="00CD1E96">
        <w:rPr>
          <w:rFonts w:ascii="Helvetica" w:hAnsi="Helvetica" w:cs="Times New Roman"/>
          <w:sz w:val="22"/>
          <w:szCs w:val="22"/>
        </w:rPr>
        <w:t>significant ‘immersion’</w:t>
      </w:r>
      <w:r w:rsidR="007B7C74" w:rsidRPr="00BD6FFE">
        <w:rPr>
          <w:rFonts w:ascii="Helvetica" w:hAnsi="Helvetica" w:cs="Times New Roman"/>
          <w:sz w:val="22"/>
          <w:szCs w:val="22"/>
        </w:rPr>
        <w:t xml:space="preserve"> within elite transnational policy </w:t>
      </w:r>
      <w:r w:rsidR="007B7C74" w:rsidRPr="00BD6FFE">
        <w:rPr>
          <w:rFonts w:ascii="Helvetica" w:hAnsi="Helvetica" w:cs="Times New Roman"/>
          <w:sz w:val="22"/>
          <w:szCs w:val="22"/>
        </w:rPr>
        <w:lastRenderedPageBreak/>
        <w:t>networks</w:t>
      </w:r>
      <w:r w:rsidR="00B84731">
        <w:rPr>
          <w:rFonts w:ascii="Helvetica" w:hAnsi="Helvetica" w:cs="Times New Roman"/>
          <w:sz w:val="22"/>
          <w:szCs w:val="22"/>
        </w:rPr>
        <w:t xml:space="preserve">. Whilst </w:t>
      </w:r>
      <w:r w:rsidR="002A20E7">
        <w:rPr>
          <w:rFonts w:ascii="Helvetica" w:hAnsi="Helvetica" w:cs="Times New Roman"/>
          <w:sz w:val="22"/>
          <w:szCs w:val="22"/>
        </w:rPr>
        <w:t xml:space="preserve">much of </w:t>
      </w:r>
      <w:r w:rsidR="00CD1E96">
        <w:rPr>
          <w:rFonts w:ascii="Helvetica" w:hAnsi="Helvetica" w:cs="Times New Roman"/>
          <w:sz w:val="22"/>
          <w:szCs w:val="22"/>
        </w:rPr>
        <w:t>this work</w:t>
      </w:r>
      <w:r w:rsidR="002A20E7">
        <w:rPr>
          <w:rFonts w:ascii="Helvetica" w:hAnsi="Helvetica" w:cs="Times New Roman"/>
          <w:sz w:val="22"/>
          <w:szCs w:val="22"/>
        </w:rPr>
        <w:t xml:space="preserve"> to date</w:t>
      </w:r>
      <w:r w:rsidR="00CD1E96">
        <w:rPr>
          <w:rFonts w:ascii="Helvetica" w:hAnsi="Helvetica" w:cs="Times New Roman"/>
          <w:sz w:val="22"/>
          <w:szCs w:val="22"/>
        </w:rPr>
        <w:t xml:space="preserve"> is not </w:t>
      </w:r>
      <w:r w:rsidR="00B84731">
        <w:rPr>
          <w:rFonts w:ascii="Helvetica" w:hAnsi="Helvetica" w:cs="Times New Roman"/>
          <w:sz w:val="22"/>
          <w:szCs w:val="22"/>
        </w:rPr>
        <w:t>explicitly focused on the investigation of</w:t>
      </w:r>
      <w:r w:rsidR="00CD1E96">
        <w:rPr>
          <w:rFonts w:ascii="Helvetica" w:hAnsi="Helvetica" w:cs="Times New Roman"/>
          <w:sz w:val="22"/>
          <w:szCs w:val="22"/>
        </w:rPr>
        <w:t xml:space="preserve"> policy ‘transfer’ or ‘mobilities’</w:t>
      </w:r>
      <w:r w:rsidR="00B84731">
        <w:rPr>
          <w:rFonts w:ascii="Helvetica" w:hAnsi="Helvetica" w:cs="Times New Roman"/>
          <w:sz w:val="22"/>
          <w:szCs w:val="22"/>
        </w:rPr>
        <w:t>, it has huge potential to provide unique insights about such phenomena and their impact on global crime governance (see for example, Levi et al 2018)</w:t>
      </w:r>
      <w:r w:rsidR="007B7C74" w:rsidRPr="00BD6FFE">
        <w:rPr>
          <w:rFonts w:ascii="Helvetica" w:hAnsi="Helvetica" w:cs="Times New Roman"/>
          <w:sz w:val="22"/>
          <w:szCs w:val="22"/>
        </w:rPr>
        <w:t xml:space="preserve">. Access of this nature is of course rare and with both of these examples, largely a product of </w:t>
      </w:r>
      <w:r w:rsidR="00600681" w:rsidRPr="00BD6FFE">
        <w:rPr>
          <w:rFonts w:ascii="Helvetica" w:hAnsi="Helvetica" w:cs="Times New Roman"/>
          <w:sz w:val="22"/>
          <w:szCs w:val="22"/>
        </w:rPr>
        <w:t>existing reputations and the ability to</w:t>
      </w:r>
      <w:r w:rsidR="007B7C74" w:rsidRPr="00BD6FFE">
        <w:rPr>
          <w:rFonts w:ascii="Helvetica" w:hAnsi="Helvetica" w:cs="Times New Roman"/>
          <w:sz w:val="22"/>
          <w:szCs w:val="22"/>
        </w:rPr>
        <w:t xml:space="preserve"> make substantive</w:t>
      </w:r>
      <w:r w:rsidR="00600681" w:rsidRPr="00BD6FFE">
        <w:rPr>
          <w:rFonts w:ascii="Helvetica" w:hAnsi="Helvetica" w:cs="Times New Roman"/>
          <w:sz w:val="22"/>
          <w:szCs w:val="22"/>
        </w:rPr>
        <w:t xml:space="preserve"> policy contributions.</w:t>
      </w:r>
      <w:r w:rsidR="007B7C74" w:rsidRPr="00BD6FFE">
        <w:rPr>
          <w:rFonts w:ascii="Helvetica" w:hAnsi="Helvetica" w:cs="Times New Roman"/>
          <w:sz w:val="22"/>
          <w:szCs w:val="22"/>
        </w:rPr>
        <w:t xml:space="preserve"> </w:t>
      </w:r>
      <w:r w:rsidR="001A5B6E">
        <w:rPr>
          <w:rFonts w:ascii="Helvetica" w:hAnsi="Helvetica" w:cs="Times New Roman"/>
          <w:sz w:val="22"/>
          <w:szCs w:val="22"/>
        </w:rPr>
        <w:t xml:space="preserve">That said, </w:t>
      </w:r>
      <w:r w:rsidR="00600681" w:rsidRPr="00BD6FFE">
        <w:rPr>
          <w:rFonts w:ascii="Helvetica" w:hAnsi="Helvetica" w:cs="Times New Roman"/>
          <w:sz w:val="22"/>
          <w:szCs w:val="22"/>
        </w:rPr>
        <w:t>less established</w:t>
      </w:r>
      <w:r w:rsidR="007B7C74" w:rsidRPr="00BD6FFE">
        <w:rPr>
          <w:rFonts w:ascii="Helvetica" w:hAnsi="Helvetica" w:cs="Times New Roman"/>
          <w:sz w:val="22"/>
          <w:szCs w:val="22"/>
        </w:rPr>
        <w:t xml:space="preserve"> s</w:t>
      </w:r>
      <w:r w:rsidRPr="00BD6FFE">
        <w:rPr>
          <w:rFonts w:ascii="Helvetica" w:hAnsi="Helvetica" w:cs="Times New Roman"/>
          <w:sz w:val="22"/>
          <w:szCs w:val="22"/>
        </w:rPr>
        <w:t xml:space="preserve">cholars </w:t>
      </w:r>
      <w:r w:rsidR="00600681" w:rsidRPr="00BD6FFE">
        <w:rPr>
          <w:rFonts w:ascii="Helvetica" w:hAnsi="Helvetica" w:cs="Times New Roman"/>
          <w:sz w:val="22"/>
          <w:szCs w:val="22"/>
        </w:rPr>
        <w:t>and those who adopt</w:t>
      </w:r>
      <w:r w:rsidRPr="00BD6FFE">
        <w:rPr>
          <w:rFonts w:ascii="Helvetica" w:hAnsi="Helvetica" w:cs="Times New Roman"/>
          <w:sz w:val="22"/>
          <w:szCs w:val="22"/>
        </w:rPr>
        <w:t xml:space="preserve"> a more self-consciously ‘critical’ </w:t>
      </w:r>
      <w:r w:rsidR="00600681" w:rsidRPr="00BD6FFE">
        <w:rPr>
          <w:rFonts w:ascii="Helvetica" w:hAnsi="Helvetica" w:cs="Times New Roman"/>
          <w:sz w:val="22"/>
          <w:szCs w:val="22"/>
        </w:rPr>
        <w:t xml:space="preserve">stance towards their object of study </w:t>
      </w:r>
      <w:r w:rsidR="001A5B6E">
        <w:rPr>
          <w:rFonts w:ascii="Helvetica" w:hAnsi="Helvetica" w:cs="Times New Roman"/>
          <w:sz w:val="22"/>
          <w:szCs w:val="22"/>
        </w:rPr>
        <w:t>have recently enjoyed some success in gaining access t</w:t>
      </w:r>
      <w:r w:rsidRPr="00BD6FFE">
        <w:rPr>
          <w:rFonts w:ascii="Helvetica" w:hAnsi="Helvetica" w:cs="Times New Roman"/>
          <w:sz w:val="22"/>
          <w:szCs w:val="22"/>
        </w:rPr>
        <w:t>o policy elites</w:t>
      </w:r>
      <w:r w:rsidR="001A5B6E">
        <w:rPr>
          <w:rFonts w:ascii="Helvetica" w:hAnsi="Helvetica" w:cs="Times New Roman"/>
          <w:sz w:val="22"/>
          <w:szCs w:val="22"/>
        </w:rPr>
        <w:t xml:space="preserve"> (for example, </w:t>
      </w:r>
      <w:proofErr w:type="spellStart"/>
      <w:r w:rsidR="001A5B6E">
        <w:rPr>
          <w:rFonts w:ascii="Helvetica" w:hAnsi="Helvetica" w:cs="Times New Roman"/>
          <w:sz w:val="22"/>
          <w:szCs w:val="22"/>
        </w:rPr>
        <w:t>McMenzie</w:t>
      </w:r>
      <w:proofErr w:type="spellEnd"/>
      <w:r w:rsidR="00A9463F">
        <w:rPr>
          <w:rFonts w:ascii="Helvetica" w:hAnsi="Helvetica" w:cs="Times New Roman"/>
          <w:sz w:val="22"/>
          <w:szCs w:val="22"/>
        </w:rPr>
        <w:t xml:space="preserve"> </w:t>
      </w:r>
      <w:r w:rsidR="00A9463F" w:rsidRPr="00A9463F">
        <w:rPr>
          <w:rFonts w:ascii="Helvetica" w:hAnsi="Helvetica" w:cs="Times New Roman"/>
          <w:i/>
          <w:sz w:val="22"/>
          <w:szCs w:val="22"/>
        </w:rPr>
        <w:t>at al</w:t>
      </w:r>
      <w:r w:rsidR="00A9463F">
        <w:rPr>
          <w:rFonts w:ascii="Helvetica" w:hAnsi="Helvetica" w:cs="Times New Roman"/>
          <w:sz w:val="22"/>
          <w:szCs w:val="22"/>
        </w:rPr>
        <w:t>.,</w:t>
      </w:r>
      <w:r w:rsidR="001A5B6E">
        <w:rPr>
          <w:rFonts w:ascii="Helvetica" w:hAnsi="Helvetica" w:cs="Times New Roman"/>
          <w:sz w:val="22"/>
          <w:szCs w:val="22"/>
        </w:rPr>
        <w:t xml:space="preserve"> 2018; </w:t>
      </w:r>
      <w:proofErr w:type="spellStart"/>
      <w:r w:rsidR="001A5B6E">
        <w:rPr>
          <w:rFonts w:ascii="Helvetica" w:hAnsi="Helvetica" w:cs="Times New Roman"/>
          <w:sz w:val="22"/>
          <w:szCs w:val="22"/>
        </w:rPr>
        <w:t>Blaustein</w:t>
      </w:r>
      <w:proofErr w:type="spellEnd"/>
      <w:r w:rsidR="001A5B6E">
        <w:rPr>
          <w:rFonts w:ascii="Helvetica" w:hAnsi="Helvetica" w:cs="Times New Roman"/>
          <w:sz w:val="22"/>
          <w:szCs w:val="22"/>
        </w:rPr>
        <w:t xml:space="preserve"> 2015).</w:t>
      </w:r>
      <w:r w:rsidR="002A20E7">
        <w:rPr>
          <w:rFonts w:ascii="Helvetica" w:hAnsi="Helvetica" w:cs="Times New Roman"/>
          <w:sz w:val="22"/>
          <w:szCs w:val="22"/>
        </w:rPr>
        <w:t xml:space="preserve"> The growing emphasis on ‘impact’ of academic research has increased the engagement of scholars at a range of levels with policy formation processes, and arguably has extended the access or researchers to previously more hidden parts of policy worlds (see, for example, Ingold and Monaghan 2014). </w:t>
      </w:r>
      <w:r w:rsidR="00B84731">
        <w:rPr>
          <w:rFonts w:ascii="Helvetica" w:hAnsi="Helvetica" w:cs="Times New Roman"/>
          <w:sz w:val="22"/>
          <w:szCs w:val="22"/>
        </w:rPr>
        <w:t xml:space="preserve">Finally, it is worth noting that in some parts of the world family or tribal connections may be of key importance in obtaining research access to particular </w:t>
      </w:r>
      <w:r w:rsidR="00310C5A">
        <w:rPr>
          <w:rFonts w:ascii="Helvetica" w:hAnsi="Helvetica" w:cs="Times New Roman"/>
          <w:sz w:val="22"/>
          <w:szCs w:val="22"/>
        </w:rPr>
        <w:t xml:space="preserve">sites of policy-making (rather than academic seniority or status). </w:t>
      </w:r>
    </w:p>
    <w:p w14:paraId="72BF62BF" w14:textId="77777777" w:rsidR="001A5B6E" w:rsidRDefault="001A5B6E" w:rsidP="00BD6FFE">
      <w:pPr>
        <w:spacing w:line="480" w:lineRule="auto"/>
        <w:rPr>
          <w:rFonts w:ascii="Helvetica" w:hAnsi="Helvetica" w:cs="Times New Roman"/>
          <w:sz w:val="22"/>
          <w:szCs w:val="22"/>
        </w:rPr>
      </w:pPr>
    </w:p>
    <w:p w14:paraId="03F2A8B7" w14:textId="50FEB511" w:rsidR="00CF016C" w:rsidRPr="00BD6FFE" w:rsidRDefault="00CF016C" w:rsidP="00BD6FFE">
      <w:pPr>
        <w:spacing w:line="480" w:lineRule="auto"/>
        <w:rPr>
          <w:rFonts w:ascii="Helvetica" w:hAnsi="Helvetica" w:cs="Times New Roman"/>
          <w:sz w:val="22"/>
          <w:szCs w:val="22"/>
        </w:rPr>
      </w:pPr>
      <w:r w:rsidRPr="00BD6FFE">
        <w:rPr>
          <w:rFonts w:ascii="Helvetica" w:hAnsi="Helvetica" w:cs="Times New Roman"/>
          <w:sz w:val="22"/>
          <w:szCs w:val="22"/>
        </w:rPr>
        <w:t xml:space="preserve">A third issue of accessibility, particularly salient to comparative work, concerns the need to </w:t>
      </w:r>
      <w:r w:rsidRPr="00B75768">
        <w:rPr>
          <w:rFonts w:ascii="Helvetica" w:eastAsia="Helvetica" w:hAnsi="Helvetica" w:cs="Helvetica"/>
          <w:sz w:val="22"/>
          <w:szCs w:val="22"/>
        </w:rPr>
        <w:t xml:space="preserve">‘translate’ key terms and concepts – both linguistically and culturally – to ensure that one is comparing like with like (see </w:t>
      </w:r>
      <w:proofErr w:type="spellStart"/>
      <w:r w:rsidRPr="00B75768">
        <w:rPr>
          <w:rFonts w:ascii="Helvetica" w:eastAsia="Helvetica" w:hAnsi="Helvetica" w:cs="Helvetica"/>
          <w:sz w:val="22"/>
          <w:szCs w:val="22"/>
        </w:rPr>
        <w:t>Maranh‹o</w:t>
      </w:r>
      <w:proofErr w:type="spellEnd"/>
      <w:r w:rsidRPr="00B75768">
        <w:rPr>
          <w:rFonts w:ascii="Helvetica" w:eastAsia="Helvetica" w:hAnsi="Helvetica" w:cs="Helvetica"/>
          <w:sz w:val="22"/>
          <w:szCs w:val="22"/>
        </w:rPr>
        <w:t xml:space="preserve"> and </w:t>
      </w:r>
      <w:proofErr w:type="spellStart"/>
      <w:r w:rsidRPr="00B75768">
        <w:rPr>
          <w:rFonts w:ascii="Helvetica" w:eastAsia="Helvetica" w:hAnsi="Helvetica" w:cs="Helvetica"/>
          <w:sz w:val="22"/>
          <w:szCs w:val="22"/>
        </w:rPr>
        <w:t>St</w:t>
      </w:r>
      <w:r w:rsidRPr="00BD6FFE">
        <w:rPr>
          <w:rFonts w:ascii="Helvetica" w:hAnsi="Helvetica" w:cs="Times New Roman"/>
          <w:sz w:val="22"/>
          <w:szCs w:val="22"/>
        </w:rPr>
        <w:t>reck</w:t>
      </w:r>
      <w:proofErr w:type="spellEnd"/>
      <w:r w:rsidRPr="00BD6FFE">
        <w:rPr>
          <w:rFonts w:ascii="Helvetica" w:hAnsi="Helvetica" w:cs="Times New Roman"/>
          <w:sz w:val="22"/>
          <w:szCs w:val="22"/>
        </w:rPr>
        <w:t xml:space="preserve"> 2003). Even within Anglophone studies of policy transfer such challenges can be problematic. Compar</w:t>
      </w:r>
      <w:r w:rsidR="0008416E">
        <w:rPr>
          <w:rFonts w:ascii="Helvetica" w:hAnsi="Helvetica" w:cs="Times New Roman"/>
          <w:sz w:val="22"/>
          <w:szCs w:val="22"/>
        </w:rPr>
        <w:t>isons</w:t>
      </w:r>
      <w:r w:rsidRPr="00BD6FFE">
        <w:rPr>
          <w:rFonts w:ascii="Helvetica" w:hAnsi="Helvetica" w:cs="Times New Roman"/>
          <w:sz w:val="22"/>
          <w:szCs w:val="22"/>
        </w:rPr>
        <w:t xml:space="preserve"> across cultures and different language traditions requires bi (or multi) lingual researchers or research teams. Funding and </w:t>
      </w:r>
      <w:r w:rsidR="00276029" w:rsidRPr="00BD6FFE">
        <w:rPr>
          <w:rFonts w:ascii="Helvetica" w:hAnsi="Helvetica" w:cs="Times New Roman"/>
          <w:sz w:val="22"/>
          <w:szCs w:val="22"/>
        </w:rPr>
        <w:t>coordinating multi-national projects</w:t>
      </w:r>
      <w:r w:rsidRPr="00BD6FFE">
        <w:rPr>
          <w:rFonts w:ascii="Helvetica" w:hAnsi="Helvetica" w:cs="Times New Roman"/>
          <w:sz w:val="22"/>
          <w:szCs w:val="22"/>
        </w:rPr>
        <w:t xml:space="preserve"> </w:t>
      </w:r>
      <w:r w:rsidR="00276029" w:rsidRPr="00BD6FFE">
        <w:rPr>
          <w:rFonts w:ascii="Helvetica" w:hAnsi="Helvetica" w:cs="Times New Roman"/>
          <w:sz w:val="22"/>
          <w:szCs w:val="22"/>
        </w:rPr>
        <w:t>are certainly</w:t>
      </w:r>
      <w:r w:rsidRPr="00BD6FFE">
        <w:rPr>
          <w:rFonts w:ascii="Helvetica" w:hAnsi="Helvetica" w:cs="Times New Roman"/>
          <w:sz w:val="22"/>
          <w:szCs w:val="22"/>
        </w:rPr>
        <w:t xml:space="preserve"> obstacle</w:t>
      </w:r>
      <w:r w:rsidR="00276029" w:rsidRPr="00BD6FFE">
        <w:rPr>
          <w:rFonts w:ascii="Helvetica" w:hAnsi="Helvetica" w:cs="Times New Roman"/>
          <w:sz w:val="22"/>
          <w:szCs w:val="22"/>
        </w:rPr>
        <w:t>s</w:t>
      </w:r>
      <w:r w:rsidR="00B75768">
        <w:rPr>
          <w:rFonts w:ascii="Helvetica" w:hAnsi="Helvetica" w:cs="Times New Roman"/>
          <w:sz w:val="22"/>
          <w:szCs w:val="22"/>
        </w:rPr>
        <w:t xml:space="preserve"> but ones that</w:t>
      </w:r>
      <w:r w:rsidRPr="00BD6FFE">
        <w:rPr>
          <w:rFonts w:ascii="Helvetica" w:hAnsi="Helvetica" w:cs="Times New Roman"/>
          <w:sz w:val="22"/>
          <w:szCs w:val="22"/>
        </w:rPr>
        <w:t xml:space="preserve"> may</w:t>
      </w:r>
      <w:r w:rsidR="00276029" w:rsidRPr="00BD6FFE">
        <w:rPr>
          <w:rFonts w:ascii="Helvetica" w:hAnsi="Helvetica" w:cs="Times New Roman"/>
          <w:sz w:val="22"/>
          <w:szCs w:val="22"/>
        </w:rPr>
        <w:t xml:space="preserve"> potentially</w:t>
      </w:r>
      <w:r w:rsidRPr="00BD6FFE">
        <w:rPr>
          <w:rFonts w:ascii="Helvetica" w:hAnsi="Helvetica" w:cs="Times New Roman"/>
          <w:sz w:val="22"/>
          <w:szCs w:val="22"/>
        </w:rPr>
        <w:t xml:space="preserve"> be overcome </w:t>
      </w:r>
      <w:r w:rsidR="00276029" w:rsidRPr="00BD6FFE">
        <w:rPr>
          <w:rFonts w:ascii="Helvetica" w:hAnsi="Helvetica" w:cs="Times New Roman"/>
          <w:sz w:val="22"/>
          <w:szCs w:val="22"/>
        </w:rPr>
        <w:t xml:space="preserve">if researchers can align their aims with international funding schemes such as the </w:t>
      </w:r>
      <w:r w:rsidRPr="00BD6FFE">
        <w:rPr>
          <w:rFonts w:ascii="Helvetica" w:hAnsi="Helvetica" w:cs="Times New Roman"/>
          <w:sz w:val="22"/>
          <w:szCs w:val="22"/>
        </w:rPr>
        <w:t>European Commission</w:t>
      </w:r>
      <w:r w:rsidRPr="00B75768">
        <w:rPr>
          <w:rFonts w:ascii="Helvetica" w:eastAsia="Helvetica" w:hAnsi="Helvetica" w:cs="Helvetica"/>
          <w:sz w:val="22"/>
          <w:szCs w:val="22"/>
        </w:rPr>
        <w:t>’</w:t>
      </w:r>
      <w:r w:rsidRPr="00BD6FFE">
        <w:rPr>
          <w:rFonts w:ascii="Helvetica" w:hAnsi="Helvetica" w:cs="Times New Roman"/>
          <w:sz w:val="22"/>
          <w:szCs w:val="22"/>
        </w:rPr>
        <w:t xml:space="preserve">s </w:t>
      </w:r>
      <w:r w:rsidRPr="00B75768">
        <w:rPr>
          <w:rFonts w:ascii="Helvetica" w:eastAsia="Helvetica" w:hAnsi="Helvetica" w:cs="Helvetica"/>
          <w:sz w:val="22"/>
          <w:szCs w:val="22"/>
        </w:rPr>
        <w:t>‘</w:t>
      </w:r>
      <w:r w:rsidRPr="00BD6FFE">
        <w:rPr>
          <w:rFonts w:ascii="Helvetica" w:hAnsi="Helvetica" w:cs="Times New Roman"/>
          <w:sz w:val="22"/>
          <w:szCs w:val="22"/>
        </w:rPr>
        <w:t>Horizon 2020</w:t>
      </w:r>
      <w:r w:rsidRPr="00B75768">
        <w:rPr>
          <w:rFonts w:ascii="Helvetica" w:eastAsia="Helvetica" w:hAnsi="Helvetica" w:cs="Helvetica"/>
          <w:sz w:val="22"/>
          <w:szCs w:val="22"/>
        </w:rPr>
        <w:t>’</w:t>
      </w:r>
      <w:r w:rsidRPr="00BD6FFE">
        <w:rPr>
          <w:rFonts w:ascii="Helvetica" w:hAnsi="Helvetica" w:cs="Times New Roman"/>
          <w:sz w:val="22"/>
          <w:szCs w:val="22"/>
        </w:rPr>
        <w:t xml:space="preserve"> </w:t>
      </w:r>
      <w:r w:rsidR="00276029" w:rsidRPr="00BD6FFE">
        <w:rPr>
          <w:rFonts w:ascii="Helvetica" w:hAnsi="Helvetica" w:cs="Times New Roman"/>
          <w:sz w:val="22"/>
          <w:szCs w:val="22"/>
        </w:rPr>
        <w:t xml:space="preserve">programme. </w:t>
      </w:r>
      <w:r w:rsidR="00ED007D">
        <w:rPr>
          <w:rFonts w:ascii="Helvetica" w:hAnsi="Helvetica" w:cs="Times New Roman"/>
          <w:sz w:val="22"/>
          <w:szCs w:val="22"/>
        </w:rPr>
        <w:t xml:space="preserve">A recent example of successful recent </w:t>
      </w:r>
      <w:r w:rsidR="00EB3BCD">
        <w:rPr>
          <w:rFonts w:ascii="Helvetica" w:hAnsi="Helvetica" w:cs="Times New Roman"/>
          <w:sz w:val="22"/>
          <w:szCs w:val="22"/>
        </w:rPr>
        <w:t xml:space="preserve">criminological </w:t>
      </w:r>
      <w:r w:rsidR="00ED007D">
        <w:rPr>
          <w:rFonts w:ascii="Helvetica" w:hAnsi="Helvetica" w:cs="Times New Roman"/>
          <w:sz w:val="22"/>
          <w:szCs w:val="22"/>
        </w:rPr>
        <w:t>research which adopted a comparative cross-sectional multi-</w:t>
      </w:r>
      <w:r w:rsidR="00ED007D">
        <w:rPr>
          <w:rFonts w:ascii="Helvetica" w:hAnsi="Helvetica" w:cs="Times New Roman"/>
          <w:sz w:val="22"/>
          <w:szCs w:val="22"/>
        </w:rPr>
        <w:lastRenderedPageBreak/>
        <w:t xml:space="preserve">case research design </w:t>
      </w:r>
      <w:r w:rsidR="00EB3BCD">
        <w:rPr>
          <w:rFonts w:ascii="Helvetica" w:hAnsi="Helvetica" w:cs="Times New Roman"/>
          <w:sz w:val="22"/>
          <w:szCs w:val="22"/>
        </w:rPr>
        <w:t xml:space="preserve">was </w:t>
      </w:r>
      <w:proofErr w:type="spellStart"/>
      <w:r w:rsidR="00EB3BCD">
        <w:rPr>
          <w:rFonts w:ascii="Helvetica" w:hAnsi="Helvetica" w:cs="Times New Roman"/>
          <w:sz w:val="22"/>
          <w:szCs w:val="22"/>
        </w:rPr>
        <w:t>Devroe</w:t>
      </w:r>
      <w:proofErr w:type="spellEnd"/>
      <w:r w:rsidR="00EB3BCD">
        <w:rPr>
          <w:rFonts w:ascii="Helvetica" w:hAnsi="Helvetica" w:cs="Times New Roman"/>
          <w:sz w:val="22"/>
          <w:szCs w:val="22"/>
        </w:rPr>
        <w:t xml:space="preserve"> </w:t>
      </w:r>
      <w:r w:rsidR="00EB3BCD" w:rsidRPr="00771CDD">
        <w:rPr>
          <w:rFonts w:ascii="Helvetica" w:hAnsi="Helvetica" w:cs="Times New Roman"/>
          <w:i/>
          <w:sz w:val="22"/>
          <w:szCs w:val="22"/>
        </w:rPr>
        <w:t>et al</w:t>
      </w:r>
      <w:r w:rsidR="00EB3BCD">
        <w:rPr>
          <w:rFonts w:ascii="Helvetica" w:hAnsi="Helvetica" w:cs="Times New Roman"/>
          <w:sz w:val="22"/>
          <w:szCs w:val="22"/>
        </w:rPr>
        <w:t>. (2017)</w:t>
      </w:r>
      <w:r w:rsidR="00B813B0">
        <w:rPr>
          <w:rFonts w:ascii="Helvetica" w:hAnsi="Helvetica" w:cs="Times New Roman"/>
          <w:sz w:val="22"/>
          <w:szCs w:val="22"/>
        </w:rPr>
        <w:t xml:space="preserve"> which compared the politics of security across a number of European city-regions. The research design deployed</w:t>
      </w:r>
      <w:r w:rsidR="00EB3BCD">
        <w:rPr>
          <w:rFonts w:ascii="Helvetica" w:hAnsi="Helvetica" w:cs="Times New Roman"/>
          <w:sz w:val="22"/>
          <w:szCs w:val="22"/>
        </w:rPr>
        <w:t xml:space="preserve"> research teams based in </w:t>
      </w:r>
      <w:r w:rsidR="00B813B0">
        <w:rPr>
          <w:rFonts w:ascii="Helvetica" w:hAnsi="Helvetica" w:cs="Times New Roman"/>
          <w:sz w:val="22"/>
          <w:szCs w:val="22"/>
        </w:rPr>
        <w:t>several European metropolises, each respectively embedded within the distinctive linguistic, political and socio-legal contexts that they were studying</w:t>
      </w:r>
      <w:r w:rsidR="00C01C36">
        <w:rPr>
          <w:rFonts w:ascii="Helvetica" w:hAnsi="Helvetica" w:cs="Times New Roman"/>
          <w:sz w:val="22"/>
          <w:szCs w:val="22"/>
        </w:rPr>
        <w:t>. At the same time, these teams worked</w:t>
      </w:r>
      <w:r w:rsidR="00B813B0">
        <w:rPr>
          <w:rFonts w:ascii="Helvetica" w:hAnsi="Helvetica" w:cs="Times New Roman"/>
          <w:sz w:val="22"/>
          <w:szCs w:val="22"/>
        </w:rPr>
        <w:t xml:space="preserve"> to a common set of research objectives with regular interaction to address the challenges of undertaking cross-national comparisons. </w:t>
      </w:r>
      <w:r w:rsidR="00C01C36">
        <w:rPr>
          <w:rFonts w:ascii="Helvetica" w:hAnsi="Helvetica" w:cs="Times New Roman"/>
          <w:sz w:val="22"/>
          <w:szCs w:val="22"/>
        </w:rPr>
        <w:t>S</w:t>
      </w:r>
      <w:r w:rsidR="00B813B0">
        <w:rPr>
          <w:rFonts w:ascii="Helvetica" w:hAnsi="Helvetica" w:cs="Times New Roman"/>
          <w:sz w:val="22"/>
          <w:szCs w:val="22"/>
        </w:rPr>
        <w:t xml:space="preserve">uch research designs have much to offer to criminologists working in this field (though clearly pose significant challenges of logistics and resourcing). </w:t>
      </w:r>
    </w:p>
    <w:p w14:paraId="765B5ED7" w14:textId="77777777" w:rsidR="002D754A" w:rsidRPr="00BD6FFE" w:rsidRDefault="002D754A" w:rsidP="00BD6FFE">
      <w:pPr>
        <w:spacing w:line="480" w:lineRule="auto"/>
        <w:rPr>
          <w:rFonts w:ascii="Helvetica" w:hAnsi="Helvetica" w:cs="Times New Roman"/>
          <w:sz w:val="22"/>
          <w:szCs w:val="22"/>
        </w:rPr>
      </w:pPr>
    </w:p>
    <w:p w14:paraId="31865613" w14:textId="12BFC169" w:rsidR="002D754A" w:rsidRPr="00BD6FFE" w:rsidRDefault="00B813B0" w:rsidP="00BD6FFE">
      <w:pPr>
        <w:spacing w:line="480" w:lineRule="auto"/>
        <w:rPr>
          <w:rFonts w:ascii="Helvetica" w:hAnsi="Helvetica" w:cs="Times New Roman"/>
          <w:sz w:val="22"/>
          <w:szCs w:val="22"/>
        </w:rPr>
      </w:pPr>
      <w:r>
        <w:rPr>
          <w:rFonts w:ascii="Helvetica" w:hAnsi="Helvetica" w:cs="Times New Roman"/>
          <w:sz w:val="22"/>
          <w:szCs w:val="22"/>
        </w:rPr>
        <w:t>This brings us to another</w:t>
      </w:r>
      <w:r w:rsidR="002D754A" w:rsidRPr="00BD6FFE">
        <w:rPr>
          <w:rFonts w:ascii="Helvetica" w:hAnsi="Helvetica" w:cs="Times New Roman"/>
          <w:sz w:val="22"/>
          <w:szCs w:val="22"/>
        </w:rPr>
        <w:t xml:space="preserve"> pragmatic, yet significant issue affecting any research project</w:t>
      </w:r>
      <w:r w:rsidR="00C45D7F">
        <w:rPr>
          <w:rFonts w:ascii="Helvetica" w:hAnsi="Helvetica" w:cs="Times New Roman"/>
          <w:sz w:val="22"/>
          <w:szCs w:val="22"/>
        </w:rPr>
        <w:t>. This</w:t>
      </w:r>
      <w:r w:rsidR="002D754A" w:rsidRPr="00BD6FFE">
        <w:rPr>
          <w:rFonts w:ascii="Helvetica" w:hAnsi="Helvetica" w:cs="Times New Roman"/>
          <w:sz w:val="22"/>
          <w:szCs w:val="22"/>
        </w:rPr>
        <w:t xml:space="preserve"> is the nature and extent of the </w:t>
      </w:r>
      <w:r w:rsidR="002D754A" w:rsidRPr="00BD6FFE">
        <w:rPr>
          <w:rFonts w:ascii="Helvetica" w:hAnsi="Helvetica" w:cs="Times New Roman"/>
          <w:i/>
          <w:sz w:val="22"/>
          <w:szCs w:val="22"/>
        </w:rPr>
        <w:t>resources</w:t>
      </w:r>
      <w:r w:rsidR="002D754A" w:rsidRPr="00BD6FFE">
        <w:rPr>
          <w:rFonts w:ascii="Helvetica" w:hAnsi="Helvetica" w:cs="Times New Roman"/>
          <w:sz w:val="22"/>
          <w:szCs w:val="22"/>
        </w:rPr>
        <w:t xml:space="preserve"> available</w:t>
      </w:r>
      <w:r>
        <w:rPr>
          <w:rFonts w:ascii="Helvetica" w:hAnsi="Helvetica" w:cs="Times New Roman"/>
          <w:sz w:val="22"/>
          <w:szCs w:val="22"/>
        </w:rPr>
        <w:t xml:space="preserve"> (including </w:t>
      </w:r>
      <w:r w:rsidR="002D754A" w:rsidRPr="00BD6FFE">
        <w:rPr>
          <w:rFonts w:ascii="Helvetica" w:hAnsi="Helvetica" w:cs="Times New Roman"/>
          <w:sz w:val="22"/>
          <w:szCs w:val="22"/>
        </w:rPr>
        <w:t>personnel</w:t>
      </w:r>
      <w:r w:rsidR="00C45D7F">
        <w:rPr>
          <w:rFonts w:ascii="Helvetica" w:hAnsi="Helvetica" w:cs="Times New Roman"/>
          <w:sz w:val="22"/>
          <w:szCs w:val="22"/>
        </w:rPr>
        <w:t>,</w:t>
      </w:r>
      <w:r w:rsidR="002D754A" w:rsidRPr="00BD6FFE">
        <w:rPr>
          <w:rFonts w:ascii="Helvetica" w:hAnsi="Helvetica" w:cs="Times New Roman"/>
          <w:sz w:val="22"/>
          <w:szCs w:val="22"/>
        </w:rPr>
        <w:t xml:space="preserve"> time</w:t>
      </w:r>
      <w:r w:rsidR="00C45D7F">
        <w:rPr>
          <w:rFonts w:ascii="Helvetica" w:hAnsi="Helvetica" w:cs="Times New Roman"/>
          <w:sz w:val="22"/>
          <w:szCs w:val="22"/>
        </w:rPr>
        <w:t>,</w:t>
      </w:r>
      <w:r w:rsidR="002D754A" w:rsidRPr="00BD6FFE">
        <w:rPr>
          <w:rFonts w:ascii="Helvetica" w:hAnsi="Helvetica" w:cs="Times New Roman"/>
          <w:sz w:val="22"/>
          <w:szCs w:val="22"/>
        </w:rPr>
        <w:t xml:space="preserve"> and finance and related resources</w:t>
      </w:r>
      <w:r>
        <w:rPr>
          <w:rFonts w:ascii="Helvetica" w:hAnsi="Helvetica" w:cs="Times New Roman"/>
          <w:sz w:val="22"/>
          <w:szCs w:val="22"/>
        </w:rPr>
        <w:t>)</w:t>
      </w:r>
      <w:r w:rsidR="002D754A" w:rsidRPr="00BD6FFE">
        <w:rPr>
          <w:rFonts w:ascii="Helvetica" w:hAnsi="Helvetica" w:cs="Times New Roman"/>
          <w:sz w:val="22"/>
          <w:szCs w:val="22"/>
        </w:rPr>
        <w:t>. So far as personnel are concerned there are a variety of factors that will serve to shape the research design choices that are eventually made</w:t>
      </w:r>
      <w:r w:rsidR="00600681" w:rsidRPr="00BD6FFE">
        <w:rPr>
          <w:rFonts w:ascii="Helvetica" w:hAnsi="Helvetica" w:cs="Times New Roman"/>
          <w:sz w:val="22"/>
          <w:szCs w:val="22"/>
        </w:rPr>
        <w:t>.</w:t>
      </w:r>
      <w:r w:rsidR="002D754A" w:rsidRPr="00BD6FFE">
        <w:rPr>
          <w:rFonts w:ascii="Helvetica" w:hAnsi="Helvetica" w:cs="Times New Roman"/>
          <w:sz w:val="22"/>
          <w:szCs w:val="22"/>
        </w:rPr>
        <w:t xml:space="preserve"> </w:t>
      </w:r>
      <w:r w:rsidR="00600681" w:rsidRPr="00BD6FFE">
        <w:rPr>
          <w:rFonts w:ascii="Helvetica" w:hAnsi="Helvetica" w:cs="Times New Roman"/>
          <w:sz w:val="22"/>
          <w:szCs w:val="22"/>
        </w:rPr>
        <w:t>For example, s</w:t>
      </w:r>
      <w:r w:rsidR="002D754A" w:rsidRPr="00BD6FFE">
        <w:rPr>
          <w:rFonts w:ascii="Helvetica" w:hAnsi="Helvetica" w:cs="Times New Roman"/>
          <w:sz w:val="22"/>
          <w:szCs w:val="22"/>
        </w:rPr>
        <w:t xml:space="preserve">tudies undertaken by individual scholars will inevitably take a different shape from those involving a team of researchers. Researchers based in a single country are likely to face different constraints in the study of policy flows than researchers based in two or more countries. The number of personnel available will also potentially affect the amount of time available for a particular research study, with knock-on consequences for the extent and depth of that work. The time available for research </w:t>
      </w:r>
      <w:r w:rsidR="00600681" w:rsidRPr="00BD6FFE">
        <w:rPr>
          <w:rFonts w:ascii="Helvetica" w:hAnsi="Helvetica" w:cs="Times New Roman"/>
          <w:sz w:val="22"/>
          <w:szCs w:val="22"/>
        </w:rPr>
        <w:t xml:space="preserve">will </w:t>
      </w:r>
      <w:r w:rsidR="002D754A" w:rsidRPr="00BD6FFE">
        <w:rPr>
          <w:rFonts w:ascii="Helvetica" w:hAnsi="Helvetica" w:cs="Times New Roman"/>
          <w:sz w:val="22"/>
          <w:szCs w:val="22"/>
        </w:rPr>
        <w:t xml:space="preserve">also almost certainly has implications for research design choices. The extent to which ‘following the policy’ </w:t>
      </w:r>
      <w:r w:rsidR="008013B9" w:rsidRPr="00BD6FFE">
        <w:rPr>
          <w:rFonts w:ascii="Helvetica" w:hAnsi="Helvetica" w:cs="Times New Roman"/>
          <w:sz w:val="22"/>
          <w:szCs w:val="22"/>
        </w:rPr>
        <w:t xml:space="preserve">(McCann and Ward 2012b) </w:t>
      </w:r>
      <w:r w:rsidR="002D754A" w:rsidRPr="00BD6FFE">
        <w:rPr>
          <w:rFonts w:ascii="Helvetica" w:hAnsi="Helvetica" w:cs="Times New Roman"/>
          <w:sz w:val="22"/>
          <w:szCs w:val="22"/>
        </w:rPr>
        <w:t>is possible is</w:t>
      </w:r>
      <w:r w:rsidR="00E42971" w:rsidRPr="00BD6FFE">
        <w:rPr>
          <w:rFonts w:ascii="Helvetica" w:hAnsi="Helvetica" w:cs="Times New Roman"/>
          <w:sz w:val="22"/>
          <w:szCs w:val="22"/>
        </w:rPr>
        <w:t xml:space="preserve"> therefore</w:t>
      </w:r>
      <w:r w:rsidR="002D754A" w:rsidRPr="00BD6FFE">
        <w:rPr>
          <w:rFonts w:ascii="Helvetica" w:hAnsi="Helvetica" w:cs="Times New Roman"/>
          <w:sz w:val="22"/>
          <w:szCs w:val="22"/>
        </w:rPr>
        <w:t xml:space="preserve"> very much influenced by the timing of the research. </w:t>
      </w:r>
      <w:r w:rsidR="00E42971" w:rsidRPr="00BD6FFE">
        <w:rPr>
          <w:rFonts w:ascii="Helvetica" w:hAnsi="Helvetica" w:cs="Times New Roman"/>
          <w:sz w:val="22"/>
          <w:szCs w:val="22"/>
        </w:rPr>
        <w:t xml:space="preserve">A related </w:t>
      </w:r>
      <w:r w:rsidR="002D754A" w:rsidRPr="00BD6FFE">
        <w:rPr>
          <w:rFonts w:ascii="Helvetica" w:hAnsi="Helvetica" w:cs="Times New Roman"/>
          <w:sz w:val="22"/>
          <w:szCs w:val="22"/>
        </w:rPr>
        <w:t xml:space="preserve">matter </w:t>
      </w:r>
      <w:r w:rsidR="00E42971" w:rsidRPr="00BD6FFE">
        <w:rPr>
          <w:rFonts w:ascii="Helvetica" w:hAnsi="Helvetica" w:cs="Times New Roman"/>
          <w:sz w:val="22"/>
          <w:szCs w:val="22"/>
        </w:rPr>
        <w:t>is the availability of financial resources</w:t>
      </w:r>
      <w:r w:rsidR="002D754A" w:rsidRPr="00BD6FFE">
        <w:rPr>
          <w:rFonts w:ascii="Helvetica" w:hAnsi="Helvetica" w:cs="Times New Roman"/>
          <w:sz w:val="22"/>
          <w:szCs w:val="22"/>
        </w:rPr>
        <w:t xml:space="preserve">. Over and above available staff and time, finance may be of huge significance to the study of policy flows. Much such work, almost by definition, is cross-national with clear potential for </w:t>
      </w:r>
      <w:r w:rsidR="002D754A" w:rsidRPr="00BD6FFE">
        <w:rPr>
          <w:rFonts w:ascii="Helvetica" w:hAnsi="Helvetica" w:cs="Times New Roman"/>
          <w:sz w:val="22"/>
          <w:szCs w:val="22"/>
        </w:rPr>
        <w:lastRenderedPageBreak/>
        <w:t>considerable travel and related costs. Whilst tempting to think that research design decisions are primarily shaped by some fairly fundamental philosophical matters, the reality is that there are a range of other, high</w:t>
      </w:r>
      <w:r w:rsidR="00E42971" w:rsidRPr="00BD6FFE">
        <w:rPr>
          <w:rFonts w:ascii="Helvetica" w:hAnsi="Helvetica" w:cs="Times New Roman"/>
          <w:sz w:val="22"/>
          <w:szCs w:val="22"/>
        </w:rPr>
        <w:t>ly</w:t>
      </w:r>
      <w:r w:rsidR="002D754A" w:rsidRPr="00BD6FFE">
        <w:rPr>
          <w:rFonts w:ascii="Helvetica" w:hAnsi="Helvetica" w:cs="Times New Roman"/>
          <w:sz w:val="22"/>
          <w:szCs w:val="22"/>
        </w:rPr>
        <w:t xml:space="preserve"> practical, constraints that almost always also come into play.</w:t>
      </w:r>
    </w:p>
    <w:p w14:paraId="09A0EF79" w14:textId="77777777" w:rsidR="002D754A" w:rsidRPr="00BD6FFE" w:rsidRDefault="002D754A" w:rsidP="00BD6FFE">
      <w:pPr>
        <w:spacing w:line="480" w:lineRule="auto"/>
        <w:rPr>
          <w:rFonts w:ascii="Helvetica" w:hAnsi="Helvetica" w:cs="Times New Roman"/>
          <w:sz w:val="22"/>
          <w:szCs w:val="22"/>
        </w:rPr>
      </w:pPr>
    </w:p>
    <w:p w14:paraId="3802CFEA" w14:textId="269C5869" w:rsidR="002D754A" w:rsidRPr="00BD6FFE" w:rsidRDefault="002D754A" w:rsidP="00BD6FFE">
      <w:pPr>
        <w:spacing w:line="480" w:lineRule="auto"/>
        <w:rPr>
          <w:rFonts w:ascii="Helvetica" w:hAnsi="Helvetica" w:cs="Times New Roman"/>
          <w:sz w:val="22"/>
          <w:szCs w:val="22"/>
        </w:rPr>
      </w:pPr>
      <w:r w:rsidRPr="00BD6FFE">
        <w:rPr>
          <w:rFonts w:ascii="Helvetica" w:hAnsi="Helvetica" w:cs="Times New Roman"/>
          <w:sz w:val="22"/>
          <w:szCs w:val="22"/>
        </w:rPr>
        <w:t xml:space="preserve">The final </w:t>
      </w:r>
      <w:r w:rsidR="00E42971" w:rsidRPr="00BD6FFE">
        <w:rPr>
          <w:rFonts w:ascii="Helvetica" w:hAnsi="Helvetica" w:cs="Times New Roman"/>
          <w:sz w:val="22"/>
          <w:szCs w:val="22"/>
        </w:rPr>
        <w:t xml:space="preserve">practical </w:t>
      </w:r>
      <w:r w:rsidRPr="00BD6FFE">
        <w:rPr>
          <w:rFonts w:ascii="Helvetica" w:hAnsi="Helvetica" w:cs="Times New Roman"/>
          <w:sz w:val="22"/>
          <w:szCs w:val="22"/>
        </w:rPr>
        <w:t xml:space="preserve">consideration we wish to highlight in this paper relates to the </w:t>
      </w:r>
      <w:r w:rsidRPr="00BD6FFE">
        <w:rPr>
          <w:rFonts w:ascii="Helvetica" w:hAnsi="Helvetica" w:cs="Times New Roman"/>
          <w:i/>
          <w:sz w:val="22"/>
          <w:szCs w:val="22"/>
        </w:rPr>
        <w:t>temporality</w:t>
      </w:r>
      <w:r w:rsidRPr="00BD6FFE">
        <w:rPr>
          <w:rFonts w:ascii="Helvetica" w:hAnsi="Helvetica" w:cs="Times New Roman"/>
          <w:sz w:val="22"/>
          <w:szCs w:val="22"/>
        </w:rPr>
        <w:t xml:space="preserve"> of policy mobilities research. Our combined experiences having undertaken research on both the ‘transfer’ and ‘translation’ of policies across jurisdictions suggests that the study of policy flows will necessarily reflect the temporal position of the researcher relative to the empirical phenomenon being studied. </w:t>
      </w:r>
      <w:r w:rsidR="00787A80">
        <w:rPr>
          <w:rFonts w:ascii="Helvetica" w:hAnsi="Helvetica" w:cs="Times New Roman"/>
          <w:sz w:val="22"/>
          <w:szCs w:val="22"/>
        </w:rPr>
        <w:t xml:space="preserve">Most research in this field has been predominantly retrospective. Occasionally, it involves some contemporaneous element: observing the development/spread of policies. In principle, prospective studies are also possible, if rarely undertaken. </w:t>
      </w:r>
      <w:r w:rsidR="003622BA">
        <w:rPr>
          <w:rFonts w:ascii="Helvetica" w:hAnsi="Helvetica" w:cs="Times New Roman"/>
          <w:sz w:val="22"/>
          <w:szCs w:val="22"/>
        </w:rPr>
        <w:t xml:space="preserve">Arguably, </w:t>
      </w:r>
      <w:r w:rsidRPr="00BD6FFE">
        <w:rPr>
          <w:rFonts w:ascii="Helvetica" w:hAnsi="Helvetica" w:cs="Times New Roman"/>
          <w:sz w:val="22"/>
          <w:szCs w:val="22"/>
        </w:rPr>
        <w:t>constructivist approaches</w:t>
      </w:r>
      <w:r w:rsidR="003622BA">
        <w:rPr>
          <w:rFonts w:ascii="Helvetica" w:hAnsi="Helvetica" w:cs="Times New Roman"/>
          <w:sz w:val="22"/>
          <w:szCs w:val="22"/>
        </w:rPr>
        <w:t>, which tend to</w:t>
      </w:r>
      <w:r w:rsidRPr="00BD6FFE">
        <w:rPr>
          <w:rFonts w:ascii="Helvetica" w:hAnsi="Helvetica" w:cs="Times New Roman"/>
          <w:sz w:val="22"/>
          <w:szCs w:val="22"/>
        </w:rPr>
        <w:t xml:space="preserve"> call for immersive and experiential accounts of policy translation that involve a researcher situating themselves within </w:t>
      </w:r>
      <w:r w:rsidR="00E42971" w:rsidRPr="00BD6FFE">
        <w:rPr>
          <w:rFonts w:ascii="Helvetica" w:hAnsi="Helvetica" w:cs="Times New Roman"/>
          <w:sz w:val="22"/>
          <w:szCs w:val="22"/>
        </w:rPr>
        <w:t>policy nodes</w:t>
      </w:r>
      <w:r w:rsidRPr="00BD6FFE">
        <w:rPr>
          <w:rFonts w:ascii="Helvetica" w:hAnsi="Helvetica" w:cs="Times New Roman"/>
          <w:sz w:val="22"/>
          <w:szCs w:val="22"/>
        </w:rPr>
        <w:t xml:space="preserve"> (access permitting, of course), </w:t>
      </w:r>
      <w:r w:rsidR="003622BA">
        <w:rPr>
          <w:rFonts w:ascii="Helvetica" w:hAnsi="Helvetica" w:cs="Times New Roman"/>
          <w:sz w:val="22"/>
          <w:szCs w:val="22"/>
        </w:rPr>
        <w:t xml:space="preserve">are best suited to contemporaneous forms of study. Not only is such embeddedness often difficult to organise and achieve, </w:t>
      </w:r>
      <w:r w:rsidRPr="00BD6FFE">
        <w:rPr>
          <w:rFonts w:ascii="Helvetica" w:hAnsi="Helvetica" w:cs="Times New Roman"/>
          <w:sz w:val="22"/>
          <w:szCs w:val="22"/>
        </w:rPr>
        <w:t xml:space="preserve">in some cases </w:t>
      </w:r>
      <w:r w:rsidR="003622BA">
        <w:rPr>
          <w:rFonts w:ascii="Helvetica" w:hAnsi="Helvetica" w:cs="Times New Roman"/>
          <w:sz w:val="22"/>
          <w:szCs w:val="22"/>
        </w:rPr>
        <w:t xml:space="preserve">it will </w:t>
      </w:r>
      <w:r w:rsidR="00EE77DF">
        <w:rPr>
          <w:rFonts w:ascii="Helvetica" w:hAnsi="Helvetica" w:cs="Times New Roman"/>
          <w:sz w:val="22"/>
          <w:szCs w:val="22"/>
        </w:rPr>
        <w:t xml:space="preserve">be </w:t>
      </w:r>
      <w:r w:rsidRPr="00BD6FFE">
        <w:rPr>
          <w:rFonts w:ascii="Helvetica" w:hAnsi="Helvetica" w:cs="Times New Roman"/>
          <w:sz w:val="22"/>
          <w:szCs w:val="22"/>
        </w:rPr>
        <w:t xml:space="preserve">inappropriate for addressing a set of research questions concerning the mobility of policies. </w:t>
      </w:r>
      <w:r w:rsidR="007A5425" w:rsidRPr="00BD6FFE">
        <w:rPr>
          <w:rFonts w:ascii="Helvetica" w:hAnsi="Helvetica" w:cs="Times New Roman"/>
          <w:sz w:val="22"/>
          <w:szCs w:val="22"/>
        </w:rPr>
        <w:t>First</w:t>
      </w:r>
      <w:r w:rsidRPr="00BD6FFE">
        <w:rPr>
          <w:rFonts w:ascii="Helvetica" w:hAnsi="Helvetica" w:cs="Times New Roman"/>
          <w:sz w:val="22"/>
          <w:szCs w:val="22"/>
        </w:rPr>
        <w:t xml:space="preserve">, the inevitable time-lag between the identification of a research problem and the commencement of fieldwork renders the prospect of studying policy mobilities in ‘real-time’ problematic. </w:t>
      </w:r>
      <w:r w:rsidR="00B813B0">
        <w:rPr>
          <w:rFonts w:ascii="Helvetica" w:hAnsi="Helvetica" w:cs="Times New Roman"/>
          <w:sz w:val="22"/>
          <w:szCs w:val="22"/>
        </w:rPr>
        <w:t xml:space="preserve">Second, </w:t>
      </w:r>
      <w:r w:rsidR="00DB6707">
        <w:rPr>
          <w:rFonts w:ascii="Helvetica" w:hAnsi="Helvetica" w:cs="Times New Roman"/>
          <w:sz w:val="22"/>
          <w:szCs w:val="22"/>
        </w:rPr>
        <w:t xml:space="preserve">the nature of the questions being asked will often require retrospective study, necessitating greater distance between the researcher and their object of study. </w:t>
      </w:r>
      <w:r w:rsidR="00EE77DF">
        <w:rPr>
          <w:rFonts w:ascii="Helvetica" w:hAnsi="Helvetica" w:cs="Times New Roman"/>
          <w:sz w:val="22"/>
          <w:szCs w:val="22"/>
        </w:rPr>
        <w:t xml:space="preserve">As such, issues of temporality are a good illustration of the ways in which </w:t>
      </w:r>
      <w:r w:rsidR="00FC0A79">
        <w:rPr>
          <w:rFonts w:ascii="Helvetica" w:hAnsi="Helvetica" w:cs="Times New Roman"/>
          <w:sz w:val="22"/>
          <w:szCs w:val="22"/>
        </w:rPr>
        <w:t xml:space="preserve">the ontological, epistemological and the practical are interrelated considerations. </w:t>
      </w:r>
    </w:p>
    <w:p w14:paraId="5EEF0BDD" w14:textId="77777777" w:rsidR="002D754A" w:rsidRPr="00BD6FFE" w:rsidRDefault="002D754A" w:rsidP="00BD6FFE">
      <w:pPr>
        <w:spacing w:line="480" w:lineRule="auto"/>
        <w:rPr>
          <w:rFonts w:ascii="Helvetica" w:hAnsi="Helvetica" w:cs="Times New Roman"/>
          <w:sz w:val="22"/>
          <w:szCs w:val="22"/>
        </w:rPr>
      </w:pPr>
    </w:p>
    <w:p w14:paraId="3B580A64" w14:textId="77777777" w:rsidR="007C556B" w:rsidRPr="00BD6FFE" w:rsidRDefault="007C556B" w:rsidP="00BD6FFE">
      <w:pPr>
        <w:spacing w:line="480" w:lineRule="auto"/>
        <w:rPr>
          <w:rFonts w:ascii="Helvetica" w:hAnsi="Helvetica" w:cs="Times New Roman"/>
          <w:sz w:val="22"/>
          <w:szCs w:val="22"/>
        </w:rPr>
      </w:pPr>
    </w:p>
    <w:p w14:paraId="5D782820" w14:textId="2340F133" w:rsidR="00276029" w:rsidRPr="00BD6FFE" w:rsidRDefault="002D754A" w:rsidP="00BD6FFE">
      <w:pPr>
        <w:spacing w:line="480" w:lineRule="auto"/>
        <w:rPr>
          <w:rFonts w:ascii="Helvetica" w:hAnsi="Helvetica" w:cs="Times New Roman"/>
          <w:sz w:val="22"/>
          <w:szCs w:val="22"/>
        </w:rPr>
      </w:pPr>
      <w:r w:rsidRPr="00BD6FFE">
        <w:rPr>
          <w:rFonts w:ascii="Helvetica" w:hAnsi="Helvetica" w:cs="Times New Roman"/>
          <w:i/>
          <w:sz w:val="22"/>
          <w:szCs w:val="22"/>
        </w:rPr>
        <w:t>Ethical Considerations</w:t>
      </w:r>
    </w:p>
    <w:p w14:paraId="43B61D5E" w14:textId="27438725" w:rsidR="002D754A" w:rsidRPr="00BD6FFE" w:rsidRDefault="002D754A" w:rsidP="00BD6FFE">
      <w:pPr>
        <w:spacing w:line="480" w:lineRule="auto"/>
        <w:rPr>
          <w:rFonts w:ascii="Helvetica" w:hAnsi="Helvetica" w:cs="Times New Roman"/>
          <w:sz w:val="22"/>
          <w:szCs w:val="22"/>
        </w:rPr>
      </w:pPr>
      <w:r w:rsidRPr="00BD6FFE">
        <w:rPr>
          <w:rFonts w:ascii="Helvetica" w:hAnsi="Helvetica" w:cs="Times New Roman"/>
          <w:sz w:val="22"/>
          <w:szCs w:val="22"/>
        </w:rPr>
        <w:t xml:space="preserve">Finally, </w:t>
      </w:r>
      <w:r w:rsidR="0008416E">
        <w:rPr>
          <w:rFonts w:ascii="Helvetica" w:hAnsi="Helvetica" w:cs="Times New Roman"/>
          <w:sz w:val="22"/>
          <w:szCs w:val="22"/>
        </w:rPr>
        <w:t xml:space="preserve">in addition to the ontological/epistemological and methodological/practical questions facing researchers concerned with policy movement, </w:t>
      </w:r>
      <w:r w:rsidR="00174F71" w:rsidRPr="00BD6FFE">
        <w:rPr>
          <w:rFonts w:ascii="Helvetica" w:hAnsi="Helvetica" w:cs="Times New Roman"/>
          <w:sz w:val="22"/>
          <w:szCs w:val="22"/>
        </w:rPr>
        <w:t xml:space="preserve">there are </w:t>
      </w:r>
      <w:r w:rsidR="0008416E">
        <w:rPr>
          <w:rFonts w:ascii="Helvetica" w:hAnsi="Helvetica" w:cs="Times New Roman"/>
          <w:sz w:val="22"/>
          <w:szCs w:val="22"/>
        </w:rPr>
        <w:t xml:space="preserve">also </w:t>
      </w:r>
      <w:r w:rsidR="00174F71" w:rsidRPr="00BD6FFE">
        <w:rPr>
          <w:rFonts w:ascii="Helvetica" w:hAnsi="Helvetica" w:cs="Times New Roman"/>
          <w:sz w:val="22"/>
          <w:szCs w:val="22"/>
        </w:rPr>
        <w:t>a number</w:t>
      </w:r>
      <w:r w:rsidRPr="00BD6FFE">
        <w:rPr>
          <w:rFonts w:ascii="Helvetica" w:hAnsi="Helvetica" w:cs="Times New Roman"/>
          <w:sz w:val="22"/>
          <w:szCs w:val="22"/>
        </w:rPr>
        <w:t xml:space="preserve"> of ethical issues </w:t>
      </w:r>
      <w:r w:rsidR="0008416E">
        <w:rPr>
          <w:rFonts w:ascii="Helvetica" w:hAnsi="Helvetica" w:cs="Times New Roman"/>
          <w:sz w:val="22"/>
          <w:szCs w:val="22"/>
        </w:rPr>
        <w:t xml:space="preserve">to be considered. </w:t>
      </w:r>
      <w:r w:rsidRPr="00BD6FFE">
        <w:rPr>
          <w:rFonts w:ascii="Helvetica" w:hAnsi="Helvetica" w:cs="Times New Roman"/>
          <w:sz w:val="22"/>
          <w:szCs w:val="22"/>
        </w:rPr>
        <w:t xml:space="preserve">These are arguably most pronounced </w:t>
      </w:r>
      <w:r w:rsidR="0008416E">
        <w:rPr>
          <w:rFonts w:ascii="Helvetica" w:hAnsi="Helvetica" w:cs="Times New Roman"/>
          <w:sz w:val="22"/>
          <w:szCs w:val="22"/>
        </w:rPr>
        <w:t>in</w:t>
      </w:r>
      <w:r w:rsidRPr="00BD6FFE">
        <w:rPr>
          <w:rFonts w:ascii="Helvetica" w:hAnsi="Helvetica" w:cs="Times New Roman"/>
          <w:sz w:val="22"/>
          <w:szCs w:val="22"/>
        </w:rPr>
        <w:t xml:space="preserve">, but not necessarily unique to, approaches that utilize ethnographic and participatory methods to study the assembling or translation of policies. Accordingly, these methodological approaches serve as the primary focus for this discussion. Our intention is not to dissuade criminologists from employing immersive approaches but rather, </w:t>
      </w:r>
      <w:r w:rsidR="00F5460C">
        <w:rPr>
          <w:rFonts w:ascii="Helvetica" w:hAnsi="Helvetica" w:cs="Times New Roman"/>
          <w:sz w:val="22"/>
          <w:szCs w:val="22"/>
        </w:rPr>
        <w:t>to</w:t>
      </w:r>
      <w:r w:rsidR="00F5460C" w:rsidRPr="00BD6FFE">
        <w:rPr>
          <w:rFonts w:ascii="Helvetica" w:hAnsi="Helvetica" w:cs="Times New Roman"/>
          <w:sz w:val="22"/>
          <w:szCs w:val="22"/>
        </w:rPr>
        <w:t xml:space="preserve"> </w:t>
      </w:r>
      <w:r w:rsidRPr="00BD6FFE">
        <w:rPr>
          <w:rFonts w:ascii="Helvetica" w:hAnsi="Helvetica" w:cs="Times New Roman"/>
          <w:sz w:val="22"/>
          <w:szCs w:val="22"/>
        </w:rPr>
        <w:t xml:space="preserve">draw attention to these issues in order to facilitate active and critical reflection about the risks and benefits of undertaking </w:t>
      </w:r>
      <w:r w:rsidR="00DD57AD" w:rsidRPr="00BD6FFE">
        <w:rPr>
          <w:rFonts w:ascii="Helvetica" w:hAnsi="Helvetica" w:cs="Times New Roman"/>
          <w:sz w:val="22"/>
          <w:szCs w:val="22"/>
        </w:rPr>
        <w:t xml:space="preserve">such </w:t>
      </w:r>
      <w:r w:rsidRPr="00BD6FFE">
        <w:rPr>
          <w:rFonts w:ascii="Helvetica" w:hAnsi="Helvetica" w:cs="Times New Roman"/>
          <w:sz w:val="22"/>
          <w:szCs w:val="22"/>
        </w:rPr>
        <w:t xml:space="preserve">research. </w:t>
      </w:r>
    </w:p>
    <w:p w14:paraId="3C9179AA" w14:textId="77777777" w:rsidR="002D4F5D" w:rsidRPr="00BD6FFE" w:rsidRDefault="002D4F5D" w:rsidP="00BD6FFE">
      <w:pPr>
        <w:spacing w:line="480" w:lineRule="auto"/>
        <w:rPr>
          <w:rFonts w:ascii="Helvetica" w:hAnsi="Helvetica" w:cs="Times New Roman"/>
          <w:sz w:val="22"/>
          <w:szCs w:val="22"/>
        </w:rPr>
      </w:pPr>
    </w:p>
    <w:p w14:paraId="33F5326B" w14:textId="5459418C" w:rsidR="002D754A" w:rsidRPr="00BD6FFE" w:rsidRDefault="002D754A" w:rsidP="00BD6FFE">
      <w:pPr>
        <w:spacing w:line="480" w:lineRule="auto"/>
        <w:rPr>
          <w:rFonts w:ascii="Helvetica" w:hAnsi="Helvetica" w:cs="Times New Roman"/>
          <w:sz w:val="22"/>
          <w:szCs w:val="22"/>
        </w:rPr>
      </w:pPr>
      <w:r w:rsidRPr="00BD6FFE">
        <w:rPr>
          <w:rFonts w:ascii="Helvetica" w:hAnsi="Helvetica" w:cs="Times New Roman"/>
          <w:sz w:val="22"/>
          <w:szCs w:val="22"/>
        </w:rPr>
        <w:t>As noted previously, interpretivist approaches prescribed by critical policy scholars generally necessitate access to key informants and institutional settings, both of which may have good reasons for restricting access and concealing their efforts to shape and influence poli</w:t>
      </w:r>
      <w:r w:rsidR="007C556B" w:rsidRPr="00BD6FFE">
        <w:rPr>
          <w:rFonts w:ascii="Helvetica" w:hAnsi="Helvetica" w:cs="Times New Roman"/>
          <w:sz w:val="22"/>
          <w:szCs w:val="22"/>
        </w:rPr>
        <w:t>cy making processes</w:t>
      </w:r>
      <w:r w:rsidRPr="00BD6FFE">
        <w:rPr>
          <w:rFonts w:ascii="Helvetica" w:hAnsi="Helvetica" w:cs="Times New Roman"/>
          <w:sz w:val="22"/>
          <w:szCs w:val="22"/>
        </w:rPr>
        <w:t xml:space="preserve">. To this effect, </w:t>
      </w:r>
      <w:proofErr w:type="spellStart"/>
      <w:r w:rsidRPr="00BD6FFE">
        <w:rPr>
          <w:rFonts w:ascii="Helvetica" w:hAnsi="Helvetica" w:cs="Times New Roman"/>
          <w:sz w:val="22"/>
          <w:szCs w:val="22"/>
        </w:rPr>
        <w:t>Blaustein</w:t>
      </w:r>
      <w:proofErr w:type="spellEnd"/>
      <w:r w:rsidRPr="00BD6FFE">
        <w:rPr>
          <w:rFonts w:ascii="Helvetica" w:hAnsi="Helvetica" w:cs="Times New Roman"/>
          <w:sz w:val="22"/>
          <w:szCs w:val="22"/>
        </w:rPr>
        <w:t xml:space="preserve"> (2015: 90) </w:t>
      </w:r>
      <w:r w:rsidR="00E6576E" w:rsidRPr="00BD6FFE">
        <w:rPr>
          <w:rFonts w:ascii="Helvetica" w:hAnsi="Helvetica" w:cs="Times New Roman"/>
          <w:sz w:val="22"/>
          <w:szCs w:val="22"/>
        </w:rPr>
        <w:t xml:space="preserve">suggests </w:t>
      </w:r>
      <w:r w:rsidRPr="00BD6FFE">
        <w:rPr>
          <w:rFonts w:ascii="Helvetica" w:hAnsi="Helvetica" w:cs="Times New Roman"/>
          <w:sz w:val="22"/>
          <w:szCs w:val="22"/>
        </w:rPr>
        <w:t>that ‘[a]</w:t>
      </w:r>
      <w:proofErr w:type="spellStart"/>
      <w:r w:rsidRPr="00BD6FFE">
        <w:rPr>
          <w:rFonts w:ascii="Helvetica" w:hAnsi="Helvetica" w:cs="Times New Roman"/>
          <w:sz w:val="22"/>
          <w:szCs w:val="22"/>
        </w:rPr>
        <w:t>llowing</w:t>
      </w:r>
      <w:proofErr w:type="spellEnd"/>
      <w:r w:rsidRPr="00BD6FFE">
        <w:rPr>
          <w:rFonts w:ascii="Helvetica" w:hAnsi="Helvetica" w:cs="Times New Roman"/>
          <w:sz w:val="22"/>
          <w:szCs w:val="22"/>
        </w:rPr>
        <w:t xml:space="preserve"> an outsider to access these spaces [or individuals] for the purpose of interpreting the activities and the discourses that influence policy meaning and content is potentially risky because this level of transparency has the potential to undermine the ability of the host institution to legitimate their participation in the policy translation process’. </w:t>
      </w:r>
      <w:r w:rsidR="00276029" w:rsidRPr="00BD6FFE">
        <w:rPr>
          <w:rFonts w:ascii="Helvetica" w:hAnsi="Helvetica" w:cs="Times New Roman"/>
          <w:sz w:val="22"/>
          <w:szCs w:val="22"/>
        </w:rPr>
        <w:t xml:space="preserve">Researchers should act in good faith when negotiating </w:t>
      </w:r>
      <w:r w:rsidRPr="00BD6FFE">
        <w:rPr>
          <w:rFonts w:ascii="Helvetica" w:hAnsi="Helvetica" w:cs="Times New Roman"/>
          <w:sz w:val="22"/>
          <w:szCs w:val="22"/>
        </w:rPr>
        <w:t>access to such settings and individuals</w:t>
      </w:r>
      <w:r w:rsidR="00C57672">
        <w:rPr>
          <w:rFonts w:ascii="Helvetica" w:hAnsi="Helvetica" w:cs="Times New Roman"/>
          <w:sz w:val="22"/>
          <w:szCs w:val="22"/>
        </w:rPr>
        <w:t xml:space="preserve">. Clearly, deception as to </w:t>
      </w:r>
      <w:r w:rsidR="00276029" w:rsidRPr="00BD6FFE">
        <w:rPr>
          <w:rFonts w:ascii="Helvetica" w:hAnsi="Helvetica" w:cs="Times New Roman"/>
          <w:sz w:val="22"/>
          <w:szCs w:val="22"/>
        </w:rPr>
        <w:t>the aims of the research</w:t>
      </w:r>
      <w:r w:rsidRPr="00BD6FFE">
        <w:rPr>
          <w:rFonts w:ascii="Helvetica" w:hAnsi="Helvetica" w:cs="Times New Roman"/>
          <w:sz w:val="22"/>
          <w:szCs w:val="22"/>
        </w:rPr>
        <w:t xml:space="preserve"> </w:t>
      </w:r>
      <w:r w:rsidR="00C57672">
        <w:rPr>
          <w:rFonts w:ascii="Helvetica" w:hAnsi="Helvetica" w:cs="Times New Roman"/>
          <w:sz w:val="22"/>
          <w:szCs w:val="22"/>
        </w:rPr>
        <w:t>likely</w:t>
      </w:r>
      <w:r w:rsidR="00C57672" w:rsidRPr="00BD6FFE">
        <w:rPr>
          <w:rFonts w:ascii="Helvetica" w:hAnsi="Helvetica" w:cs="Times New Roman"/>
          <w:sz w:val="22"/>
          <w:szCs w:val="22"/>
        </w:rPr>
        <w:t xml:space="preserve"> </w:t>
      </w:r>
      <w:r w:rsidRPr="00BD6FFE">
        <w:rPr>
          <w:rFonts w:ascii="Helvetica" w:hAnsi="Helvetica" w:cs="Times New Roman"/>
          <w:sz w:val="22"/>
          <w:szCs w:val="22"/>
        </w:rPr>
        <w:t>constitute</w:t>
      </w:r>
      <w:r w:rsidR="00C57672">
        <w:rPr>
          <w:rFonts w:ascii="Helvetica" w:hAnsi="Helvetica" w:cs="Times New Roman"/>
          <w:sz w:val="22"/>
          <w:szCs w:val="22"/>
        </w:rPr>
        <w:t>s</w:t>
      </w:r>
      <w:r w:rsidRPr="00BD6FFE">
        <w:rPr>
          <w:rFonts w:ascii="Helvetica" w:hAnsi="Helvetica" w:cs="Times New Roman"/>
          <w:sz w:val="22"/>
          <w:szCs w:val="22"/>
        </w:rPr>
        <w:t xml:space="preserve"> a significant ethical infraction. Specifically, it may amount to a breach of trust, a legal infraction (for example, a breach of a confidentiality or non-disclosure agreement), or create reputational damage for the researcher’s discipline that limits opportunities for other researchers study the institution or </w:t>
      </w:r>
      <w:r w:rsidRPr="00BD6FFE">
        <w:rPr>
          <w:rFonts w:ascii="Helvetica" w:hAnsi="Helvetica" w:cs="Times New Roman"/>
          <w:sz w:val="22"/>
          <w:szCs w:val="22"/>
        </w:rPr>
        <w:lastRenderedPageBreak/>
        <w:t xml:space="preserve">individuals in question (see Erikson 1967). In principle then, policy mobilities researchers must be </w:t>
      </w:r>
      <w:r w:rsidRPr="00BD6FFE">
        <w:rPr>
          <w:rFonts w:ascii="Helvetica" w:hAnsi="Helvetica" w:cs="Times New Roman"/>
          <w:i/>
          <w:sz w:val="22"/>
          <w:szCs w:val="22"/>
        </w:rPr>
        <w:t>relatively</w:t>
      </w:r>
      <w:r w:rsidRPr="00BD6FFE">
        <w:rPr>
          <w:rFonts w:ascii="Helvetica" w:hAnsi="Helvetica" w:cs="Times New Roman"/>
          <w:sz w:val="22"/>
          <w:szCs w:val="22"/>
        </w:rPr>
        <w:t xml:space="preserve"> open about </w:t>
      </w:r>
      <w:r w:rsidR="00276029" w:rsidRPr="00BD6FFE">
        <w:rPr>
          <w:rFonts w:ascii="Helvetica" w:hAnsi="Helvetica" w:cs="Times New Roman"/>
          <w:sz w:val="22"/>
          <w:szCs w:val="22"/>
        </w:rPr>
        <w:t>what they intend to study and how they intend to study it.</w:t>
      </w:r>
      <w:r w:rsidRPr="00BD6FFE">
        <w:rPr>
          <w:rFonts w:ascii="Helvetica" w:hAnsi="Helvetica" w:cs="Times New Roman"/>
          <w:sz w:val="22"/>
          <w:szCs w:val="22"/>
        </w:rPr>
        <w:t xml:space="preserve"> We place emphasis on ‘relatively’ because </w:t>
      </w:r>
      <w:r w:rsidR="00276029" w:rsidRPr="00BD6FFE">
        <w:rPr>
          <w:rFonts w:ascii="Helvetica" w:hAnsi="Helvetica" w:cs="Times New Roman"/>
          <w:sz w:val="22"/>
          <w:szCs w:val="22"/>
        </w:rPr>
        <w:t>the nature of the research may change as a consequence of one</w:t>
      </w:r>
      <w:r w:rsidR="00276029" w:rsidRPr="00B75768">
        <w:rPr>
          <w:rFonts w:ascii="Helvetica" w:eastAsia="Helvetica" w:hAnsi="Helvetica" w:cs="Helvetica"/>
          <w:sz w:val="22"/>
          <w:szCs w:val="22"/>
        </w:rPr>
        <w:t>’</w:t>
      </w:r>
      <w:r w:rsidR="00276029" w:rsidRPr="00BD6FFE">
        <w:rPr>
          <w:rFonts w:ascii="Helvetica" w:hAnsi="Helvetica" w:cs="Times New Roman"/>
          <w:sz w:val="22"/>
          <w:szCs w:val="22"/>
        </w:rPr>
        <w:t xml:space="preserve">s findings and their incremental exposure to the field. Similarly, </w:t>
      </w:r>
      <w:r w:rsidRPr="00BD6FFE">
        <w:rPr>
          <w:rFonts w:ascii="Helvetica" w:hAnsi="Helvetica" w:cs="Times New Roman"/>
          <w:sz w:val="22"/>
          <w:szCs w:val="22"/>
        </w:rPr>
        <w:t xml:space="preserve">Stubbs (2015: 67) argues that full transparency is unrealistic </w:t>
      </w:r>
      <w:r w:rsidR="00276029" w:rsidRPr="00BD6FFE">
        <w:rPr>
          <w:rFonts w:ascii="Helvetica" w:hAnsi="Helvetica" w:cs="Times New Roman"/>
          <w:sz w:val="22"/>
          <w:szCs w:val="22"/>
        </w:rPr>
        <w:t>because</w:t>
      </w:r>
      <w:r w:rsidR="00E6576E" w:rsidRPr="00BD6FFE">
        <w:rPr>
          <w:rFonts w:ascii="Helvetica" w:hAnsi="Helvetica" w:cs="Times New Roman"/>
          <w:sz w:val="22"/>
          <w:szCs w:val="22"/>
        </w:rPr>
        <w:t xml:space="preserve"> the</w:t>
      </w:r>
      <w:r w:rsidRPr="00BD6FFE">
        <w:rPr>
          <w:rFonts w:ascii="Helvetica" w:hAnsi="Helvetica" w:cs="Times New Roman"/>
          <w:sz w:val="22"/>
          <w:szCs w:val="22"/>
        </w:rPr>
        <w:t xml:space="preserve"> researcher may be unaware of the significance of their data and its critical implications until they have left the setting in question and had an opportunity to reflect on the experience. </w:t>
      </w:r>
    </w:p>
    <w:p w14:paraId="609C0D88" w14:textId="77777777" w:rsidR="002D4F5D" w:rsidRPr="00BD6FFE" w:rsidRDefault="002D4F5D" w:rsidP="00BD6FFE">
      <w:pPr>
        <w:spacing w:line="480" w:lineRule="auto"/>
        <w:rPr>
          <w:rFonts w:ascii="Helvetica" w:hAnsi="Helvetica" w:cs="Times New Roman"/>
          <w:sz w:val="22"/>
          <w:szCs w:val="22"/>
        </w:rPr>
      </w:pPr>
    </w:p>
    <w:p w14:paraId="5DC0125D" w14:textId="018AB915" w:rsidR="002D754A" w:rsidRPr="00BD6FFE" w:rsidRDefault="002D754A" w:rsidP="00BD6FFE">
      <w:pPr>
        <w:spacing w:line="480" w:lineRule="auto"/>
        <w:rPr>
          <w:rFonts w:ascii="Helvetica" w:hAnsi="Helvetica" w:cs="Times New Roman"/>
          <w:sz w:val="22"/>
          <w:szCs w:val="22"/>
        </w:rPr>
      </w:pPr>
      <w:r w:rsidRPr="00BD6FFE">
        <w:rPr>
          <w:rFonts w:ascii="Helvetica" w:hAnsi="Helvetica" w:cs="Times New Roman"/>
          <w:sz w:val="22"/>
          <w:szCs w:val="22"/>
        </w:rPr>
        <w:t xml:space="preserve">The process of negotiating access can also require the researcher to make methodological compromises that have ethical implications. </w:t>
      </w:r>
      <w:r w:rsidR="00E6576E" w:rsidRPr="00BD6FFE">
        <w:rPr>
          <w:rFonts w:ascii="Helvetica" w:hAnsi="Helvetica" w:cs="Times New Roman"/>
          <w:sz w:val="22"/>
          <w:szCs w:val="22"/>
        </w:rPr>
        <w:t>To begin with</w:t>
      </w:r>
      <w:r w:rsidRPr="00BD6FFE">
        <w:rPr>
          <w:rFonts w:ascii="Helvetica" w:hAnsi="Helvetica" w:cs="Times New Roman"/>
          <w:sz w:val="22"/>
          <w:szCs w:val="22"/>
        </w:rPr>
        <w:t xml:space="preserve">, being granted formal access to a policy site rarely means complete or unrestricted access. Institutional gatekeepers in particular may therefore restrict access to certain participants and policy making settings, thereby limiting the ability of researchers to accurately or comprehensively document politically sensitive events or participant narratives. Agencies involved with policy making, be </w:t>
      </w:r>
      <w:r w:rsidR="002D4F5D" w:rsidRPr="00BD6FFE">
        <w:rPr>
          <w:rFonts w:ascii="Helvetica" w:hAnsi="Helvetica" w:cs="Times New Roman"/>
          <w:sz w:val="22"/>
          <w:szCs w:val="22"/>
        </w:rPr>
        <w:t xml:space="preserve">they national or international, </w:t>
      </w:r>
      <w:r w:rsidRPr="00BD6FFE">
        <w:rPr>
          <w:rFonts w:ascii="Helvetica" w:hAnsi="Helvetica" w:cs="Times New Roman"/>
          <w:sz w:val="22"/>
          <w:szCs w:val="22"/>
        </w:rPr>
        <w:t>might also insist that researchers provide them with advance copies of their field notes and publications for review and redaction. Both of these possibilities may ultimately impact how researchers interpret and reproduce assembling and disassembling processes and this may skew their findings and conclusions. This is to say that researchers should continuously reflect upon the nature of their access arrangements and</w:t>
      </w:r>
      <w:r w:rsidR="002D4F5D" w:rsidRPr="00BD6FFE">
        <w:rPr>
          <w:rFonts w:ascii="Helvetica" w:hAnsi="Helvetica" w:cs="Times New Roman"/>
          <w:sz w:val="22"/>
          <w:szCs w:val="22"/>
        </w:rPr>
        <w:t xml:space="preserve"> their</w:t>
      </w:r>
      <w:r w:rsidRPr="00BD6FFE">
        <w:rPr>
          <w:rFonts w:ascii="Helvetica" w:hAnsi="Helvetica" w:cs="Times New Roman"/>
          <w:sz w:val="22"/>
          <w:szCs w:val="22"/>
        </w:rPr>
        <w:t xml:space="preserve"> positionality in relation to the object of study and assembling agents in order to protect the autonomy and the integrity of their research.  </w:t>
      </w:r>
    </w:p>
    <w:p w14:paraId="2C8D7292" w14:textId="77777777" w:rsidR="002D4F5D" w:rsidRPr="00BD6FFE" w:rsidRDefault="002D4F5D" w:rsidP="00BD6FFE">
      <w:pPr>
        <w:spacing w:line="480" w:lineRule="auto"/>
        <w:rPr>
          <w:rFonts w:ascii="Helvetica" w:hAnsi="Helvetica" w:cs="Times New Roman"/>
          <w:sz w:val="22"/>
          <w:szCs w:val="22"/>
        </w:rPr>
      </w:pPr>
    </w:p>
    <w:p w14:paraId="6E2330A5" w14:textId="17092D87" w:rsidR="005E1E4C" w:rsidRPr="00BD6FFE" w:rsidRDefault="002D754A" w:rsidP="00BD6FFE">
      <w:pPr>
        <w:spacing w:line="480" w:lineRule="auto"/>
        <w:rPr>
          <w:rFonts w:ascii="Helvetica" w:hAnsi="Helvetica" w:cs="Times New Roman"/>
          <w:sz w:val="22"/>
          <w:szCs w:val="22"/>
        </w:rPr>
      </w:pPr>
      <w:r w:rsidRPr="00BD6FFE">
        <w:rPr>
          <w:rFonts w:ascii="Helvetica" w:hAnsi="Helvetica" w:cs="Times New Roman"/>
          <w:sz w:val="22"/>
          <w:szCs w:val="22"/>
        </w:rPr>
        <w:t xml:space="preserve">The politics of research on cross-national policy movements are also worth considering. The approaches discussed at the start of this article embody different </w:t>
      </w:r>
      <w:r w:rsidRPr="00BD6FFE">
        <w:rPr>
          <w:rFonts w:ascii="Helvetica" w:hAnsi="Helvetica" w:cs="Times New Roman"/>
          <w:sz w:val="22"/>
          <w:szCs w:val="22"/>
        </w:rPr>
        <w:lastRenderedPageBreak/>
        <w:t xml:space="preserve">normative objectives that range from enhancing the capacity of policy actors to address particular policy issues to interrogating the politics of policy mobilities in order to challenge or resist what are viewed as harmful or problematic agendas. There is of course no consensus about what constitutes a harmful or problematic policy agenda but the researcher should nonetheless consider the values underpinning the object of study as it is being assembled or </w:t>
      </w:r>
      <w:proofErr w:type="spellStart"/>
      <w:r w:rsidRPr="00BD6FFE">
        <w:rPr>
          <w:rFonts w:ascii="Helvetica" w:hAnsi="Helvetica" w:cs="Times New Roman"/>
          <w:sz w:val="22"/>
          <w:szCs w:val="22"/>
        </w:rPr>
        <w:t>diss</w:t>
      </w:r>
      <w:r w:rsidR="00DA71EC" w:rsidRPr="00BD6FFE">
        <w:rPr>
          <w:rFonts w:ascii="Helvetica" w:hAnsi="Helvetica" w:cs="Times New Roman"/>
          <w:sz w:val="22"/>
          <w:szCs w:val="22"/>
        </w:rPr>
        <w:t>ass</w:t>
      </w:r>
      <w:r w:rsidRPr="00BD6FFE">
        <w:rPr>
          <w:rFonts w:ascii="Helvetica" w:hAnsi="Helvetica" w:cs="Times New Roman"/>
          <w:sz w:val="22"/>
          <w:szCs w:val="22"/>
        </w:rPr>
        <w:t>embled</w:t>
      </w:r>
      <w:proofErr w:type="spellEnd"/>
      <w:r w:rsidRPr="00BD6FFE">
        <w:rPr>
          <w:rFonts w:ascii="Helvetica" w:hAnsi="Helvetica" w:cs="Times New Roman"/>
          <w:sz w:val="22"/>
          <w:szCs w:val="22"/>
        </w:rPr>
        <w:t xml:space="preserve"> along with its normative implications in relation to wider issues such as justice, equality and security. This is consistent with Amy’s (1984) argument that from a democratic standpoint, an important contribution of policy analysis is to improve the quality of policymaking processes and the political decisions they generate.</w:t>
      </w:r>
    </w:p>
    <w:p w14:paraId="4A244327" w14:textId="77777777" w:rsidR="00E36434" w:rsidRPr="00BD6FFE" w:rsidRDefault="00E36434" w:rsidP="00BD6FFE">
      <w:pPr>
        <w:spacing w:line="480" w:lineRule="auto"/>
        <w:rPr>
          <w:rFonts w:ascii="Helvetica" w:hAnsi="Helvetica" w:cs="Times New Roman"/>
          <w:sz w:val="22"/>
          <w:szCs w:val="22"/>
        </w:rPr>
      </w:pPr>
    </w:p>
    <w:p w14:paraId="2546B817" w14:textId="562459F3" w:rsidR="00315A52" w:rsidRPr="00BD6FFE" w:rsidRDefault="002D754A" w:rsidP="00B75768">
      <w:pPr>
        <w:spacing w:line="480" w:lineRule="auto"/>
        <w:rPr>
          <w:rFonts w:ascii="Helvetica" w:hAnsi="Helvetica" w:cs="Times New Roman"/>
          <w:sz w:val="22"/>
          <w:szCs w:val="22"/>
        </w:rPr>
      </w:pPr>
      <w:r w:rsidRPr="00BD6FFE">
        <w:rPr>
          <w:rFonts w:ascii="Helvetica" w:hAnsi="Helvetica" w:cs="Times New Roman"/>
          <w:b/>
          <w:sz w:val="22"/>
          <w:szCs w:val="22"/>
        </w:rPr>
        <w:t>Conclusion</w:t>
      </w:r>
    </w:p>
    <w:p w14:paraId="5862ACA8" w14:textId="509FC1D6" w:rsidR="00CA32B9" w:rsidRDefault="00A36D8F" w:rsidP="00BD6FFE">
      <w:pPr>
        <w:spacing w:line="480" w:lineRule="auto"/>
        <w:rPr>
          <w:rFonts w:ascii="Helvetica" w:hAnsi="Helvetica" w:cs="Times New Roman"/>
          <w:sz w:val="22"/>
          <w:szCs w:val="22"/>
        </w:rPr>
      </w:pPr>
      <w:r w:rsidRPr="00BD6FFE">
        <w:rPr>
          <w:rFonts w:ascii="Helvetica" w:hAnsi="Helvetica" w:cs="Times New Roman"/>
          <w:sz w:val="22"/>
          <w:szCs w:val="22"/>
        </w:rPr>
        <w:t xml:space="preserve">In this paper, we have </w:t>
      </w:r>
      <w:r w:rsidR="00310C5A">
        <w:rPr>
          <w:rFonts w:ascii="Helvetica" w:hAnsi="Helvetica" w:cs="Times New Roman"/>
          <w:sz w:val="22"/>
          <w:szCs w:val="22"/>
        </w:rPr>
        <w:t>responded</w:t>
      </w:r>
      <w:r w:rsidR="00E735C4">
        <w:rPr>
          <w:rFonts w:ascii="Helvetica" w:hAnsi="Helvetica" w:cs="Times New Roman"/>
          <w:sz w:val="22"/>
          <w:szCs w:val="22"/>
        </w:rPr>
        <w:t xml:space="preserve"> to </w:t>
      </w:r>
      <w:r w:rsidR="00D03A5D">
        <w:rPr>
          <w:rFonts w:ascii="Helvetica" w:hAnsi="Helvetica" w:cs="Times New Roman"/>
          <w:sz w:val="22"/>
          <w:szCs w:val="22"/>
        </w:rPr>
        <w:t xml:space="preserve">Michael </w:t>
      </w:r>
      <w:proofErr w:type="spellStart"/>
      <w:r w:rsidR="00D03A5D">
        <w:rPr>
          <w:rFonts w:ascii="Helvetica" w:hAnsi="Helvetica" w:cs="Times New Roman"/>
          <w:sz w:val="22"/>
          <w:szCs w:val="22"/>
        </w:rPr>
        <w:t>Tonry’s</w:t>
      </w:r>
      <w:proofErr w:type="spellEnd"/>
      <w:r w:rsidR="00D03A5D">
        <w:rPr>
          <w:rFonts w:ascii="Helvetica" w:hAnsi="Helvetica" w:cs="Times New Roman"/>
          <w:sz w:val="22"/>
          <w:szCs w:val="22"/>
        </w:rPr>
        <w:t xml:space="preserve"> (2015)</w:t>
      </w:r>
      <w:r w:rsidR="00E735C4">
        <w:rPr>
          <w:rFonts w:ascii="Helvetica" w:hAnsi="Helvetica" w:cs="Times New Roman"/>
          <w:sz w:val="22"/>
          <w:szCs w:val="22"/>
        </w:rPr>
        <w:t xml:space="preserve"> call for ‘serious attention’ to the issue of policy transfer </w:t>
      </w:r>
      <w:r w:rsidR="00310C5A">
        <w:rPr>
          <w:rFonts w:ascii="Helvetica" w:hAnsi="Helvetica" w:cs="Times New Roman"/>
          <w:sz w:val="22"/>
          <w:szCs w:val="22"/>
        </w:rPr>
        <w:t xml:space="preserve">and related topics </w:t>
      </w:r>
      <w:r w:rsidR="00E735C4">
        <w:rPr>
          <w:rFonts w:ascii="Helvetica" w:hAnsi="Helvetica" w:cs="Times New Roman"/>
          <w:sz w:val="22"/>
          <w:szCs w:val="22"/>
        </w:rPr>
        <w:t>in</w:t>
      </w:r>
      <w:r w:rsidR="00D03A5D">
        <w:rPr>
          <w:rFonts w:ascii="Helvetica" w:hAnsi="Helvetica" w:cs="Times New Roman"/>
          <w:sz w:val="22"/>
          <w:szCs w:val="22"/>
        </w:rPr>
        <w:t xml:space="preserve"> comparative criminology. We </w:t>
      </w:r>
      <w:r w:rsidR="00310C5A">
        <w:rPr>
          <w:rFonts w:ascii="Helvetica" w:hAnsi="Helvetica" w:cs="Times New Roman"/>
          <w:sz w:val="22"/>
          <w:szCs w:val="22"/>
        </w:rPr>
        <w:t>agree with him</w:t>
      </w:r>
      <w:r w:rsidR="00D03A5D">
        <w:rPr>
          <w:rFonts w:ascii="Helvetica" w:hAnsi="Helvetica" w:cs="Times New Roman"/>
          <w:sz w:val="22"/>
          <w:szCs w:val="22"/>
        </w:rPr>
        <w:t xml:space="preserve"> that this is an important but relatively under-studied part of comparative criminological research and argue that in part this is due to a lack of methodological clarity about how in practice such research might be conducted. </w:t>
      </w:r>
      <w:r w:rsidR="00C6269E">
        <w:rPr>
          <w:rFonts w:ascii="Helvetica" w:hAnsi="Helvetica" w:cs="Times New Roman"/>
          <w:sz w:val="22"/>
          <w:szCs w:val="22"/>
        </w:rPr>
        <w:t>In doing so, we have drawn attention to conceptual and methodological approaches that have developed within the burgeoning ‘critical policy studies’ literature (primarily in human geography)</w:t>
      </w:r>
      <w:r w:rsidR="007A67DF">
        <w:rPr>
          <w:rFonts w:ascii="Helvetica" w:hAnsi="Helvetica" w:cs="Times New Roman"/>
          <w:sz w:val="22"/>
          <w:szCs w:val="22"/>
        </w:rPr>
        <w:t xml:space="preserve"> which </w:t>
      </w:r>
      <w:r w:rsidR="00F03465">
        <w:rPr>
          <w:rFonts w:ascii="Helvetica" w:hAnsi="Helvetica" w:cs="Times New Roman"/>
          <w:sz w:val="22"/>
          <w:szCs w:val="22"/>
        </w:rPr>
        <w:t xml:space="preserve">provoke serious questioning of such matters and which, </w:t>
      </w:r>
      <w:r w:rsidR="007A67DF">
        <w:rPr>
          <w:rFonts w:ascii="Helvetica" w:hAnsi="Helvetica" w:cs="Times New Roman"/>
          <w:sz w:val="22"/>
          <w:szCs w:val="22"/>
        </w:rPr>
        <w:t>we feel</w:t>
      </w:r>
      <w:r w:rsidR="00F03465">
        <w:rPr>
          <w:rFonts w:ascii="Helvetica" w:hAnsi="Helvetica" w:cs="Times New Roman"/>
          <w:sz w:val="22"/>
          <w:szCs w:val="22"/>
        </w:rPr>
        <w:t>,</w:t>
      </w:r>
      <w:r w:rsidR="007A67DF">
        <w:rPr>
          <w:rFonts w:ascii="Helvetica" w:hAnsi="Helvetica" w:cs="Times New Roman"/>
          <w:sz w:val="22"/>
          <w:szCs w:val="22"/>
        </w:rPr>
        <w:t xml:space="preserve"> provide a number of </w:t>
      </w:r>
      <w:r w:rsidR="00397FBF">
        <w:rPr>
          <w:rFonts w:ascii="Helvetica" w:hAnsi="Helvetica" w:cs="Times New Roman"/>
          <w:sz w:val="22"/>
          <w:szCs w:val="22"/>
        </w:rPr>
        <w:t xml:space="preserve">methodological </w:t>
      </w:r>
      <w:r w:rsidR="007A67DF">
        <w:rPr>
          <w:rFonts w:ascii="Helvetica" w:hAnsi="Helvetica" w:cs="Times New Roman"/>
          <w:sz w:val="22"/>
          <w:szCs w:val="22"/>
        </w:rPr>
        <w:t>templates for criminologists interested in doing work of this kind.</w:t>
      </w:r>
      <w:r w:rsidR="00C6269E">
        <w:rPr>
          <w:rFonts w:ascii="Helvetica" w:hAnsi="Helvetica" w:cs="Times New Roman"/>
          <w:sz w:val="22"/>
          <w:szCs w:val="22"/>
        </w:rPr>
        <w:t xml:space="preserve"> </w:t>
      </w:r>
      <w:r w:rsidR="00D03A5D">
        <w:rPr>
          <w:rFonts w:ascii="Helvetica" w:hAnsi="Helvetica" w:cs="Times New Roman"/>
          <w:sz w:val="22"/>
          <w:szCs w:val="22"/>
        </w:rPr>
        <w:t xml:space="preserve">Whilst </w:t>
      </w:r>
      <w:r w:rsidR="004C39BE">
        <w:rPr>
          <w:rFonts w:ascii="Helvetica" w:hAnsi="Helvetica" w:cs="Times New Roman"/>
          <w:sz w:val="22"/>
          <w:szCs w:val="22"/>
        </w:rPr>
        <w:t xml:space="preserve">a number </w:t>
      </w:r>
      <w:r w:rsidR="00D03A5D">
        <w:rPr>
          <w:rFonts w:ascii="Helvetica" w:hAnsi="Helvetica" w:cs="Times New Roman"/>
          <w:sz w:val="22"/>
          <w:szCs w:val="22"/>
        </w:rPr>
        <w:t xml:space="preserve">of the </w:t>
      </w:r>
      <w:r w:rsidR="004C39BE">
        <w:rPr>
          <w:rFonts w:ascii="Helvetica" w:hAnsi="Helvetica" w:cs="Times New Roman"/>
          <w:sz w:val="22"/>
          <w:szCs w:val="22"/>
        </w:rPr>
        <w:t xml:space="preserve">pioneering studies of crime control ‘policy transfer’ </w:t>
      </w:r>
      <w:r w:rsidR="00D03A5D">
        <w:rPr>
          <w:rFonts w:ascii="Helvetica" w:hAnsi="Helvetica" w:cs="Times New Roman"/>
          <w:sz w:val="22"/>
          <w:szCs w:val="22"/>
        </w:rPr>
        <w:t xml:space="preserve">adopted a qualitative case study approach informed by the frameworks of orthodox political science, </w:t>
      </w:r>
      <w:r w:rsidR="004C39BE">
        <w:rPr>
          <w:rFonts w:ascii="Helvetica" w:hAnsi="Helvetica" w:cs="Times New Roman"/>
          <w:sz w:val="22"/>
          <w:szCs w:val="22"/>
        </w:rPr>
        <w:t xml:space="preserve">some more recent studies have adopted a range of additional approaches which constitute a fruitful extension of the field. </w:t>
      </w:r>
      <w:r w:rsidR="00D03A5D">
        <w:rPr>
          <w:rFonts w:ascii="Helvetica" w:hAnsi="Helvetica" w:cs="Times New Roman"/>
          <w:sz w:val="22"/>
          <w:szCs w:val="22"/>
        </w:rPr>
        <w:t xml:space="preserve"> </w:t>
      </w:r>
      <w:r w:rsidR="006626E0">
        <w:rPr>
          <w:rFonts w:ascii="Helvetica" w:hAnsi="Helvetica" w:cs="Times New Roman"/>
          <w:sz w:val="22"/>
          <w:szCs w:val="22"/>
        </w:rPr>
        <w:t>Although</w:t>
      </w:r>
      <w:r w:rsidR="00D03A5D">
        <w:rPr>
          <w:rFonts w:ascii="Helvetica" w:hAnsi="Helvetica" w:cs="Times New Roman"/>
          <w:sz w:val="22"/>
          <w:szCs w:val="22"/>
        </w:rPr>
        <w:t xml:space="preserve"> in practice, ‘following the policy’ via multi-site ethnography as proposed by </w:t>
      </w:r>
      <w:r w:rsidR="00D03A5D">
        <w:rPr>
          <w:rFonts w:ascii="Helvetica" w:hAnsi="Helvetica" w:cs="Times New Roman"/>
          <w:sz w:val="22"/>
          <w:szCs w:val="22"/>
        </w:rPr>
        <w:lastRenderedPageBreak/>
        <w:t xml:space="preserve">critical policy studies scholars may be </w:t>
      </w:r>
      <w:r w:rsidR="004C39BE">
        <w:rPr>
          <w:rFonts w:ascii="Helvetica" w:hAnsi="Helvetica" w:cs="Times New Roman"/>
          <w:sz w:val="22"/>
          <w:szCs w:val="22"/>
        </w:rPr>
        <w:t>highly challenging</w:t>
      </w:r>
      <w:r w:rsidR="00D03A5D">
        <w:rPr>
          <w:rFonts w:ascii="Helvetica" w:hAnsi="Helvetica" w:cs="Times New Roman"/>
          <w:sz w:val="22"/>
          <w:szCs w:val="22"/>
        </w:rPr>
        <w:t xml:space="preserve"> to implement, elements of such approaches could </w:t>
      </w:r>
      <w:r w:rsidR="00951B70">
        <w:rPr>
          <w:rFonts w:ascii="Helvetica" w:hAnsi="Helvetica" w:cs="Times New Roman"/>
          <w:sz w:val="22"/>
          <w:szCs w:val="22"/>
        </w:rPr>
        <w:t xml:space="preserve">be a useful addition to the study of </w:t>
      </w:r>
      <w:r w:rsidR="00D03A5D">
        <w:rPr>
          <w:rFonts w:ascii="Helvetica" w:hAnsi="Helvetica" w:cs="Times New Roman"/>
          <w:sz w:val="22"/>
          <w:szCs w:val="22"/>
        </w:rPr>
        <w:t xml:space="preserve">the nature, processes and impacts of </w:t>
      </w:r>
      <w:r w:rsidR="00310C5A">
        <w:rPr>
          <w:rFonts w:ascii="Helvetica" w:hAnsi="Helvetica" w:cs="Times New Roman"/>
          <w:sz w:val="22"/>
          <w:szCs w:val="22"/>
        </w:rPr>
        <w:t>cross</w:t>
      </w:r>
      <w:r w:rsidR="000A1533">
        <w:rPr>
          <w:rFonts w:ascii="Helvetica" w:hAnsi="Helvetica" w:cs="Times New Roman"/>
          <w:sz w:val="22"/>
          <w:szCs w:val="22"/>
        </w:rPr>
        <w:t>-</w:t>
      </w:r>
      <w:r w:rsidR="00310C5A">
        <w:rPr>
          <w:rFonts w:ascii="Helvetica" w:hAnsi="Helvetica" w:cs="Times New Roman"/>
          <w:sz w:val="22"/>
          <w:szCs w:val="22"/>
        </w:rPr>
        <w:t xml:space="preserve">national </w:t>
      </w:r>
      <w:r w:rsidR="00D03A5D">
        <w:rPr>
          <w:rFonts w:ascii="Helvetica" w:hAnsi="Helvetica" w:cs="Times New Roman"/>
          <w:sz w:val="22"/>
          <w:szCs w:val="22"/>
        </w:rPr>
        <w:t xml:space="preserve">crime policy </w:t>
      </w:r>
      <w:r w:rsidR="00310C5A">
        <w:rPr>
          <w:rFonts w:ascii="Helvetica" w:hAnsi="Helvetica" w:cs="Times New Roman"/>
          <w:sz w:val="22"/>
          <w:szCs w:val="22"/>
        </w:rPr>
        <w:t>movement</w:t>
      </w:r>
      <w:r w:rsidR="00D03A5D">
        <w:rPr>
          <w:rFonts w:ascii="Helvetica" w:hAnsi="Helvetica" w:cs="Times New Roman"/>
          <w:sz w:val="22"/>
          <w:szCs w:val="22"/>
        </w:rPr>
        <w:t xml:space="preserve">. </w:t>
      </w:r>
    </w:p>
    <w:p w14:paraId="31B31B87" w14:textId="77777777" w:rsidR="00CA32B9" w:rsidRDefault="00CA32B9" w:rsidP="00BD6FFE">
      <w:pPr>
        <w:spacing w:line="480" w:lineRule="auto"/>
        <w:rPr>
          <w:rFonts w:ascii="Helvetica" w:hAnsi="Helvetica" w:cs="Times New Roman"/>
          <w:sz w:val="22"/>
          <w:szCs w:val="22"/>
        </w:rPr>
      </w:pPr>
    </w:p>
    <w:p w14:paraId="08872F61" w14:textId="11FFAD18" w:rsidR="00CA32B9" w:rsidRDefault="00CA32B9" w:rsidP="00BD6FFE">
      <w:pPr>
        <w:spacing w:line="480" w:lineRule="auto"/>
        <w:rPr>
          <w:rFonts w:ascii="Helvetica" w:hAnsi="Helvetica" w:cs="Times New Roman"/>
          <w:sz w:val="22"/>
          <w:szCs w:val="22"/>
        </w:rPr>
      </w:pPr>
      <w:r>
        <w:rPr>
          <w:rFonts w:ascii="Helvetica" w:hAnsi="Helvetica" w:cs="Times New Roman"/>
          <w:sz w:val="22"/>
          <w:szCs w:val="22"/>
        </w:rPr>
        <w:t xml:space="preserve">We are aware that the issues discussed here raise, implicitly at least, </w:t>
      </w:r>
      <w:r w:rsidR="006626E0">
        <w:rPr>
          <w:rFonts w:ascii="Helvetica" w:hAnsi="Helvetica" w:cs="Times New Roman"/>
          <w:sz w:val="22"/>
          <w:szCs w:val="22"/>
        </w:rPr>
        <w:t>the interesting question of what, if anything, might be distinctive about crime control policy mobilities, compared with similar phenomena in other policy ‘fields’ such as education, transport or health</w:t>
      </w:r>
      <w:r w:rsidR="00582344">
        <w:rPr>
          <w:rStyle w:val="FootnoteReference"/>
          <w:rFonts w:ascii="Helvetica" w:hAnsi="Helvetica" w:cs="Times New Roman"/>
          <w:sz w:val="22"/>
          <w:szCs w:val="22"/>
        </w:rPr>
        <w:footnoteReference w:id="5"/>
      </w:r>
      <w:r w:rsidR="006626E0">
        <w:rPr>
          <w:rFonts w:ascii="Helvetica" w:hAnsi="Helvetica" w:cs="Times New Roman"/>
          <w:sz w:val="22"/>
          <w:szCs w:val="22"/>
        </w:rPr>
        <w:t xml:space="preserve">. </w:t>
      </w:r>
      <w:r>
        <w:rPr>
          <w:rFonts w:ascii="Helvetica" w:hAnsi="Helvetica" w:cs="Times New Roman"/>
          <w:sz w:val="22"/>
          <w:szCs w:val="22"/>
        </w:rPr>
        <w:t>There is not the space here to do more than offer some brief speculative thoughts, but it seems clear that the political climate within which crime control policy has been undertaken in many liberal democracies in recent decades is one likely distinguishing feature. The</w:t>
      </w:r>
      <w:r w:rsidR="006626E0">
        <w:rPr>
          <w:rFonts w:ascii="Helvetica" w:hAnsi="Helvetica" w:cs="Times New Roman"/>
          <w:sz w:val="22"/>
          <w:szCs w:val="22"/>
        </w:rPr>
        <w:t xml:space="preserve"> emotive</w:t>
      </w:r>
      <w:r w:rsidR="00211395">
        <w:rPr>
          <w:rFonts w:ascii="Helvetica" w:hAnsi="Helvetica" w:cs="Times New Roman"/>
          <w:sz w:val="22"/>
          <w:szCs w:val="22"/>
        </w:rPr>
        <w:t xml:space="preserve"> and punitive</w:t>
      </w:r>
      <w:r w:rsidR="006626E0">
        <w:rPr>
          <w:rFonts w:ascii="Helvetica" w:hAnsi="Helvetica" w:cs="Times New Roman"/>
          <w:sz w:val="22"/>
          <w:szCs w:val="22"/>
        </w:rPr>
        <w:t xml:space="preserve"> </w:t>
      </w:r>
      <w:r w:rsidR="00211395">
        <w:rPr>
          <w:rFonts w:ascii="Helvetica" w:hAnsi="Helvetica" w:cs="Times New Roman"/>
          <w:sz w:val="22"/>
          <w:szCs w:val="22"/>
        </w:rPr>
        <w:t>‘symbolic politics’</w:t>
      </w:r>
      <w:r>
        <w:rPr>
          <w:rFonts w:ascii="Helvetica" w:hAnsi="Helvetica" w:cs="Times New Roman"/>
          <w:sz w:val="22"/>
          <w:szCs w:val="22"/>
        </w:rPr>
        <w:t xml:space="preserve"> visible for some years in the US and the UK among others, together with</w:t>
      </w:r>
      <w:r w:rsidR="00EF466A">
        <w:rPr>
          <w:rFonts w:ascii="Helvetica" w:hAnsi="Helvetica" w:cs="Times New Roman"/>
          <w:sz w:val="22"/>
          <w:szCs w:val="22"/>
        </w:rPr>
        <w:t xml:space="preserve"> the pressures of such ‘hot’ political climates (Loader and Sparks 2016)</w:t>
      </w:r>
      <w:r>
        <w:rPr>
          <w:rFonts w:ascii="Helvetica" w:hAnsi="Helvetica" w:cs="Times New Roman"/>
          <w:sz w:val="22"/>
          <w:szCs w:val="22"/>
        </w:rPr>
        <w:t>, might have</w:t>
      </w:r>
      <w:r w:rsidR="00EF466A">
        <w:rPr>
          <w:rFonts w:ascii="Helvetica" w:hAnsi="Helvetica" w:cs="Times New Roman"/>
          <w:sz w:val="22"/>
          <w:szCs w:val="22"/>
        </w:rPr>
        <w:t xml:space="preserve"> incentivise</w:t>
      </w:r>
      <w:r>
        <w:rPr>
          <w:rFonts w:ascii="Helvetica" w:hAnsi="Helvetica" w:cs="Times New Roman"/>
          <w:sz w:val="22"/>
          <w:szCs w:val="22"/>
        </w:rPr>
        <w:t>d</w:t>
      </w:r>
      <w:r w:rsidR="00EF466A">
        <w:rPr>
          <w:rFonts w:ascii="Helvetica" w:hAnsi="Helvetica" w:cs="Times New Roman"/>
          <w:sz w:val="22"/>
          <w:szCs w:val="22"/>
        </w:rPr>
        <w:t xml:space="preserve"> politicians and policy-makers to ‘shop around’ for </w:t>
      </w:r>
      <w:r w:rsidR="00397FBF">
        <w:rPr>
          <w:rFonts w:ascii="Helvetica" w:hAnsi="Helvetica" w:cs="Times New Roman"/>
          <w:sz w:val="22"/>
          <w:szCs w:val="22"/>
        </w:rPr>
        <w:t>potentially popular policy ‘models’</w:t>
      </w:r>
      <w:r w:rsidR="00EF466A">
        <w:rPr>
          <w:rFonts w:ascii="Helvetica" w:hAnsi="Helvetica" w:cs="Times New Roman"/>
          <w:sz w:val="22"/>
          <w:szCs w:val="22"/>
        </w:rPr>
        <w:t xml:space="preserve"> and thus render </w:t>
      </w:r>
      <w:r w:rsidR="00211395">
        <w:rPr>
          <w:rFonts w:ascii="Helvetica" w:hAnsi="Helvetica" w:cs="Times New Roman"/>
          <w:sz w:val="22"/>
          <w:szCs w:val="22"/>
        </w:rPr>
        <w:t>the field more open to some forms of transnational policy mobility. At the same time, and paradoxically, the legal frameworks and institutional architectures of criminal justice have been closely tied to the sovereign nation state</w:t>
      </w:r>
      <w:r>
        <w:rPr>
          <w:rFonts w:ascii="Helvetica" w:hAnsi="Helvetica" w:cs="Times New Roman"/>
          <w:sz w:val="22"/>
          <w:szCs w:val="22"/>
        </w:rPr>
        <w:t>, and this arguably h</w:t>
      </w:r>
      <w:r w:rsidR="00211395">
        <w:rPr>
          <w:rFonts w:ascii="Helvetica" w:hAnsi="Helvetica" w:cs="Times New Roman"/>
          <w:sz w:val="22"/>
          <w:szCs w:val="22"/>
        </w:rPr>
        <w:t xml:space="preserve">as </w:t>
      </w:r>
      <w:r>
        <w:rPr>
          <w:rFonts w:ascii="Helvetica" w:hAnsi="Helvetica" w:cs="Times New Roman"/>
          <w:sz w:val="22"/>
          <w:szCs w:val="22"/>
        </w:rPr>
        <w:t>acted as something of a brake</w:t>
      </w:r>
      <w:r w:rsidR="00211395">
        <w:rPr>
          <w:rFonts w:ascii="Helvetica" w:hAnsi="Helvetica" w:cs="Times New Roman"/>
          <w:sz w:val="22"/>
          <w:szCs w:val="22"/>
        </w:rPr>
        <w:t xml:space="preserve"> on transnational attempts at </w:t>
      </w:r>
      <w:r>
        <w:rPr>
          <w:rFonts w:ascii="Helvetica" w:hAnsi="Helvetica" w:cs="Times New Roman"/>
          <w:sz w:val="22"/>
          <w:szCs w:val="22"/>
        </w:rPr>
        <w:t>policy emulation, limiting harmonization in this field</w:t>
      </w:r>
      <w:r w:rsidR="00211395">
        <w:rPr>
          <w:rFonts w:ascii="Helvetica" w:hAnsi="Helvetica" w:cs="Times New Roman"/>
          <w:sz w:val="22"/>
          <w:szCs w:val="22"/>
        </w:rPr>
        <w:t xml:space="preserve">. </w:t>
      </w:r>
      <w:r>
        <w:rPr>
          <w:rFonts w:ascii="Helvetica" w:hAnsi="Helvetica" w:cs="Times New Roman"/>
          <w:sz w:val="22"/>
          <w:szCs w:val="22"/>
        </w:rPr>
        <w:t>Linked to these ob</w:t>
      </w:r>
      <w:r w:rsidR="000A1533">
        <w:rPr>
          <w:rFonts w:ascii="Helvetica" w:hAnsi="Helvetica" w:cs="Times New Roman"/>
          <w:sz w:val="22"/>
          <w:szCs w:val="22"/>
        </w:rPr>
        <w:t>s</w:t>
      </w:r>
      <w:r>
        <w:rPr>
          <w:rFonts w:ascii="Helvetica" w:hAnsi="Helvetica" w:cs="Times New Roman"/>
          <w:sz w:val="22"/>
          <w:szCs w:val="22"/>
        </w:rPr>
        <w:t xml:space="preserve">ervations, and also potentially distinguishing the field of </w:t>
      </w:r>
      <w:r w:rsidR="00EF466A">
        <w:rPr>
          <w:rFonts w:ascii="Helvetica" w:hAnsi="Helvetica" w:cs="Times New Roman"/>
          <w:sz w:val="22"/>
          <w:szCs w:val="22"/>
        </w:rPr>
        <w:t xml:space="preserve">crime control, as noted earlier in discussions of access is its relatively securitized and politically sensitive nature. Such </w:t>
      </w:r>
      <w:r w:rsidR="00397FBF">
        <w:rPr>
          <w:rFonts w:ascii="Helvetica" w:hAnsi="Helvetica" w:cs="Times New Roman"/>
          <w:sz w:val="22"/>
          <w:szCs w:val="22"/>
        </w:rPr>
        <w:t>characteristics</w:t>
      </w:r>
      <w:r w:rsidR="00EF466A">
        <w:rPr>
          <w:rFonts w:ascii="Helvetica" w:hAnsi="Helvetica" w:cs="Times New Roman"/>
          <w:sz w:val="22"/>
          <w:szCs w:val="22"/>
        </w:rPr>
        <w:t xml:space="preserve"> suggest that further em</w:t>
      </w:r>
      <w:r w:rsidR="00582344">
        <w:rPr>
          <w:rFonts w:ascii="Helvetica" w:hAnsi="Helvetica" w:cs="Times New Roman"/>
          <w:sz w:val="22"/>
          <w:szCs w:val="22"/>
        </w:rPr>
        <w:t xml:space="preserve">pirical research on transnational crime policy flows </w:t>
      </w:r>
      <w:r>
        <w:rPr>
          <w:rFonts w:ascii="Helvetica" w:hAnsi="Helvetica" w:cs="Times New Roman"/>
          <w:sz w:val="22"/>
          <w:szCs w:val="22"/>
        </w:rPr>
        <w:t xml:space="preserve">contain rich potential for illuminating policy development in domains beyond crime and justice. </w:t>
      </w:r>
    </w:p>
    <w:p w14:paraId="11ABFB8F" w14:textId="77777777" w:rsidR="00CA32B9" w:rsidRDefault="00CA32B9" w:rsidP="00BD6FFE">
      <w:pPr>
        <w:spacing w:line="480" w:lineRule="auto"/>
        <w:rPr>
          <w:rFonts w:ascii="Helvetica" w:hAnsi="Helvetica" w:cs="Times New Roman"/>
          <w:sz w:val="22"/>
          <w:szCs w:val="22"/>
        </w:rPr>
      </w:pPr>
    </w:p>
    <w:p w14:paraId="3B2470B1" w14:textId="52838D7A" w:rsidR="00172735" w:rsidRPr="00BD6FFE" w:rsidRDefault="00D03A5D" w:rsidP="00BD6FFE">
      <w:pPr>
        <w:spacing w:line="480" w:lineRule="auto"/>
        <w:rPr>
          <w:rFonts w:ascii="Helvetica" w:hAnsi="Helvetica" w:cs="Times New Roman"/>
          <w:sz w:val="22"/>
          <w:szCs w:val="22"/>
        </w:rPr>
      </w:pPr>
      <w:r>
        <w:rPr>
          <w:rFonts w:ascii="Helvetica" w:hAnsi="Helvetica" w:cs="Times New Roman"/>
          <w:sz w:val="22"/>
          <w:szCs w:val="22"/>
        </w:rPr>
        <w:lastRenderedPageBreak/>
        <w:t xml:space="preserve">The paper has set </w:t>
      </w:r>
      <w:r w:rsidR="00276029" w:rsidRPr="00BD6FFE">
        <w:rPr>
          <w:rFonts w:ascii="Helvetica" w:hAnsi="Helvetica" w:cs="Times New Roman"/>
          <w:sz w:val="22"/>
          <w:szCs w:val="22"/>
        </w:rPr>
        <w:t>out a</w:t>
      </w:r>
      <w:r w:rsidR="00844336" w:rsidRPr="00BD6FFE">
        <w:rPr>
          <w:rFonts w:ascii="Helvetica" w:hAnsi="Helvetica" w:cs="Times New Roman"/>
          <w:sz w:val="22"/>
          <w:szCs w:val="22"/>
        </w:rPr>
        <w:t xml:space="preserve"> number of methodological issues that </w:t>
      </w:r>
      <w:r w:rsidR="00A36D8F" w:rsidRPr="00BD6FFE">
        <w:rPr>
          <w:rFonts w:ascii="Helvetica" w:hAnsi="Helvetica" w:cs="Times New Roman"/>
          <w:sz w:val="22"/>
          <w:szCs w:val="22"/>
        </w:rPr>
        <w:t xml:space="preserve">criminologists </w:t>
      </w:r>
      <w:r w:rsidR="00844336" w:rsidRPr="00BD6FFE">
        <w:rPr>
          <w:rFonts w:ascii="Helvetica" w:hAnsi="Helvetica" w:cs="Times New Roman"/>
          <w:sz w:val="22"/>
          <w:szCs w:val="22"/>
        </w:rPr>
        <w:t>must grapple with while planning and undertaking research on policy mobilities.</w:t>
      </w:r>
      <w:r>
        <w:rPr>
          <w:rFonts w:ascii="Helvetica" w:hAnsi="Helvetica" w:cs="Times New Roman"/>
          <w:sz w:val="22"/>
          <w:szCs w:val="22"/>
        </w:rPr>
        <w:t xml:space="preserve"> Research </w:t>
      </w:r>
      <w:r w:rsidR="00A36D8F" w:rsidRPr="00BD6FFE">
        <w:rPr>
          <w:rFonts w:ascii="Helvetica" w:hAnsi="Helvetica" w:cs="Times New Roman"/>
          <w:sz w:val="22"/>
          <w:szCs w:val="22"/>
        </w:rPr>
        <w:t xml:space="preserve">should be explicitly justified in relation to the researcher’s philosophical understanding of their object of study, the practical opportunities and constraints they face, and ethical considerations. Recent debates between policy transfer and policy mobilities scholars, while sometimes polarizing, have nonetheless been helpful in </w:t>
      </w:r>
      <w:r w:rsidR="00266DB3" w:rsidRPr="00BD6FFE">
        <w:rPr>
          <w:rFonts w:ascii="Helvetica" w:hAnsi="Helvetica" w:cs="Times New Roman"/>
          <w:sz w:val="22"/>
          <w:szCs w:val="22"/>
        </w:rPr>
        <w:t xml:space="preserve">terms of stimulating greater discussion about the theory-method relationship when it comes to the study of policy movements. We </w:t>
      </w:r>
      <w:r w:rsidR="0019088E">
        <w:rPr>
          <w:rFonts w:ascii="Helvetica" w:hAnsi="Helvetica" w:cs="Times New Roman"/>
          <w:sz w:val="22"/>
          <w:szCs w:val="22"/>
        </w:rPr>
        <w:t>conclude</w:t>
      </w:r>
      <w:r w:rsidR="00266DB3" w:rsidRPr="00BD6FFE">
        <w:rPr>
          <w:rFonts w:ascii="Helvetica" w:hAnsi="Helvetica" w:cs="Times New Roman"/>
          <w:sz w:val="22"/>
          <w:szCs w:val="22"/>
        </w:rPr>
        <w:t xml:space="preserve"> </w:t>
      </w:r>
      <w:r w:rsidR="007B22EC">
        <w:rPr>
          <w:rFonts w:ascii="Helvetica" w:hAnsi="Helvetica" w:cs="Times New Roman"/>
          <w:sz w:val="22"/>
          <w:szCs w:val="22"/>
        </w:rPr>
        <w:t xml:space="preserve">therefore </w:t>
      </w:r>
      <w:r w:rsidR="00266DB3" w:rsidRPr="00BD6FFE">
        <w:rPr>
          <w:rFonts w:ascii="Helvetica" w:hAnsi="Helvetica" w:cs="Times New Roman"/>
          <w:sz w:val="22"/>
          <w:szCs w:val="22"/>
        </w:rPr>
        <w:t>that there is greater scope for criminologists undertaking research on these issues to engage actively with and contribute to such discussions. Doing so requires</w:t>
      </w:r>
      <w:r w:rsidR="007B22EC">
        <w:rPr>
          <w:rFonts w:ascii="Helvetica" w:hAnsi="Helvetica" w:cs="Times New Roman"/>
          <w:sz w:val="22"/>
          <w:szCs w:val="22"/>
        </w:rPr>
        <w:t xml:space="preserve"> </w:t>
      </w:r>
      <w:r w:rsidR="00266DB3" w:rsidRPr="00BD6FFE">
        <w:rPr>
          <w:rFonts w:ascii="Helvetica" w:hAnsi="Helvetica" w:cs="Times New Roman"/>
          <w:sz w:val="22"/>
          <w:szCs w:val="22"/>
        </w:rPr>
        <w:t xml:space="preserve">that future criminological research on policy mobilities addresses more explicitly the principles, practicalities and ethics of research design. </w:t>
      </w:r>
    </w:p>
    <w:p w14:paraId="251112D0" w14:textId="77777777" w:rsidR="00315A52" w:rsidRPr="00BD6FFE" w:rsidRDefault="00315A52" w:rsidP="00B75768">
      <w:pPr>
        <w:spacing w:line="480" w:lineRule="auto"/>
        <w:rPr>
          <w:rFonts w:ascii="Helvetica" w:hAnsi="Helvetica" w:cs="Times New Roman"/>
          <w:b/>
          <w:sz w:val="22"/>
          <w:szCs w:val="22"/>
        </w:rPr>
      </w:pPr>
    </w:p>
    <w:p w14:paraId="3BEF3948" w14:textId="77777777" w:rsidR="005035EF" w:rsidRPr="00BD6FFE" w:rsidRDefault="005035EF">
      <w:pPr>
        <w:spacing w:line="480" w:lineRule="auto"/>
        <w:rPr>
          <w:rFonts w:ascii="Helvetica" w:hAnsi="Helvetica" w:cs="Times New Roman"/>
          <w:b/>
          <w:sz w:val="22"/>
          <w:szCs w:val="22"/>
        </w:rPr>
      </w:pPr>
    </w:p>
    <w:p w14:paraId="2055CEE3" w14:textId="5B8BFD07" w:rsidR="00161FE7" w:rsidRPr="00BD6FFE" w:rsidRDefault="00161FE7">
      <w:pPr>
        <w:spacing w:line="480" w:lineRule="auto"/>
        <w:rPr>
          <w:rFonts w:ascii="Helvetica" w:hAnsi="Helvetica" w:cs="Times New Roman"/>
          <w:sz w:val="22"/>
          <w:szCs w:val="22"/>
        </w:rPr>
      </w:pPr>
      <w:r w:rsidRPr="00BD6FFE">
        <w:rPr>
          <w:rFonts w:ascii="Helvetica" w:hAnsi="Helvetica" w:cs="Times New Roman"/>
          <w:b/>
          <w:sz w:val="22"/>
          <w:szCs w:val="22"/>
        </w:rPr>
        <w:t>Funding</w:t>
      </w:r>
    </w:p>
    <w:p w14:paraId="3BE15FA7" w14:textId="00B807CA" w:rsidR="00844336" w:rsidRPr="00BD6FFE" w:rsidRDefault="00161FE7">
      <w:pPr>
        <w:spacing w:line="480" w:lineRule="auto"/>
        <w:rPr>
          <w:rFonts w:ascii="Helvetica" w:hAnsi="Helvetica" w:cs="Times New Roman"/>
          <w:sz w:val="22"/>
          <w:szCs w:val="22"/>
        </w:rPr>
      </w:pPr>
      <w:r w:rsidRPr="00BD6FFE">
        <w:rPr>
          <w:rFonts w:ascii="Helvetica" w:hAnsi="Helvetica" w:cs="Times New Roman"/>
          <w:sz w:val="22"/>
          <w:szCs w:val="22"/>
        </w:rPr>
        <w:t xml:space="preserve">This research received no specific grant from any funding agency in the public, commercial or not-for-profit sectors. </w:t>
      </w:r>
    </w:p>
    <w:p w14:paraId="57AC89F2" w14:textId="77777777" w:rsidR="00E36434" w:rsidRPr="00BD6FFE" w:rsidRDefault="00E36434">
      <w:pPr>
        <w:spacing w:line="480" w:lineRule="auto"/>
        <w:rPr>
          <w:rFonts w:ascii="Helvetica" w:hAnsi="Helvetica" w:cs="Times New Roman"/>
          <w:sz w:val="22"/>
          <w:szCs w:val="22"/>
        </w:rPr>
      </w:pPr>
    </w:p>
    <w:p w14:paraId="1134DC16" w14:textId="77777777" w:rsidR="00E36434" w:rsidRPr="00BD6FFE" w:rsidRDefault="00E36434">
      <w:pPr>
        <w:spacing w:line="480" w:lineRule="auto"/>
        <w:rPr>
          <w:rFonts w:ascii="Helvetica" w:hAnsi="Helvetica" w:cs="Times New Roman"/>
          <w:sz w:val="22"/>
          <w:szCs w:val="22"/>
        </w:rPr>
      </w:pPr>
    </w:p>
    <w:p w14:paraId="51A54FA2" w14:textId="77777777" w:rsidR="00E7557F" w:rsidRDefault="00E7557F">
      <w:pPr>
        <w:rPr>
          <w:rFonts w:ascii="Helvetica" w:hAnsi="Helvetica" w:cs="Times New Roman"/>
          <w:b/>
          <w:sz w:val="22"/>
          <w:szCs w:val="22"/>
        </w:rPr>
      </w:pPr>
      <w:r>
        <w:rPr>
          <w:rFonts w:ascii="Helvetica" w:hAnsi="Helvetica" w:cs="Times New Roman"/>
          <w:b/>
          <w:sz w:val="22"/>
          <w:szCs w:val="22"/>
        </w:rPr>
        <w:br w:type="page"/>
      </w:r>
    </w:p>
    <w:p w14:paraId="4D6069D3" w14:textId="69FE08D2" w:rsidR="00076F29" w:rsidRPr="00BD6FFE" w:rsidRDefault="00076F29" w:rsidP="00BD6FFE">
      <w:pPr>
        <w:spacing w:line="480" w:lineRule="auto"/>
        <w:rPr>
          <w:rFonts w:ascii="Helvetica" w:hAnsi="Helvetica" w:cs="Times New Roman"/>
          <w:sz w:val="22"/>
          <w:szCs w:val="22"/>
        </w:rPr>
      </w:pPr>
      <w:r w:rsidRPr="00BD6FFE">
        <w:rPr>
          <w:rFonts w:ascii="Helvetica" w:hAnsi="Helvetica" w:cs="Times New Roman"/>
          <w:b/>
          <w:sz w:val="22"/>
          <w:szCs w:val="22"/>
        </w:rPr>
        <w:lastRenderedPageBreak/>
        <w:t>References</w:t>
      </w:r>
    </w:p>
    <w:p w14:paraId="06C894A7" w14:textId="77777777" w:rsidR="00076F29" w:rsidRPr="00BD6FFE" w:rsidRDefault="00076F29" w:rsidP="00B75768">
      <w:pPr>
        <w:rPr>
          <w:rFonts w:ascii="Helvetica" w:hAnsi="Helvetica" w:cs="Times New Roman"/>
          <w:sz w:val="22"/>
          <w:szCs w:val="22"/>
        </w:rPr>
      </w:pPr>
      <w:r w:rsidRPr="00BD6FFE">
        <w:rPr>
          <w:rFonts w:ascii="Helvetica" w:hAnsi="Helvetica" w:cs="Times New Roman"/>
          <w:sz w:val="22"/>
          <w:szCs w:val="22"/>
        </w:rPr>
        <w:t xml:space="preserve">Amy, D. (1984) ‘Why policy analysis and ethics are incompatible’ </w:t>
      </w:r>
      <w:r w:rsidRPr="00BD6FFE">
        <w:rPr>
          <w:rFonts w:ascii="Helvetica" w:hAnsi="Helvetica" w:cs="Times New Roman"/>
          <w:i/>
          <w:sz w:val="22"/>
          <w:szCs w:val="22"/>
        </w:rPr>
        <w:t xml:space="preserve">Journal of Policy Analysis and Management, </w:t>
      </w:r>
      <w:r w:rsidRPr="00BD6FFE">
        <w:rPr>
          <w:rFonts w:ascii="Helvetica" w:hAnsi="Helvetica" w:cs="Times New Roman"/>
          <w:sz w:val="22"/>
          <w:szCs w:val="22"/>
        </w:rPr>
        <w:t>3(4): 573-591.</w:t>
      </w:r>
    </w:p>
    <w:p w14:paraId="57FB8BB4" w14:textId="77777777" w:rsidR="00076F29" w:rsidRPr="00BD6FFE" w:rsidRDefault="00076F29">
      <w:pPr>
        <w:rPr>
          <w:rFonts w:ascii="Helvetica" w:hAnsi="Helvetica" w:cs="Times New Roman"/>
          <w:sz w:val="22"/>
          <w:szCs w:val="22"/>
        </w:rPr>
      </w:pPr>
    </w:p>
    <w:p w14:paraId="682B6BB4" w14:textId="77777777" w:rsidR="00076F29" w:rsidRPr="00BD6FFE" w:rsidRDefault="00076F29">
      <w:pPr>
        <w:rPr>
          <w:rFonts w:ascii="Helvetica" w:hAnsi="Helvetica" w:cs="Times New Roman"/>
          <w:sz w:val="22"/>
          <w:szCs w:val="22"/>
        </w:rPr>
      </w:pPr>
      <w:r w:rsidRPr="00BD6FFE">
        <w:rPr>
          <w:rFonts w:ascii="Helvetica" w:hAnsi="Helvetica" w:cs="Times New Roman"/>
          <w:sz w:val="22"/>
          <w:szCs w:val="22"/>
        </w:rPr>
        <w:t xml:space="preserve">Anderson, J. (2014) </w:t>
      </w:r>
      <w:r w:rsidRPr="00BD6FFE">
        <w:rPr>
          <w:rFonts w:ascii="Helvetica" w:hAnsi="Helvetica" w:cs="Times New Roman"/>
          <w:i/>
          <w:sz w:val="22"/>
          <w:szCs w:val="22"/>
        </w:rPr>
        <w:t xml:space="preserve">Public Policymaking. </w:t>
      </w:r>
      <w:r w:rsidRPr="00BD6FFE">
        <w:rPr>
          <w:rFonts w:ascii="Helvetica" w:hAnsi="Helvetica" w:cs="Times New Roman"/>
          <w:sz w:val="22"/>
          <w:szCs w:val="22"/>
        </w:rPr>
        <w:t>Belmont: Wadsworth Publishing.</w:t>
      </w:r>
    </w:p>
    <w:p w14:paraId="4DABE3F1" w14:textId="7BE713BA" w:rsidR="001113C5" w:rsidRDefault="001113C5">
      <w:pPr>
        <w:rPr>
          <w:rFonts w:ascii="Helvetica" w:hAnsi="Helvetica" w:cs="Times New Roman"/>
          <w:sz w:val="22"/>
          <w:szCs w:val="22"/>
        </w:rPr>
      </w:pPr>
    </w:p>
    <w:p w14:paraId="6AECB4A3" w14:textId="17EE6397" w:rsidR="00A64D24" w:rsidRDefault="00A64D24">
      <w:pPr>
        <w:rPr>
          <w:rFonts w:ascii="Helvetica" w:hAnsi="Helvetica" w:cs="Times New Roman"/>
          <w:sz w:val="22"/>
          <w:szCs w:val="22"/>
        </w:rPr>
      </w:pPr>
      <w:r>
        <w:rPr>
          <w:rFonts w:ascii="Helvetica" w:hAnsi="Helvetica" w:cs="Times New Roman"/>
          <w:sz w:val="22"/>
          <w:szCs w:val="22"/>
        </w:rPr>
        <w:t xml:space="preserve">Baker, T. and </w:t>
      </w:r>
      <w:proofErr w:type="spellStart"/>
      <w:r>
        <w:rPr>
          <w:rFonts w:ascii="Helvetica" w:hAnsi="Helvetica" w:cs="Times New Roman"/>
          <w:sz w:val="22"/>
          <w:szCs w:val="22"/>
        </w:rPr>
        <w:t>McGuirk</w:t>
      </w:r>
      <w:proofErr w:type="spellEnd"/>
      <w:r>
        <w:rPr>
          <w:rFonts w:ascii="Helvetica" w:hAnsi="Helvetica" w:cs="Times New Roman"/>
          <w:sz w:val="22"/>
          <w:szCs w:val="22"/>
        </w:rPr>
        <w:t xml:space="preserve">, P. (2017) ‘Assemblage thinking as methodology: commitments and practice for critical policy research’, </w:t>
      </w:r>
      <w:r w:rsidRPr="000A1533">
        <w:rPr>
          <w:rFonts w:ascii="Helvetica" w:hAnsi="Helvetica" w:cs="Times New Roman"/>
          <w:i/>
          <w:sz w:val="22"/>
          <w:szCs w:val="22"/>
        </w:rPr>
        <w:t>Territory, Politics, Governance</w:t>
      </w:r>
      <w:r>
        <w:rPr>
          <w:rFonts w:ascii="Helvetica" w:hAnsi="Helvetica" w:cs="Times New Roman"/>
          <w:sz w:val="22"/>
          <w:szCs w:val="22"/>
        </w:rPr>
        <w:t>, 5(4): 425-442</w:t>
      </w:r>
    </w:p>
    <w:p w14:paraId="5D30BBF6" w14:textId="77777777" w:rsidR="00A64D24" w:rsidRDefault="00A64D24">
      <w:pPr>
        <w:rPr>
          <w:rFonts w:ascii="Helvetica" w:hAnsi="Helvetica" w:cs="Times New Roman"/>
          <w:sz w:val="22"/>
          <w:szCs w:val="22"/>
        </w:rPr>
      </w:pPr>
    </w:p>
    <w:p w14:paraId="64CFC722" w14:textId="2F6F5586" w:rsidR="00076F29" w:rsidRPr="00BD6FFE" w:rsidRDefault="00076F29">
      <w:pPr>
        <w:rPr>
          <w:rFonts w:ascii="Helvetica" w:hAnsi="Helvetica" w:cs="Times New Roman"/>
          <w:sz w:val="22"/>
          <w:szCs w:val="22"/>
        </w:rPr>
      </w:pPr>
      <w:r w:rsidRPr="00BD6FFE">
        <w:rPr>
          <w:rFonts w:ascii="Helvetica" w:hAnsi="Helvetica" w:cs="Times New Roman"/>
          <w:sz w:val="22"/>
          <w:szCs w:val="22"/>
        </w:rPr>
        <w:t xml:space="preserve">Bennett, C. (1991) ‘What is policy convergence and what causes it?’ </w:t>
      </w:r>
      <w:r w:rsidRPr="00BD6FFE">
        <w:rPr>
          <w:rFonts w:ascii="Helvetica" w:hAnsi="Helvetica" w:cs="Times New Roman"/>
          <w:i/>
          <w:sz w:val="22"/>
          <w:szCs w:val="22"/>
        </w:rPr>
        <w:t xml:space="preserve">British Journal of Political Science, </w:t>
      </w:r>
      <w:r w:rsidRPr="00BD6FFE">
        <w:rPr>
          <w:rFonts w:ascii="Helvetica" w:hAnsi="Helvetica" w:cs="Times New Roman"/>
          <w:sz w:val="22"/>
          <w:szCs w:val="22"/>
        </w:rPr>
        <w:t>21(2): 215-233.</w:t>
      </w:r>
    </w:p>
    <w:p w14:paraId="12174F07" w14:textId="77777777" w:rsidR="00076F29" w:rsidRPr="00BD6FFE" w:rsidRDefault="00076F29">
      <w:pPr>
        <w:rPr>
          <w:rFonts w:ascii="Helvetica" w:hAnsi="Helvetica" w:cs="Times New Roman"/>
          <w:sz w:val="22"/>
          <w:szCs w:val="22"/>
        </w:rPr>
      </w:pPr>
    </w:p>
    <w:p w14:paraId="24C545D1" w14:textId="77777777" w:rsidR="00076F29" w:rsidRPr="00BD6FFE" w:rsidRDefault="00076F29">
      <w:pPr>
        <w:rPr>
          <w:rFonts w:ascii="Helvetica" w:hAnsi="Helvetica" w:cs="Times New Roman"/>
          <w:sz w:val="22"/>
          <w:szCs w:val="22"/>
        </w:rPr>
      </w:pPr>
      <w:r w:rsidRPr="00BD6FFE">
        <w:rPr>
          <w:rFonts w:ascii="Helvetica" w:hAnsi="Helvetica" w:cs="Times New Roman"/>
          <w:sz w:val="22"/>
          <w:szCs w:val="22"/>
        </w:rPr>
        <w:t xml:space="preserve">Beck, U. (2007) ‘The cosmopolitan condition: Why methodological nationalism fails’ </w:t>
      </w:r>
      <w:r w:rsidRPr="00BD6FFE">
        <w:rPr>
          <w:rFonts w:ascii="Helvetica" w:hAnsi="Helvetica" w:cs="Times New Roman"/>
          <w:i/>
          <w:sz w:val="22"/>
          <w:szCs w:val="22"/>
        </w:rPr>
        <w:t xml:space="preserve">Theory, Culture &amp; Society, </w:t>
      </w:r>
      <w:r w:rsidRPr="00BD6FFE">
        <w:rPr>
          <w:rFonts w:ascii="Helvetica" w:hAnsi="Helvetica" w:cs="Times New Roman"/>
          <w:sz w:val="22"/>
          <w:szCs w:val="22"/>
        </w:rPr>
        <w:t>24(7-8): 286-290.</w:t>
      </w:r>
    </w:p>
    <w:p w14:paraId="3F143486" w14:textId="77777777" w:rsidR="00076F29" w:rsidRPr="00BD6FFE" w:rsidRDefault="00076F29">
      <w:pPr>
        <w:rPr>
          <w:rFonts w:ascii="Helvetica" w:hAnsi="Helvetica" w:cs="Times New Roman"/>
          <w:sz w:val="22"/>
          <w:szCs w:val="22"/>
        </w:rPr>
      </w:pPr>
    </w:p>
    <w:p w14:paraId="052FCB1B" w14:textId="77777777" w:rsidR="00076F29" w:rsidRPr="00BD6FFE" w:rsidRDefault="00076F29">
      <w:pPr>
        <w:rPr>
          <w:rFonts w:ascii="Helvetica" w:hAnsi="Helvetica" w:cs="Times New Roman"/>
          <w:sz w:val="22"/>
          <w:szCs w:val="22"/>
        </w:rPr>
      </w:pPr>
      <w:r w:rsidRPr="00BD6FFE">
        <w:rPr>
          <w:rFonts w:ascii="Helvetica" w:hAnsi="Helvetica" w:cs="Times New Roman"/>
          <w:sz w:val="22"/>
          <w:szCs w:val="22"/>
        </w:rPr>
        <w:t xml:space="preserve">Benson, D. and Jordan, A. (2011) ‘What have we learned from policy transfer research? Dolowitz and Marsh revisited’ </w:t>
      </w:r>
      <w:r w:rsidRPr="00BD6FFE">
        <w:rPr>
          <w:rFonts w:ascii="Helvetica" w:hAnsi="Helvetica" w:cs="Times New Roman"/>
          <w:i/>
          <w:sz w:val="22"/>
          <w:szCs w:val="22"/>
        </w:rPr>
        <w:t xml:space="preserve">Political Studies Review, </w:t>
      </w:r>
      <w:r w:rsidRPr="00BD6FFE">
        <w:rPr>
          <w:rFonts w:ascii="Helvetica" w:hAnsi="Helvetica" w:cs="Times New Roman"/>
          <w:sz w:val="22"/>
          <w:szCs w:val="22"/>
        </w:rPr>
        <w:t>9(3): 366-378.</w:t>
      </w:r>
    </w:p>
    <w:p w14:paraId="158F76CB" w14:textId="77777777" w:rsidR="00076F29" w:rsidRPr="00BD6FFE" w:rsidRDefault="00076F29">
      <w:pPr>
        <w:rPr>
          <w:rFonts w:ascii="Helvetica" w:hAnsi="Helvetica" w:cs="Times New Roman"/>
          <w:sz w:val="22"/>
          <w:szCs w:val="22"/>
        </w:rPr>
      </w:pPr>
    </w:p>
    <w:p w14:paraId="3BCD1520" w14:textId="0918F93D" w:rsidR="00076F29" w:rsidRPr="00BD6FFE" w:rsidRDefault="00076F29">
      <w:pPr>
        <w:rPr>
          <w:rFonts w:ascii="Helvetica" w:hAnsi="Helvetica" w:cs="Times New Roman"/>
          <w:sz w:val="22"/>
          <w:szCs w:val="22"/>
        </w:rPr>
      </w:pPr>
      <w:r w:rsidRPr="00BD6FFE">
        <w:rPr>
          <w:rFonts w:ascii="Helvetica" w:hAnsi="Helvetica" w:cs="Times New Roman"/>
          <w:sz w:val="22"/>
          <w:szCs w:val="22"/>
        </w:rPr>
        <w:t>Benson, D. and Jordan, A. (2012) ‘Policy Transfer Research: Still Evolving, Not Yet Through?</w:t>
      </w:r>
      <w:r w:rsidR="008439B7">
        <w:rPr>
          <w:rFonts w:ascii="Helvetica" w:hAnsi="Helvetica" w:cs="Times New Roman"/>
          <w:sz w:val="22"/>
          <w:szCs w:val="22"/>
        </w:rPr>
        <w:t>’</w:t>
      </w:r>
      <w:r w:rsidRPr="00BD6FFE">
        <w:rPr>
          <w:rFonts w:ascii="Helvetica" w:hAnsi="Helvetica" w:cs="Times New Roman"/>
          <w:sz w:val="22"/>
          <w:szCs w:val="22"/>
        </w:rPr>
        <w:t xml:space="preserve"> </w:t>
      </w:r>
      <w:r w:rsidRPr="00BD6FFE">
        <w:rPr>
          <w:rFonts w:ascii="Helvetica" w:hAnsi="Helvetica" w:cs="Times New Roman"/>
          <w:i/>
          <w:sz w:val="22"/>
          <w:szCs w:val="22"/>
        </w:rPr>
        <w:t xml:space="preserve">Political Studies Review, </w:t>
      </w:r>
      <w:r w:rsidRPr="00BD6FFE">
        <w:rPr>
          <w:rFonts w:ascii="Helvetica" w:hAnsi="Helvetica" w:cs="Times New Roman"/>
          <w:sz w:val="22"/>
          <w:szCs w:val="22"/>
        </w:rPr>
        <w:t>10(3): 333-338.</w:t>
      </w:r>
    </w:p>
    <w:p w14:paraId="45B03C20" w14:textId="77777777" w:rsidR="00076F29" w:rsidRPr="00BD6FFE" w:rsidRDefault="00076F29">
      <w:pPr>
        <w:rPr>
          <w:rFonts w:ascii="Helvetica" w:hAnsi="Helvetica" w:cs="Times New Roman"/>
          <w:sz w:val="22"/>
          <w:szCs w:val="22"/>
        </w:rPr>
      </w:pPr>
    </w:p>
    <w:p w14:paraId="14FF66C1" w14:textId="4994C02C" w:rsidR="00076F29" w:rsidRPr="00BD6FFE" w:rsidRDefault="00076F29">
      <w:pPr>
        <w:rPr>
          <w:rFonts w:ascii="Helvetica" w:hAnsi="Helvetica" w:cs="Times New Roman"/>
          <w:iCs/>
          <w:sz w:val="22"/>
          <w:szCs w:val="22"/>
        </w:rPr>
      </w:pPr>
      <w:r w:rsidRPr="00BD6FFE">
        <w:rPr>
          <w:rFonts w:ascii="Helvetica" w:hAnsi="Helvetica" w:cs="Times New Roman"/>
          <w:sz w:val="22"/>
          <w:szCs w:val="22"/>
        </w:rPr>
        <w:t xml:space="preserve">Bernstein, S. and </w:t>
      </w:r>
      <w:proofErr w:type="spellStart"/>
      <w:r w:rsidRPr="00BD6FFE">
        <w:rPr>
          <w:rFonts w:ascii="Helvetica" w:hAnsi="Helvetica" w:cs="Times New Roman"/>
          <w:sz w:val="22"/>
          <w:szCs w:val="22"/>
        </w:rPr>
        <w:t>Cashore</w:t>
      </w:r>
      <w:proofErr w:type="spellEnd"/>
      <w:r w:rsidRPr="00BD6FFE">
        <w:rPr>
          <w:rFonts w:ascii="Helvetica" w:hAnsi="Helvetica" w:cs="Times New Roman"/>
          <w:sz w:val="22"/>
          <w:szCs w:val="22"/>
        </w:rPr>
        <w:t xml:space="preserve">, B. (2000) ‘Globalization, four paths of internationalization and domestic policy change: The case of </w:t>
      </w:r>
      <w:proofErr w:type="spellStart"/>
      <w:r w:rsidRPr="00BD6FFE">
        <w:rPr>
          <w:rFonts w:ascii="Helvetica" w:hAnsi="Helvetica" w:cs="Times New Roman"/>
          <w:sz w:val="22"/>
          <w:szCs w:val="22"/>
        </w:rPr>
        <w:t>EcoForestry</w:t>
      </w:r>
      <w:proofErr w:type="spellEnd"/>
      <w:r w:rsidRPr="00BD6FFE">
        <w:rPr>
          <w:rFonts w:ascii="Helvetica" w:hAnsi="Helvetica" w:cs="Times New Roman"/>
          <w:sz w:val="22"/>
          <w:szCs w:val="22"/>
        </w:rPr>
        <w:t xml:space="preserve"> in British Columbia, Canada’ </w:t>
      </w:r>
      <w:r w:rsidRPr="00BD6FFE">
        <w:rPr>
          <w:rFonts w:ascii="Helvetica" w:hAnsi="Helvetica" w:cs="Times New Roman"/>
          <w:i/>
          <w:iCs/>
          <w:sz w:val="22"/>
          <w:szCs w:val="22"/>
        </w:rPr>
        <w:t xml:space="preserve">Canadian Journal of Political Science/Revue </w:t>
      </w:r>
      <w:r w:rsidR="00A64D24">
        <w:rPr>
          <w:rFonts w:ascii="Helvetica" w:hAnsi="Helvetica" w:cs="Times New Roman"/>
          <w:i/>
          <w:iCs/>
          <w:sz w:val="22"/>
          <w:szCs w:val="22"/>
        </w:rPr>
        <w:t>C</w:t>
      </w:r>
      <w:r w:rsidRPr="00BD6FFE">
        <w:rPr>
          <w:rFonts w:ascii="Helvetica" w:hAnsi="Helvetica" w:cs="Times New Roman"/>
          <w:i/>
          <w:iCs/>
          <w:sz w:val="22"/>
          <w:szCs w:val="22"/>
        </w:rPr>
        <w:t xml:space="preserve">anadienne de science politique, </w:t>
      </w:r>
      <w:r w:rsidRPr="00BD6FFE">
        <w:rPr>
          <w:rFonts w:ascii="Helvetica" w:hAnsi="Helvetica" w:cs="Times New Roman"/>
          <w:iCs/>
          <w:sz w:val="22"/>
          <w:szCs w:val="22"/>
        </w:rPr>
        <w:t>33(1): 67-99.</w:t>
      </w:r>
    </w:p>
    <w:p w14:paraId="2515A666" w14:textId="77777777" w:rsidR="00076F29" w:rsidRPr="00BD6FFE" w:rsidRDefault="00076F29">
      <w:pPr>
        <w:rPr>
          <w:rFonts w:ascii="Helvetica" w:hAnsi="Helvetica" w:cs="Times New Roman"/>
          <w:iCs/>
          <w:sz w:val="22"/>
          <w:szCs w:val="22"/>
        </w:rPr>
      </w:pPr>
    </w:p>
    <w:p w14:paraId="4A9D57F1" w14:textId="77777777" w:rsidR="00076F29" w:rsidRPr="00BD6FFE" w:rsidRDefault="00076F29">
      <w:pPr>
        <w:rPr>
          <w:rFonts w:ascii="Helvetica" w:hAnsi="Helvetica" w:cs="Times New Roman"/>
          <w:iCs/>
          <w:sz w:val="22"/>
          <w:szCs w:val="22"/>
        </w:rPr>
      </w:pPr>
      <w:proofErr w:type="spellStart"/>
      <w:r w:rsidRPr="00BD6FFE">
        <w:rPr>
          <w:rFonts w:ascii="Helvetica" w:hAnsi="Helvetica" w:cs="Times New Roman"/>
          <w:iCs/>
          <w:sz w:val="22"/>
          <w:szCs w:val="22"/>
        </w:rPr>
        <w:t>Blaustein</w:t>
      </w:r>
      <w:proofErr w:type="spellEnd"/>
      <w:r w:rsidRPr="00BD6FFE">
        <w:rPr>
          <w:rFonts w:ascii="Helvetica" w:hAnsi="Helvetica" w:cs="Times New Roman"/>
          <w:iCs/>
          <w:sz w:val="22"/>
          <w:szCs w:val="22"/>
        </w:rPr>
        <w:t xml:space="preserve">, J. (2015) </w:t>
      </w:r>
      <w:r w:rsidRPr="00BD6FFE">
        <w:rPr>
          <w:rFonts w:ascii="Helvetica" w:hAnsi="Helvetica" w:cs="Times New Roman"/>
          <w:i/>
          <w:iCs/>
          <w:sz w:val="22"/>
          <w:szCs w:val="22"/>
        </w:rPr>
        <w:t xml:space="preserve">Speaking Truths to Power: Policy Ethnography and Policy Reform in Bosnia and Herzegovina. </w:t>
      </w:r>
      <w:r w:rsidRPr="00BD6FFE">
        <w:rPr>
          <w:rFonts w:ascii="Helvetica" w:hAnsi="Helvetica" w:cs="Times New Roman"/>
          <w:iCs/>
          <w:sz w:val="22"/>
          <w:szCs w:val="22"/>
        </w:rPr>
        <w:t>Oxford: OUP.</w:t>
      </w:r>
    </w:p>
    <w:p w14:paraId="7C3A2237" w14:textId="77777777" w:rsidR="00161FE7" w:rsidRPr="00BD6FFE" w:rsidRDefault="00161FE7">
      <w:pPr>
        <w:rPr>
          <w:rFonts w:ascii="Helvetica" w:hAnsi="Helvetica" w:cs="Times New Roman"/>
          <w:iCs/>
          <w:sz w:val="22"/>
          <w:szCs w:val="22"/>
        </w:rPr>
      </w:pPr>
    </w:p>
    <w:p w14:paraId="5D3F9AD8" w14:textId="5D230D92" w:rsidR="00161FE7" w:rsidRPr="00BD6FFE" w:rsidRDefault="00161FE7">
      <w:pPr>
        <w:rPr>
          <w:rFonts w:ascii="Helvetica" w:hAnsi="Helvetica" w:cs="Times New Roman"/>
          <w:b/>
          <w:bCs/>
          <w:iCs/>
          <w:sz w:val="22"/>
          <w:szCs w:val="22"/>
        </w:rPr>
      </w:pPr>
      <w:proofErr w:type="spellStart"/>
      <w:r w:rsidRPr="00BD6FFE">
        <w:rPr>
          <w:rFonts w:ascii="Helvetica" w:hAnsi="Helvetica" w:cs="Times New Roman"/>
          <w:iCs/>
          <w:sz w:val="22"/>
          <w:szCs w:val="22"/>
        </w:rPr>
        <w:t>Blaustein</w:t>
      </w:r>
      <w:proofErr w:type="spellEnd"/>
      <w:r w:rsidRPr="00BD6FFE">
        <w:rPr>
          <w:rFonts w:ascii="Helvetica" w:hAnsi="Helvetica" w:cs="Times New Roman"/>
          <w:iCs/>
          <w:sz w:val="22"/>
          <w:szCs w:val="22"/>
        </w:rPr>
        <w:t>, J. (2016) ‘</w:t>
      </w:r>
      <w:r w:rsidRPr="00BD6FFE">
        <w:rPr>
          <w:rFonts w:ascii="Helvetica" w:hAnsi="Helvetica" w:cs="Times New Roman"/>
          <w:bCs/>
          <w:iCs/>
          <w:sz w:val="22"/>
          <w:szCs w:val="22"/>
        </w:rPr>
        <w:t>Exporting criminological innovation abroad: Discursive representation, ‘evidence-based crime prevention’ and the post-neoliberal development agenda in Latin America’</w:t>
      </w:r>
      <w:r w:rsidR="008439B7">
        <w:rPr>
          <w:rFonts w:ascii="Helvetica" w:hAnsi="Helvetica" w:cs="Times New Roman"/>
          <w:bCs/>
          <w:iCs/>
          <w:sz w:val="22"/>
          <w:szCs w:val="22"/>
        </w:rPr>
        <w:t>,</w:t>
      </w:r>
      <w:r w:rsidRPr="00BD6FFE">
        <w:rPr>
          <w:rFonts w:ascii="Helvetica" w:hAnsi="Helvetica" w:cs="Times New Roman"/>
          <w:bCs/>
          <w:iCs/>
          <w:sz w:val="22"/>
          <w:szCs w:val="22"/>
        </w:rPr>
        <w:t xml:space="preserve"> </w:t>
      </w:r>
      <w:r w:rsidRPr="00BD6FFE">
        <w:rPr>
          <w:rFonts w:ascii="Helvetica" w:hAnsi="Helvetica" w:cs="Times New Roman"/>
          <w:bCs/>
          <w:i/>
          <w:iCs/>
          <w:sz w:val="22"/>
          <w:szCs w:val="22"/>
        </w:rPr>
        <w:t xml:space="preserve">Theoretical Criminology, </w:t>
      </w:r>
      <w:r w:rsidRPr="00BD6FFE">
        <w:rPr>
          <w:rFonts w:ascii="Helvetica" w:hAnsi="Helvetica" w:cs="Times New Roman"/>
          <w:bCs/>
          <w:iCs/>
          <w:sz w:val="22"/>
          <w:szCs w:val="22"/>
        </w:rPr>
        <w:t>20(2): 165-184.</w:t>
      </w:r>
    </w:p>
    <w:p w14:paraId="11439DEF" w14:textId="77777777" w:rsidR="00076F29" w:rsidRPr="00BD6FFE" w:rsidRDefault="00076F29">
      <w:pPr>
        <w:rPr>
          <w:rFonts w:ascii="Helvetica" w:hAnsi="Helvetica" w:cs="Times New Roman"/>
          <w:iCs/>
          <w:sz w:val="22"/>
          <w:szCs w:val="22"/>
        </w:rPr>
      </w:pPr>
    </w:p>
    <w:p w14:paraId="6A0E8415" w14:textId="77777777" w:rsidR="00076F29" w:rsidRPr="00BD6FFE" w:rsidRDefault="00076F29">
      <w:pPr>
        <w:rPr>
          <w:rFonts w:ascii="Helvetica" w:hAnsi="Helvetica" w:cs="Times New Roman"/>
          <w:iCs/>
          <w:sz w:val="22"/>
          <w:szCs w:val="22"/>
        </w:rPr>
      </w:pPr>
      <w:r w:rsidRPr="00BD6FFE">
        <w:rPr>
          <w:rFonts w:ascii="Helvetica" w:hAnsi="Helvetica" w:cs="Times New Roman"/>
          <w:iCs/>
          <w:sz w:val="22"/>
          <w:szCs w:val="22"/>
        </w:rPr>
        <w:t xml:space="preserve">Brown, D., </w:t>
      </w:r>
      <w:proofErr w:type="spellStart"/>
      <w:r w:rsidRPr="00BD6FFE">
        <w:rPr>
          <w:rFonts w:ascii="Helvetica" w:hAnsi="Helvetica" w:cs="Times New Roman"/>
          <w:iCs/>
          <w:sz w:val="22"/>
          <w:szCs w:val="22"/>
        </w:rPr>
        <w:t>Cunneen</w:t>
      </w:r>
      <w:proofErr w:type="spellEnd"/>
      <w:r w:rsidRPr="00BD6FFE">
        <w:rPr>
          <w:rFonts w:ascii="Helvetica" w:hAnsi="Helvetica" w:cs="Times New Roman"/>
          <w:iCs/>
          <w:sz w:val="22"/>
          <w:szCs w:val="22"/>
        </w:rPr>
        <w:t xml:space="preserve">, C., Schwartz, M., Stubbs, J., and Young, C. (2016) </w:t>
      </w:r>
      <w:r w:rsidRPr="00BD6FFE">
        <w:rPr>
          <w:rFonts w:ascii="Helvetica" w:hAnsi="Helvetica" w:cs="Times New Roman"/>
          <w:i/>
          <w:iCs/>
          <w:sz w:val="22"/>
          <w:szCs w:val="22"/>
        </w:rPr>
        <w:t xml:space="preserve">Justice Reinvestment: Winding Back Imprisonment. </w:t>
      </w:r>
      <w:r w:rsidRPr="00BD6FFE">
        <w:rPr>
          <w:rFonts w:ascii="Helvetica" w:hAnsi="Helvetica" w:cs="Times New Roman"/>
          <w:iCs/>
          <w:sz w:val="22"/>
          <w:szCs w:val="22"/>
        </w:rPr>
        <w:t>London: Springer.</w:t>
      </w:r>
    </w:p>
    <w:p w14:paraId="6704F546" w14:textId="77777777" w:rsidR="003A3986" w:rsidRPr="00BD6FFE" w:rsidRDefault="003A3986">
      <w:pPr>
        <w:rPr>
          <w:rFonts w:ascii="Helvetica" w:hAnsi="Helvetica" w:cs="Times New Roman"/>
          <w:iCs/>
          <w:sz w:val="22"/>
          <w:szCs w:val="22"/>
        </w:rPr>
      </w:pPr>
    </w:p>
    <w:p w14:paraId="44425C77" w14:textId="22513EB2" w:rsidR="003A3986" w:rsidRPr="00BD6FFE" w:rsidRDefault="003A3986">
      <w:pPr>
        <w:rPr>
          <w:rFonts w:ascii="Helvetica" w:hAnsi="Helvetica" w:cs="Times New Roman"/>
          <w:sz w:val="22"/>
          <w:szCs w:val="22"/>
        </w:rPr>
      </w:pPr>
      <w:r w:rsidRPr="00BD6FFE">
        <w:rPr>
          <w:rFonts w:ascii="Helvetica" w:hAnsi="Helvetica" w:cs="Times New Roman"/>
          <w:iCs/>
          <w:sz w:val="22"/>
          <w:szCs w:val="22"/>
        </w:rPr>
        <w:t xml:space="preserve">Bryman, A. (2016) </w:t>
      </w:r>
      <w:r w:rsidRPr="00BD6FFE">
        <w:rPr>
          <w:rFonts w:ascii="Helvetica" w:hAnsi="Helvetica" w:cs="Times New Roman"/>
          <w:i/>
          <w:iCs/>
          <w:sz w:val="22"/>
          <w:szCs w:val="22"/>
        </w:rPr>
        <w:t xml:space="preserve">Social Research Methods. </w:t>
      </w:r>
      <w:r w:rsidRPr="00BD6FFE">
        <w:rPr>
          <w:rFonts w:ascii="Helvetica" w:hAnsi="Helvetica" w:cs="Times New Roman"/>
          <w:iCs/>
          <w:sz w:val="22"/>
          <w:szCs w:val="22"/>
        </w:rPr>
        <w:t>5</w:t>
      </w:r>
      <w:r w:rsidRPr="00BD6FFE">
        <w:rPr>
          <w:rFonts w:ascii="Helvetica" w:hAnsi="Helvetica" w:cs="Times New Roman"/>
          <w:iCs/>
          <w:sz w:val="22"/>
          <w:szCs w:val="22"/>
          <w:vertAlign w:val="superscript"/>
        </w:rPr>
        <w:t>th</w:t>
      </w:r>
      <w:r w:rsidRPr="00BD6FFE">
        <w:rPr>
          <w:rFonts w:ascii="Helvetica" w:hAnsi="Helvetica" w:cs="Times New Roman"/>
          <w:iCs/>
          <w:sz w:val="22"/>
          <w:szCs w:val="22"/>
        </w:rPr>
        <w:t xml:space="preserve"> Ed. Oxford: Oxford University Press.</w:t>
      </w:r>
    </w:p>
    <w:p w14:paraId="49EE048D" w14:textId="77777777" w:rsidR="00076F29" w:rsidRPr="00BD6FFE" w:rsidRDefault="00076F29">
      <w:pPr>
        <w:rPr>
          <w:rFonts w:ascii="Helvetica" w:hAnsi="Helvetica" w:cs="Times New Roman"/>
          <w:sz w:val="22"/>
          <w:szCs w:val="22"/>
        </w:rPr>
      </w:pPr>
    </w:p>
    <w:p w14:paraId="4B3176C7" w14:textId="0E322729" w:rsidR="00076F29" w:rsidRDefault="00076F29">
      <w:pPr>
        <w:rPr>
          <w:rFonts w:ascii="Helvetica" w:hAnsi="Helvetica" w:cs="Times New Roman"/>
          <w:sz w:val="22"/>
          <w:szCs w:val="22"/>
        </w:rPr>
      </w:pPr>
      <w:proofErr w:type="spellStart"/>
      <w:r w:rsidRPr="00BD6FFE">
        <w:rPr>
          <w:rFonts w:ascii="Helvetica" w:hAnsi="Helvetica" w:cs="Times New Roman"/>
          <w:sz w:val="22"/>
          <w:szCs w:val="22"/>
        </w:rPr>
        <w:t>Burawoy</w:t>
      </w:r>
      <w:proofErr w:type="spellEnd"/>
      <w:r w:rsidRPr="00BD6FFE">
        <w:rPr>
          <w:rFonts w:ascii="Helvetica" w:hAnsi="Helvetica" w:cs="Times New Roman"/>
          <w:sz w:val="22"/>
          <w:szCs w:val="22"/>
        </w:rPr>
        <w:t xml:space="preserve">, M., Blum, J., George, S., </w:t>
      </w:r>
      <w:proofErr w:type="spellStart"/>
      <w:r w:rsidRPr="00BD6FFE">
        <w:rPr>
          <w:rFonts w:ascii="Helvetica" w:hAnsi="Helvetica" w:cs="Times New Roman"/>
          <w:sz w:val="22"/>
          <w:szCs w:val="22"/>
        </w:rPr>
        <w:t>Gille</w:t>
      </w:r>
      <w:proofErr w:type="spellEnd"/>
      <w:r w:rsidRPr="00BD6FFE">
        <w:rPr>
          <w:rFonts w:ascii="Helvetica" w:hAnsi="Helvetica" w:cs="Times New Roman"/>
          <w:sz w:val="22"/>
          <w:szCs w:val="22"/>
        </w:rPr>
        <w:t xml:space="preserve">, Z., and Thayer, M. (2000) </w:t>
      </w:r>
      <w:r w:rsidRPr="00BD6FFE">
        <w:rPr>
          <w:rFonts w:ascii="Helvetica" w:hAnsi="Helvetica" w:cs="Times New Roman"/>
          <w:i/>
          <w:sz w:val="22"/>
          <w:szCs w:val="22"/>
        </w:rPr>
        <w:t xml:space="preserve">Global Ethnography: Forces, Connections, and Imaginations in a Postmodern World. </w:t>
      </w:r>
      <w:r w:rsidRPr="00BD6FFE">
        <w:rPr>
          <w:rFonts w:ascii="Helvetica" w:hAnsi="Helvetica" w:cs="Times New Roman"/>
          <w:sz w:val="22"/>
          <w:szCs w:val="22"/>
        </w:rPr>
        <w:t xml:space="preserve">Berkeley: University of California Press. </w:t>
      </w:r>
    </w:p>
    <w:p w14:paraId="35150A44" w14:textId="2A6CF4FF" w:rsidR="00B220A3" w:rsidRDefault="00B220A3">
      <w:pPr>
        <w:rPr>
          <w:rFonts w:ascii="Helvetica" w:hAnsi="Helvetica" w:cs="Times New Roman"/>
          <w:sz w:val="22"/>
          <w:szCs w:val="22"/>
        </w:rPr>
      </w:pPr>
    </w:p>
    <w:p w14:paraId="30FFB2FA" w14:textId="2CAE28AE" w:rsidR="001A2D20" w:rsidRDefault="001A2D20">
      <w:pPr>
        <w:rPr>
          <w:rFonts w:ascii="Helvetica" w:hAnsi="Helvetica" w:cs="Times New Roman"/>
          <w:sz w:val="22"/>
          <w:szCs w:val="22"/>
        </w:rPr>
      </w:pPr>
      <w:r>
        <w:rPr>
          <w:rFonts w:ascii="Helvetica" w:hAnsi="Helvetica" w:cs="Times New Roman"/>
          <w:sz w:val="22"/>
          <w:szCs w:val="22"/>
        </w:rPr>
        <w:t xml:space="preserve">Colebatch, H. (2009) </w:t>
      </w:r>
      <w:r w:rsidRPr="001A2D20">
        <w:rPr>
          <w:rFonts w:ascii="Helvetica" w:hAnsi="Helvetica" w:cs="Times New Roman"/>
          <w:i/>
          <w:sz w:val="22"/>
          <w:szCs w:val="22"/>
        </w:rPr>
        <w:t>Policy</w:t>
      </w:r>
      <w:r>
        <w:rPr>
          <w:rFonts w:ascii="Helvetica" w:hAnsi="Helvetica" w:cs="Times New Roman"/>
          <w:sz w:val="22"/>
          <w:szCs w:val="22"/>
        </w:rPr>
        <w:t xml:space="preserve"> (Third Edition), Maidenhead: Open University Press</w:t>
      </w:r>
    </w:p>
    <w:p w14:paraId="50BFF6EB" w14:textId="77777777" w:rsidR="001A2D20" w:rsidRDefault="001A2D20">
      <w:pPr>
        <w:rPr>
          <w:rFonts w:ascii="Helvetica" w:hAnsi="Helvetica" w:cs="Times New Roman"/>
          <w:sz w:val="22"/>
          <w:szCs w:val="22"/>
        </w:rPr>
      </w:pPr>
    </w:p>
    <w:p w14:paraId="07006369" w14:textId="2E78C882" w:rsidR="00B220A3" w:rsidRPr="000A1533" w:rsidRDefault="00B220A3">
      <w:pPr>
        <w:rPr>
          <w:rFonts w:ascii="Times New Roman" w:eastAsia="Times New Roman" w:hAnsi="Times New Roman" w:cs="Times New Roman"/>
        </w:rPr>
      </w:pPr>
      <w:proofErr w:type="spellStart"/>
      <w:r>
        <w:rPr>
          <w:rFonts w:ascii="Helvetica" w:hAnsi="Helvetica" w:cs="Times New Roman"/>
          <w:sz w:val="22"/>
          <w:szCs w:val="22"/>
        </w:rPr>
        <w:t>Daems</w:t>
      </w:r>
      <w:proofErr w:type="spellEnd"/>
      <w:r>
        <w:rPr>
          <w:rFonts w:ascii="Helvetica" w:hAnsi="Helvetica" w:cs="Times New Roman"/>
          <w:sz w:val="22"/>
          <w:szCs w:val="22"/>
        </w:rPr>
        <w:t xml:space="preserve">, T. (2017) Slaves and statues: Torture prevention in contemporary Europe, </w:t>
      </w:r>
      <w:r>
        <w:rPr>
          <w:rFonts w:ascii="Helvetica" w:hAnsi="Helvetica" w:cs="Times New Roman"/>
          <w:i/>
          <w:sz w:val="22"/>
          <w:szCs w:val="22"/>
        </w:rPr>
        <w:t xml:space="preserve">British Journal of Criminology, </w:t>
      </w:r>
      <w:r w:rsidRPr="00B220A3">
        <w:rPr>
          <w:rFonts w:ascii="Source Sans Pro" w:eastAsia="Times New Roman" w:hAnsi="Source Sans Pro" w:cs="Times New Roman"/>
          <w:color w:val="2A2A2A"/>
          <w:sz w:val="26"/>
          <w:szCs w:val="26"/>
          <w:shd w:val="clear" w:color="auto" w:fill="FFFFFF"/>
        </w:rPr>
        <w:t>57, 3, 627–643</w:t>
      </w:r>
    </w:p>
    <w:p w14:paraId="43A69D2A" w14:textId="77777777" w:rsidR="00076F29" w:rsidRPr="00BD6FFE" w:rsidRDefault="00076F29">
      <w:pPr>
        <w:rPr>
          <w:rFonts w:ascii="Helvetica" w:hAnsi="Helvetica" w:cs="Times New Roman"/>
          <w:sz w:val="22"/>
          <w:szCs w:val="22"/>
        </w:rPr>
      </w:pPr>
    </w:p>
    <w:p w14:paraId="69E82B2C" w14:textId="77777777" w:rsidR="00076F29" w:rsidRPr="00BD6FFE" w:rsidRDefault="00076F29">
      <w:pPr>
        <w:rPr>
          <w:rFonts w:ascii="Helvetica" w:hAnsi="Helvetica" w:cs="Times New Roman"/>
          <w:sz w:val="22"/>
          <w:szCs w:val="22"/>
        </w:rPr>
      </w:pPr>
      <w:r w:rsidRPr="00BD6FFE">
        <w:rPr>
          <w:rFonts w:ascii="Helvetica" w:hAnsi="Helvetica" w:cs="Times New Roman"/>
          <w:sz w:val="22"/>
          <w:szCs w:val="22"/>
        </w:rPr>
        <w:lastRenderedPageBreak/>
        <w:t xml:space="preserve">Dobbin, F., Simmons, B., and Garrett, G. (2007) ‘The global diffusion of public policies: Social construction, coercion, competition, or learning?’ </w:t>
      </w:r>
      <w:r w:rsidRPr="00BD6FFE">
        <w:rPr>
          <w:rFonts w:ascii="Helvetica" w:hAnsi="Helvetica" w:cs="Times New Roman"/>
          <w:i/>
          <w:sz w:val="22"/>
          <w:szCs w:val="22"/>
        </w:rPr>
        <w:t xml:space="preserve">Annual Review of Sociology, </w:t>
      </w:r>
      <w:r w:rsidRPr="00BD6FFE">
        <w:rPr>
          <w:rFonts w:ascii="Helvetica" w:hAnsi="Helvetica" w:cs="Times New Roman"/>
          <w:sz w:val="22"/>
          <w:szCs w:val="22"/>
        </w:rPr>
        <w:t>33: 449-472.</w:t>
      </w:r>
    </w:p>
    <w:p w14:paraId="0ACD2BCD" w14:textId="77777777" w:rsidR="00076F29" w:rsidRPr="00BD6FFE" w:rsidRDefault="00076F29">
      <w:pPr>
        <w:rPr>
          <w:rFonts w:ascii="Helvetica" w:hAnsi="Helvetica" w:cs="Times New Roman"/>
          <w:sz w:val="22"/>
          <w:szCs w:val="22"/>
        </w:rPr>
      </w:pPr>
    </w:p>
    <w:p w14:paraId="7C1611C3" w14:textId="72590BB5" w:rsidR="00076F29" w:rsidRPr="00BD6FFE" w:rsidRDefault="00076F29">
      <w:pPr>
        <w:rPr>
          <w:rFonts w:ascii="Helvetica" w:hAnsi="Helvetica" w:cs="Times New Roman"/>
          <w:sz w:val="22"/>
          <w:szCs w:val="22"/>
        </w:rPr>
      </w:pPr>
      <w:r w:rsidRPr="00BD6FFE">
        <w:rPr>
          <w:rFonts w:ascii="Helvetica" w:hAnsi="Helvetica" w:cs="Times New Roman"/>
          <w:sz w:val="22"/>
          <w:szCs w:val="22"/>
        </w:rPr>
        <w:t>Dolowitz, D. and Marsh, D. (1996) ‘Who learns what from whom: a review of the policy transfer literature’</w:t>
      </w:r>
      <w:r w:rsidR="008439B7">
        <w:rPr>
          <w:rFonts w:ascii="Helvetica" w:hAnsi="Helvetica" w:cs="Times New Roman"/>
          <w:sz w:val="22"/>
          <w:szCs w:val="22"/>
        </w:rPr>
        <w:t>,</w:t>
      </w:r>
      <w:r w:rsidRPr="00BD6FFE">
        <w:rPr>
          <w:rFonts w:ascii="Helvetica" w:hAnsi="Helvetica" w:cs="Times New Roman"/>
          <w:sz w:val="22"/>
          <w:szCs w:val="22"/>
        </w:rPr>
        <w:t xml:space="preserve"> </w:t>
      </w:r>
      <w:r w:rsidRPr="00BD6FFE">
        <w:rPr>
          <w:rFonts w:ascii="Helvetica" w:hAnsi="Helvetica" w:cs="Times New Roman"/>
          <w:i/>
          <w:sz w:val="22"/>
          <w:szCs w:val="22"/>
        </w:rPr>
        <w:t xml:space="preserve">Political Studies, </w:t>
      </w:r>
      <w:r w:rsidRPr="00BD6FFE">
        <w:rPr>
          <w:rFonts w:ascii="Helvetica" w:hAnsi="Helvetica" w:cs="Times New Roman"/>
          <w:sz w:val="22"/>
          <w:szCs w:val="22"/>
        </w:rPr>
        <w:t>44(2): 343-357.</w:t>
      </w:r>
    </w:p>
    <w:p w14:paraId="75B4722D" w14:textId="77777777" w:rsidR="00076F29" w:rsidRPr="00BD6FFE" w:rsidRDefault="00076F29">
      <w:pPr>
        <w:rPr>
          <w:rFonts w:ascii="Helvetica" w:hAnsi="Helvetica" w:cs="Times New Roman"/>
          <w:sz w:val="22"/>
          <w:szCs w:val="22"/>
        </w:rPr>
      </w:pPr>
    </w:p>
    <w:p w14:paraId="268D30CB" w14:textId="6F159146" w:rsidR="00076F29" w:rsidRDefault="00076F29">
      <w:pPr>
        <w:rPr>
          <w:rFonts w:ascii="Helvetica" w:hAnsi="Helvetica" w:cs="Times New Roman"/>
          <w:sz w:val="22"/>
          <w:szCs w:val="22"/>
        </w:rPr>
      </w:pPr>
      <w:r w:rsidRPr="00BD6FFE">
        <w:rPr>
          <w:rFonts w:ascii="Helvetica" w:hAnsi="Helvetica" w:cs="Times New Roman"/>
          <w:sz w:val="22"/>
          <w:szCs w:val="22"/>
        </w:rPr>
        <w:t>Dolowitz, D. and Marsh, D. (2000) ‘Learning from abroad: The role of policy transfer in policy making’</w:t>
      </w:r>
      <w:r w:rsidR="008439B7">
        <w:rPr>
          <w:rFonts w:ascii="Helvetica" w:hAnsi="Helvetica" w:cs="Times New Roman"/>
          <w:sz w:val="22"/>
          <w:szCs w:val="22"/>
        </w:rPr>
        <w:t>,</w:t>
      </w:r>
      <w:r w:rsidRPr="00BD6FFE">
        <w:rPr>
          <w:rFonts w:ascii="Helvetica" w:hAnsi="Helvetica" w:cs="Times New Roman"/>
          <w:sz w:val="22"/>
          <w:szCs w:val="22"/>
        </w:rPr>
        <w:t xml:space="preserve"> </w:t>
      </w:r>
      <w:r w:rsidRPr="00BD6FFE">
        <w:rPr>
          <w:rFonts w:ascii="Helvetica" w:hAnsi="Helvetica" w:cs="Times New Roman"/>
          <w:i/>
          <w:sz w:val="22"/>
          <w:szCs w:val="22"/>
        </w:rPr>
        <w:t xml:space="preserve">Governance, </w:t>
      </w:r>
      <w:r w:rsidRPr="00BD6FFE">
        <w:rPr>
          <w:rFonts w:ascii="Helvetica" w:hAnsi="Helvetica" w:cs="Times New Roman"/>
          <w:sz w:val="22"/>
          <w:szCs w:val="22"/>
        </w:rPr>
        <w:t>13(1): 5-23.</w:t>
      </w:r>
    </w:p>
    <w:p w14:paraId="297319C6" w14:textId="3FB097C6" w:rsidR="003B2C01" w:rsidRDefault="003B2C01">
      <w:pPr>
        <w:rPr>
          <w:rFonts w:ascii="Helvetica" w:hAnsi="Helvetica" w:cs="Times New Roman"/>
          <w:sz w:val="22"/>
          <w:szCs w:val="22"/>
        </w:rPr>
      </w:pPr>
    </w:p>
    <w:p w14:paraId="74BB4E69" w14:textId="2800483F" w:rsidR="003B2C01" w:rsidRPr="003B2C01" w:rsidRDefault="003B2C01">
      <w:pPr>
        <w:rPr>
          <w:rFonts w:ascii="Helvetica" w:hAnsi="Helvetica" w:cs="Times New Roman"/>
          <w:sz w:val="22"/>
          <w:szCs w:val="22"/>
        </w:rPr>
      </w:pPr>
      <w:r>
        <w:rPr>
          <w:rFonts w:ascii="Helvetica" w:hAnsi="Helvetica" w:cs="Times New Roman"/>
          <w:sz w:val="22"/>
          <w:szCs w:val="22"/>
        </w:rPr>
        <w:t xml:space="preserve">Downes, D. (1988) </w:t>
      </w:r>
      <w:r>
        <w:rPr>
          <w:rFonts w:ascii="Helvetica" w:hAnsi="Helvetica" w:cs="Times New Roman"/>
          <w:i/>
          <w:sz w:val="22"/>
          <w:szCs w:val="22"/>
        </w:rPr>
        <w:t xml:space="preserve">Contrasts in Tolerance: Post-war penal policy in the Netherland and England and Wales, </w:t>
      </w:r>
      <w:r>
        <w:rPr>
          <w:rFonts w:ascii="Helvetica" w:hAnsi="Helvetica" w:cs="Times New Roman"/>
          <w:sz w:val="22"/>
          <w:szCs w:val="22"/>
        </w:rPr>
        <w:t>Oxford: Clarendon Press</w:t>
      </w:r>
    </w:p>
    <w:p w14:paraId="1195ACBF" w14:textId="77777777" w:rsidR="00076F29" w:rsidRPr="00BD6FFE" w:rsidRDefault="00076F29">
      <w:pPr>
        <w:rPr>
          <w:rFonts w:ascii="Helvetica" w:hAnsi="Helvetica" w:cs="Times New Roman"/>
          <w:sz w:val="22"/>
          <w:szCs w:val="22"/>
        </w:rPr>
      </w:pPr>
    </w:p>
    <w:p w14:paraId="3610DC6D" w14:textId="6A9D4634" w:rsidR="00076F29" w:rsidRPr="00BD6FFE" w:rsidRDefault="00076F29">
      <w:pPr>
        <w:rPr>
          <w:rFonts w:ascii="Helvetica" w:hAnsi="Helvetica" w:cs="Times New Roman"/>
          <w:sz w:val="22"/>
          <w:szCs w:val="22"/>
        </w:rPr>
      </w:pPr>
      <w:proofErr w:type="spellStart"/>
      <w:r w:rsidRPr="00BD6FFE">
        <w:rPr>
          <w:rFonts w:ascii="Helvetica" w:hAnsi="Helvetica" w:cs="Times New Roman"/>
          <w:sz w:val="22"/>
          <w:szCs w:val="22"/>
        </w:rPr>
        <w:t>Durnescu</w:t>
      </w:r>
      <w:proofErr w:type="spellEnd"/>
      <w:r w:rsidRPr="00BD6FFE">
        <w:rPr>
          <w:rFonts w:ascii="Helvetica" w:hAnsi="Helvetica" w:cs="Times New Roman"/>
          <w:sz w:val="22"/>
          <w:szCs w:val="22"/>
        </w:rPr>
        <w:t>, I. and Haines, K. (2012) ‘Probation in Romania: Archaeology of a partnership’</w:t>
      </w:r>
      <w:r w:rsidR="008439B7">
        <w:rPr>
          <w:rFonts w:ascii="Helvetica" w:hAnsi="Helvetica" w:cs="Times New Roman"/>
          <w:sz w:val="22"/>
          <w:szCs w:val="22"/>
        </w:rPr>
        <w:t xml:space="preserve">, </w:t>
      </w:r>
      <w:r w:rsidRPr="00BD6FFE">
        <w:rPr>
          <w:rFonts w:ascii="Helvetica" w:hAnsi="Helvetica" w:cs="Times New Roman"/>
          <w:i/>
          <w:sz w:val="22"/>
          <w:szCs w:val="22"/>
        </w:rPr>
        <w:t xml:space="preserve">British Journal of Criminology, </w:t>
      </w:r>
      <w:r w:rsidRPr="00BD6FFE">
        <w:rPr>
          <w:rFonts w:ascii="Helvetica" w:hAnsi="Helvetica" w:cs="Times New Roman"/>
          <w:sz w:val="22"/>
          <w:szCs w:val="22"/>
        </w:rPr>
        <w:t>52(5): 889-907.</w:t>
      </w:r>
    </w:p>
    <w:p w14:paraId="3FE50E8D" w14:textId="77777777" w:rsidR="00076F29" w:rsidRPr="00BD6FFE" w:rsidRDefault="00076F29">
      <w:pPr>
        <w:rPr>
          <w:rFonts w:ascii="Helvetica" w:hAnsi="Helvetica" w:cs="Times New Roman"/>
          <w:sz w:val="22"/>
          <w:szCs w:val="22"/>
        </w:rPr>
      </w:pPr>
    </w:p>
    <w:p w14:paraId="516BFF9A" w14:textId="77777777" w:rsidR="00076F29" w:rsidRPr="00BD6FFE" w:rsidRDefault="00076F29">
      <w:pPr>
        <w:rPr>
          <w:rFonts w:ascii="Helvetica" w:hAnsi="Helvetica" w:cs="Times New Roman"/>
          <w:sz w:val="22"/>
          <w:szCs w:val="22"/>
        </w:rPr>
      </w:pPr>
      <w:r w:rsidRPr="00BD6FFE">
        <w:rPr>
          <w:rFonts w:ascii="Helvetica" w:hAnsi="Helvetica" w:cs="Times New Roman"/>
          <w:sz w:val="22"/>
          <w:szCs w:val="22"/>
        </w:rPr>
        <w:t xml:space="preserve">Dwyer, S. and Buckle, J. (2009) ‘The Space Between: On Being an Insider-Outsider in Qualitative Research’ </w:t>
      </w:r>
      <w:r w:rsidRPr="00BD6FFE">
        <w:rPr>
          <w:rFonts w:ascii="Helvetica" w:hAnsi="Helvetica" w:cs="Times New Roman"/>
          <w:i/>
          <w:sz w:val="22"/>
          <w:szCs w:val="22"/>
        </w:rPr>
        <w:t xml:space="preserve">International Journal of Qualitative Research, </w:t>
      </w:r>
      <w:r w:rsidRPr="00BD6FFE">
        <w:rPr>
          <w:rFonts w:ascii="Helvetica" w:hAnsi="Helvetica" w:cs="Times New Roman"/>
          <w:sz w:val="22"/>
          <w:szCs w:val="22"/>
        </w:rPr>
        <w:t>8(1): 54-63.</w:t>
      </w:r>
    </w:p>
    <w:p w14:paraId="3739A29E" w14:textId="77777777" w:rsidR="00076F29" w:rsidRPr="00BD6FFE" w:rsidRDefault="00076F29">
      <w:pPr>
        <w:rPr>
          <w:rFonts w:ascii="Helvetica" w:hAnsi="Helvetica" w:cs="Times New Roman"/>
          <w:sz w:val="22"/>
          <w:szCs w:val="22"/>
        </w:rPr>
      </w:pPr>
    </w:p>
    <w:p w14:paraId="392061EA" w14:textId="77777777" w:rsidR="00076F29" w:rsidRPr="00BD6FFE" w:rsidRDefault="00076F29">
      <w:pPr>
        <w:rPr>
          <w:rFonts w:ascii="Helvetica" w:hAnsi="Helvetica" w:cs="Times New Roman"/>
          <w:sz w:val="22"/>
          <w:szCs w:val="22"/>
        </w:rPr>
      </w:pPr>
      <w:r w:rsidRPr="00BD6FFE">
        <w:rPr>
          <w:rFonts w:ascii="Helvetica" w:hAnsi="Helvetica" w:cs="Times New Roman"/>
          <w:sz w:val="22"/>
          <w:szCs w:val="22"/>
        </w:rPr>
        <w:t xml:space="preserve">Easton, D. (1965) </w:t>
      </w:r>
      <w:r w:rsidRPr="00BD6FFE">
        <w:rPr>
          <w:rFonts w:ascii="Helvetica" w:hAnsi="Helvetica" w:cs="Times New Roman"/>
          <w:i/>
          <w:sz w:val="22"/>
          <w:szCs w:val="22"/>
        </w:rPr>
        <w:t xml:space="preserve">Understanding Public Policy. </w:t>
      </w:r>
      <w:proofErr w:type="spellStart"/>
      <w:r w:rsidRPr="00BD6FFE">
        <w:rPr>
          <w:rFonts w:ascii="Helvetica" w:hAnsi="Helvetica" w:cs="Times New Roman"/>
          <w:sz w:val="22"/>
          <w:szCs w:val="22"/>
        </w:rPr>
        <w:t>Englewoods</w:t>
      </w:r>
      <w:proofErr w:type="spellEnd"/>
      <w:r w:rsidRPr="00BD6FFE">
        <w:rPr>
          <w:rFonts w:ascii="Helvetica" w:hAnsi="Helvetica" w:cs="Times New Roman"/>
          <w:sz w:val="22"/>
          <w:szCs w:val="22"/>
        </w:rPr>
        <w:t xml:space="preserve"> Cliffs: Prentice Hall.</w:t>
      </w:r>
    </w:p>
    <w:p w14:paraId="2A5911AB" w14:textId="77777777" w:rsidR="00076F29" w:rsidRPr="00BD6FFE" w:rsidRDefault="00076F29">
      <w:pPr>
        <w:rPr>
          <w:rFonts w:ascii="Helvetica" w:hAnsi="Helvetica" w:cs="Times New Roman"/>
          <w:sz w:val="22"/>
          <w:szCs w:val="22"/>
        </w:rPr>
      </w:pPr>
    </w:p>
    <w:p w14:paraId="3607A7C9" w14:textId="0127454D" w:rsidR="00076F29" w:rsidRPr="00BD6FFE" w:rsidRDefault="00076F29">
      <w:pPr>
        <w:rPr>
          <w:rFonts w:ascii="Helvetica" w:hAnsi="Helvetica" w:cs="Times New Roman"/>
          <w:sz w:val="22"/>
          <w:szCs w:val="22"/>
        </w:rPr>
      </w:pPr>
      <w:r w:rsidRPr="00BD6FFE">
        <w:rPr>
          <w:rFonts w:ascii="Helvetica" w:hAnsi="Helvetica" w:cs="Times New Roman"/>
          <w:sz w:val="22"/>
          <w:szCs w:val="22"/>
        </w:rPr>
        <w:t>Erikson, K. (1967) ‘A comment on Disguised Observation in Sociology’</w:t>
      </w:r>
      <w:r w:rsidR="008439B7">
        <w:rPr>
          <w:rFonts w:ascii="Helvetica" w:hAnsi="Helvetica" w:cs="Times New Roman"/>
          <w:sz w:val="22"/>
          <w:szCs w:val="22"/>
        </w:rPr>
        <w:t>,</w:t>
      </w:r>
      <w:r w:rsidRPr="00BD6FFE">
        <w:rPr>
          <w:rFonts w:ascii="Helvetica" w:hAnsi="Helvetica" w:cs="Times New Roman"/>
          <w:sz w:val="22"/>
          <w:szCs w:val="22"/>
        </w:rPr>
        <w:t xml:space="preserve"> </w:t>
      </w:r>
      <w:r w:rsidRPr="00BD6FFE">
        <w:rPr>
          <w:rFonts w:ascii="Helvetica" w:hAnsi="Helvetica" w:cs="Times New Roman"/>
          <w:i/>
          <w:sz w:val="22"/>
          <w:szCs w:val="22"/>
        </w:rPr>
        <w:t xml:space="preserve">Social Problems, </w:t>
      </w:r>
      <w:r w:rsidRPr="00BD6FFE">
        <w:rPr>
          <w:rFonts w:ascii="Helvetica" w:hAnsi="Helvetica" w:cs="Times New Roman"/>
          <w:sz w:val="22"/>
          <w:szCs w:val="22"/>
        </w:rPr>
        <w:t>14(4): 366-373.</w:t>
      </w:r>
    </w:p>
    <w:p w14:paraId="4D0A63C8" w14:textId="77777777" w:rsidR="009F5EF3" w:rsidRPr="00BD6FFE" w:rsidRDefault="009F5EF3">
      <w:pPr>
        <w:rPr>
          <w:rFonts w:ascii="Helvetica" w:hAnsi="Helvetica" w:cs="Times New Roman"/>
          <w:sz w:val="22"/>
          <w:szCs w:val="22"/>
        </w:rPr>
      </w:pPr>
    </w:p>
    <w:p w14:paraId="22A2D9C2" w14:textId="3D6C4A1C" w:rsidR="009F5EF3" w:rsidRPr="00BD6FFE" w:rsidRDefault="009F5EF3">
      <w:pPr>
        <w:rPr>
          <w:rFonts w:ascii="Helvetica" w:hAnsi="Helvetica" w:cs="Times New Roman"/>
          <w:sz w:val="22"/>
          <w:szCs w:val="22"/>
        </w:rPr>
      </w:pPr>
      <w:r w:rsidRPr="00BD6FFE">
        <w:rPr>
          <w:rFonts w:ascii="Helvetica" w:hAnsi="Helvetica" w:cs="Times New Roman"/>
          <w:sz w:val="22"/>
          <w:szCs w:val="22"/>
        </w:rPr>
        <w:t xml:space="preserve">Evans, M. and Davies, J. (1999) ‘Understanding Policy Transfer: A Multi-Level, Multi-Disciplinary Perspective’ </w:t>
      </w:r>
      <w:r w:rsidRPr="00BD6FFE">
        <w:rPr>
          <w:rFonts w:ascii="Helvetica" w:hAnsi="Helvetica" w:cs="Times New Roman"/>
          <w:i/>
          <w:sz w:val="22"/>
          <w:szCs w:val="22"/>
        </w:rPr>
        <w:t xml:space="preserve">Public Administration, </w:t>
      </w:r>
      <w:r w:rsidRPr="00BD6FFE">
        <w:rPr>
          <w:rFonts w:ascii="Helvetica" w:hAnsi="Helvetica" w:cs="Times New Roman"/>
          <w:sz w:val="22"/>
          <w:szCs w:val="22"/>
        </w:rPr>
        <w:t>77(2): 361-385.</w:t>
      </w:r>
    </w:p>
    <w:p w14:paraId="5EBC9B9D" w14:textId="77777777" w:rsidR="00076F29" w:rsidRPr="00BD6FFE" w:rsidRDefault="00076F29">
      <w:pPr>
        <w:rPr>
          <w:rFonts w:ascii="Helvetica" w:hAnsi="Helvetica" w:cs="Times New Roman"/>
          <w:sz w:val="22"/>
          <w:szCs w:val="22"/>
        </w:rPr>
      </w:pPr>
    </w:p>
    <w:p w14:paraId="04AACED3" w14:textId="77777777" w:rsidR="00076F29" w:rsidRPr="00BD6FFE" w:rsidRDefault="00076F29">
      <w:pPr>
        <w:rPr>
          <w:rFonts w:ascii="Helvetica" w:hAnsi="Helvetica" w:cs="Times New Roman"/>
          <w:sz w:val="22"/>
          <w:szCs w:val="22"/>
        </w:rPr>
      </w:pPr>
      <w:r w:rsidRPr="00BD6FFE">
        <w:rPr>
          <w:rFonts w:ascii="Helvetica" w:hAnsi="Helvetica" w:cs="Times New Roman"/>
          <w:sz w:val="22"/>
          <w:szCs w:val="22"/>
        </w:rPr>
        <w:t xml:space="preserve">Eyestone, R. (1977) ‘Confusion, diffusion, and innovation’ </w:t>
      </w:r>
      <w:r w:rsidRPr="00BD6FFE">
        <w:rPr>
          <w:rFonts w:ascii="Helvetica" w:hAnsi="Helvetica" w:cs="Times New Roman"/>
          <w:i/>
          <w:sz w:val="22"/>
          <w:szCs w:val="22"/>
        </w:rPr>
        <w:t xml:space="preserve">American Political Science Review, </w:t>
      </w:r>
      <w:r w:rsidRPr="00BD6FFE">
        <w:rPr>
          <w:rFonts w:ascii="Helvetica" w:hAnsi="Helvetica" w:cs="Times New Roman"/>
          <w:sz w:val="22"/>
          <w:szCs w:val="22"/>
        </w:rPr>
        <w:t>71(2): 441-447.</w:t>
      </w:r>
    </w:p>
    <w:p w14:paraId="27CD20A3" w14:textId="77777777" w:rsidR="00076F29" w:rsidRPr="00BD6FFE" w:rsidRDefault="00076F29">
      <w:pPr>
        <w:rPr>
          <w:rFonts w:ascii="Helvetica" w:hAnsi="Helvetica" w:cs="Times New Roman"/>
          <w:sz w:val="22"/>
          <w:szCs w:val="22"/>
        </w:rPr>
      </w:pPr>
    </w:p>
    <w:p w14:paraId="0369D899" w14:textId="7946CC0C" w:rsidR="00076F29" w:rsidRDefault="00076F29">
      <w:pPr>
        <w:rPr>
          <w:rFonts w:ascii="Helvetica" w:hAnsi="Helvetica" w:cs="Times New Roman"/>
          <w:sz w:val="22"/>
          <w:szCs w:val="22"/>
        </w:rPr>
      </w:pPr>
      <w:proofErr w:type="spellStart"/>
      <w:r w:rsidRPr="00BD6FFE">
        <w:rPr>
          <w:rFonts w:ascii="Helvetica" w:hAnsi="Helvetica" w:cs="Times New Roman"/>
          <w:sz w:val="22"/>
          <w:szCs w:val="22"/>
        </w:rPr>
        <w:t>Gille</w:t>
      </w:r>
      <w:proofErr w:type="spellEnd"/>
      <w:r w:rsidRPr="00BD6FFE">
        <w:rPr>
          <w:rFonts w:ascii="Helvetica" w:hAnsi="Helvetica" w:cs="Times New Roman"/>
          <w:sz w:val="22"/>
          <w:szCs w:val="22"/>
        </w:rPr>
        <w:t xml:space="preserve">, Z., and </w:t>
      </w:r>
      <w:proofErr w:type="spellStart"/>
      <w:r w:rsidRPr="00BD6FFE">
        <w:rPr>
          <w:rFonts w:ascii="Helvetica" w:hAnsi="Helvetica" w:cs="Times New Roman"/>
          <w:sz w:val="22"/>
          <w:szCs w:val="22"/>
        </w:rPr>
        <w:t>Riain</w:t>
      </w:r>
      <w:proofErr w:type="spellEnd"/>
      <w:r w:rsidRPr="00BD6FFE">
        <w:rPr>
          <w:rFonts w:ascii="Helvetica" w:hAnsi="Helvetica" w:cs="Times New Roman"/>
          <w:sz w:val="22"/>
          <w:szCs w:val="22"/>
        </w:rPr>
        <w:t xml:space="preserve">, S. (2002) ‘Global ethnography’ </w:t>
      </w:r>
      <w:r w:rsidRPr="00BD6FFE">
        <w:rPr>
          <w:rFonts w:ascii="Helvetica" w:hAnsi="Helvetica" w:cs="Times New Roman"/>
          <w:i/>
          <w:sz w:val="22"/>
          <w:szCs w:val="22"/>
        </w:rPr>
        <w:t xml:space="preserve">Annual Review of Sociology, </w:t>
      </w:r>
      <w:r w:rsidRPr="00BD6FFE">
        <w:rPr>
          <w:rFonts w:ascii="Helvetica" w:hAnsi="Helvetica" w:cs="Times New Roman"/>
          <w:sz w:val="22"/>
          <w:szCs w:val="22"/>
        </w:rPr>
        <w:t>28(1): 271-295.</w:t>
      </w:r>
    </w:p>
    <w:p w14:paraId="2C0ED130" w14:textId="4F7BD669" w:rsidR="005E5265" w:rsidRDefault="005E5265">
      <w:pPr>
        <w:rPr>
          <w:rFonts w:ascii="Helvetica" w:hAnsi="Helvetica" w:cs="Times New Roman"/>
          <w:sz w:val="22"/>
          <w:szCs w:val="22"/>
        </w:rPr>
      </w:pPr>
    </w:p>
    <w:p w14:paraId="6A8CA440" w14:textId="6045AE63" w:rsidR="005E5265" w:rsidRDefault="005E5265">
      <w:pPr>
        <w:rPr>
          <w:rFonts w:ascii="Helvetica" w:hAnsi="Helvetica" w:cs="Times New Roman"/>
          <w:sz w:val="22"/>
          <w:szCs w:val="22"/>
        </w:rPr>
      </w:pPr>
      <w:r>
        <w:rPr>
          <w:rFonts w:ascii="Helvetica" w:hAnsi="Helvetica" w:cs="Times New Roman"/>
          <w:sz w:val="22"/>
          <w:szCs w:val="22"/>
        </w:rPr>
        <w:t>Hartley, M. (2018)</w:t>
      </w:r>
      <w:r w:rsidR="009C5608" w:rsidRPr="009C5608">
        <w:rPr>
          <w:rFonts w:ascii="Calibri" w:hAnsi="Calibri" w:cs="Calibri"/>
          <w:color w:val="1F497D"/>
          <w:sz w:val="22"/>
          <w:szCs w:val="22"/>
        </w:rPr>
        <w:t xml:space="preserve"> </w:t>
      </w:r>
      <w:r w:rsidR="009C5608" w:rsidRPr="009C5608">
        <w:rPr>
          <w:rFonts w:ascii="Helvetica" w:hAnsi="Helvetica" w:cs="Times New Roman"/>
          <w:sz w:val="22"/>
          <w:szCs w:val="22"/>
        </w:rPr>
        <w:t>‘The Transfer of Community Policing Policy from the United Kingdom to Abu Dhabi in the United Arab Emirates</w:t>
      </w:r>
      <w:r w:rsidR="009C5608">
        <w:rPr>
          <w:rFonts w:ascii="Helvetica" w:hAnsi="Helvetica" w:cs="Times New Roman"/>
          <w:sz w:val="22"/>
          <w:szCs w:val="22"/>
        </w:rPr>
        <w:t>’. PhD Thesis: University of Leeds</w:t>
      </w:r>
    </w:p>
    <w:p w14:paraId="226C7EC9" w14:textId="77777777" w:rsidR="005E5265" w:rsidRDefault="005E5265">
      <w:pPr>
        <w:rPr>
          <w:rFonts w:ascii="Helvetica" w:hAnsi="Helvetica" w:cs="Times New Roman"/>
          <w:sz w:val="22"/>
          <w:szCs w:val="22"/>
        </w:rPr>
      </w:pPr>
    </w:p>
    <w:p w14:paraId="39EC77F8" w14:textId="28D1AE78" w:rsidR="00076F29" w:rsidRPr="00E7557F" w:rsidRDefault="00076F29">
      <w:pPr>
        <w:rPr>
          <w:rFonts w:ascii="Helvetica" w:hAnsi="Helvetica" w:cs="Times New Roman"/>
          <w:color w:val="000000" w:themeColor="text1"/>
          <w:sz w:val="22"/>
          <w:szCs w:val="22"/>
        </w:rPr>
      </w:pPr>
      <w:r w:rsidRPr="00BD6FFE">
        <w:rPr>
          <w:rFonts w:ascii="Helvetica" w:hAnsi="Helvetica" w:cs="Times New Roman"/>
          <w:sz w:val="22"/>
          <w:szCs w:val="22"/>
        </w:rPr>
        <w:t>Harvey, W</w:t>
      </w:r>
      <w:r w:rsidRPr="00E7557F">
        <w:rPr>
          <w:rFonts w:ascii="Helvetica" w:hAnsi="Helvetica" w:cs="Times New Roman"/>
          <w:color w:val="000000" w:themeColor="text1"/>
          <w:sz w:val="22"/>
          <w:szCs w:val="22"/>
        </w:rPr>
        <w:t xml:space="preserve">. (2011) ‘Strategies for conducting elite interviews’ </w:t>
      </w:r>
      <w:r w:rsidRPr="00E7557F">
        <w:rPr>
          <w:rFonts w:ascii="Helvetica" w:hAnsi="Helvetica" w:cs="Times New Roman"/>
          <w:i/>
          <w:color w:val="000000" w:themeColor="text1"/>
          <w:sz w:val="22"/>
          <w:szCs w:val="22"/>
        </w:rPr>
        <w:t xml:space="preserve">Qualitative Research, </w:t>
      </w:r>
      <w:r w:rsidRPr="00E7557F">
        <w:rPr>
          <w:rFonts w:ascii="Helvetica" w:hAnsi="Helvetica" w:cs="Times New Roman"/>
          <w:color w:val="000000" w:themeColor="text1"/>
          <w:sz w:val="22"/>
          <w:szCs w:val="22"/>
        </w:rPr>
        <w:t>11(4): 431-441.</w:t>
      </w:r>
    </w:p>
    <w:p w14:paraId="0F1EFA0D" w14:textId="326B9100" w:rsidR="00405EFD" w:rsidRPr="00E7557F" w:rsidRDefault="00405EFD">
      <w:pPr>
        <w:rPr>
          <w:rFonts w:ascii="Helvetica" w:hAnsi="Helvetica" w:cs="Times New Roman"/>
          <w:color w:val="000000" w:themeColor="text1"/>
          <w:sz w:val="22"/>
          <w:szCs w:val="22"/>
        </w:rPr>
      </w:pPr>
    </w:p>
    <w:p w14:paraId="63A68364" w14:textId="577DC4E2" w:rsidR="00405EFD" w:rsidRPr="00E7557F" w:rsidRDefault="00405EFD">
      <w:pPr>
        <w:rPr>
          <w:rFonts w:ascii="Helvetica" w:hAnsi="Helvetica" w:cs="Times New Roman"/>
          <w:color w:val="000000" w:themeColor="text1"/>
          <w:sz w:val="22"/>
          <w:szCs w:val="22"/>
        </w:rPr>
      </w:pPr>
      <w:r w:rsidRPr="00E7557F">
        <w:rPr>
          <w:rFonts w:ascii="Helvetica" w:hAnsi="Helvetica" w:cs="Times New Roman"/>
          <w:color w:val="000000" w:themeColor="text1"/>
          <w:sz w:val="22"/>
          <w:szCs w:val="22"/>
        </w:rPr>
        <w:t xml:space="preserve">Hennessy, P. (2013) </w:t>
      </w:r>
      <w:r w:rsidRPr="00E7557F">
        <w:rPr>
          <w:rFonts w:ascii="Helvetica" w:hAnsi="Helvetica" w:cs="Times New Roman"/>
          <w:i/>
          <w:color w:val="000000" w:themeColor="text1"/>
          <w:sz w:val="22"/>
          <w:szCs w:val="22"/>
        </w:rPr>
        <w:t xml:space="preserve">Distilling the Frenzy: Writing the history of one’s own times, </w:t>
      </w:r>
      <w:r w:rsidRPr="00E7557F">
        <w:rPr>
          <w:rFonts w:ascii="Helvetica" w:hAnsi="Helvetica" w:cs="Times New Roman"/>
          <w:color w:val="000000" w:themeColor="text1"/>
          <w:sz w:val="22"/>
          <w:szCs w:val="22"/>
        </w:rPr>
        <w:t xml:space="preserve">London: </w:t>
      </w:r>
      <w:proofErr w:type="spellStart"/>
      <w:r w:rsidRPr="00E7557F">
        <w:rPr>
          <w:rFonts w:ascii="Helvetica" w:hAnsi="Helvetica" w:cs="Times New Roman"/>
          <w:color w:val="000000" w:themeColor="text1"/>
          <w:sz w:val="22"/>
          <w:szCs w:val="22"/>
        </w:rPr>
        <w:t>Biteback</w:t>
      </w:r>
      <w:proofErr w:type="spellEnd"/>
    </w:p>
    <w:p w14:paraId="3FC337BD" w14:textId="77777777" w:rsidR="00076F29" w:rsidRPr="00E7557F" w:rsidRDefault="00076F29">
      <w:pPr>
        <w:rPr>
          <w:rFonts w:ascii="Helvetica" w:hAnsi="Helvetica" w:cs="Times New Roman"/>
          <w:color w:val="000000" w:themeColor="text1"/>
          <w:sz w:val="22"/>
          <w:szCs w:val="22"/>
        </w:rPr>
      </w:pPr>
    </w:p>
    <w:p w14:paraId="3F3E34E9" w14:textId="77777777" w:rsidR="00076F29" w:rsidRPr="00E7557F" w:rsidRDefault="00076F29">
      <w:pPr>
        <w:rPr>
          <w:rFonts w:ascii="Helvetica" w:hAnsi="Helvetica" w:cs="Times New Roman"/>
          <w:color w:val="000000" w:themeColor="text1"/>
          <w:sz w:val="22"/>
          <w:szCs w:val="22"/>
        </w:rPr>
      </w:pPr>
      <w:r w:rsidRPr="00E7557F">
        <w:rPr>
          <w:rFonts w:ascii="Helvetica" w:hAnsi="Helvetica" w:cs="Times New Roman"/>
          <w:color w:val="000000" w:themeColor="text1"/>
          <w:sz w:val="22"/>
          <w:szCs w:val="22"/>
        </w:rPr>
        <w:t xml:space="preserve">Hill, M. (1997) </w:t>
      </w:r>
      <w:r w:rsidRPr="00E7557F">
        <w:rPr>
          <w:rFonts w:ascii="Helvetica" w:hAnsi="Helvetica" w:cs="Times New Roman"/>
          <w:i/>
          <w:color w:val="000000" w:themeColor="text1"/>
          <w:sz w:val="22"/>
          <w:szCs w:val="22"/>
        </w:rPr>
        <w:t xml:space="preserve">The Policy Process in the Modern State. </w:t>
      </w:r>
      <w:r w:rsidRPr="00E7557F">
        <w:rPr>
          <w:rFonts w:ascii="Helvetica" w:hAnsi="Helvetica" w:cs="Times New Roman"/>
          <w:color w:val="000000" w:themeColor="text1"/>
          <w:sz w:val="22"/>
          <w:szCs w:val="22"/>
        </w:rPr>
        <w:t>Harlow: Prentice Hall.</w:t>
      </w:r>
    </w:p>
    <w:p w14:paraId="5080B406" w14:textId="77777777" w:rsidR="00076F29" w:rsidRPr="00E7557F" w:rsidRDefault="00076F29">
      <w:pPr>
        <w:rPr>
          <w:rFonts w:ascii="Helvetica" w:hAnsi="Helvetica" w:cs="Times New Roman"/>
          <w:color w:val="000000" w:themeColor="text1"/>
          <w:sz w:val="22"/>
          <w:szCs w:val="22"/>
        </w:rPr>
      </w:pPr>
    </w:p>
    <w:p w14:paraId="44173767" w14:textId="44D84484" w:rsidR="00D71B1E" w:rsidRPr="00E7557F" w:rsidRDefault="00D71B1E" w:rsidP="00D71B1E">
      <w:pPr>
        <w:pStyle w:val="Heading1"/>
        <w:shd w:val="clear" w:color="auto" w:fill="FFFFFF"/>
        <w:spacing w:before="0" w:line="360" w:lineRule="atLeast"/>
        <w:rPr>
          <w:rFonts w:ascii="Helvetica" w:hAnsi="Helvetica" w:cs="Arial"/>
          <w:b w:val="0"/>
          <w:color w:val="000000" w:themeColor="text1"/>
          <w:sz w:val="22"/>
          <w:szCs w:val="22"/>
        </w:rPr>
      </w:pPr>
      <w:r w:rsidRPr="00E7557F">
        <w:rPr>
          <w:rFonts w:ascii="Helvetica" w:hAnsi="Helvetica" w:cs="Times New Roman"/>
          <w:b w:val="0"/>
          <w:color w:val="000000" w:themeColor="text1"/>
          <w:sz w:val="22"/>
          <w:szCs w:val="22"/>
        </w:rPr>
        <w:t xml:space="preserve">Hough, M. (2014) </w:t>
      </w:r>
      <w:r w:rsidR="008439B7" w:rsidRPr="00E7557F">
        <w:rPr>
          <w:rFonts w:ascii="Helvetica" w:hAnsi="Helvetica" w:cs="Times New Roman"/>
          <w:b w:val="0"/>
          <w:color w:val="000000" w:themeColor="text1"/>
          <w:sz w:val="22"/>
          <w:szCs w:val="22"/>
        </w:rPr>
        <w:t>‘</w:t>
      </w:r>
      <w:r w:rsidRPr="00E7557F">
        <w:rPr>
          <w:rFonts w:ascii="Helvetica" w:hAnsi="Helvetica" w:cs="Arial"/>
          <w:b w:val="0"/>
          <w:color w:val="000000" w:themeColor="text1"/>
          <w:sz w:val="22"/>
          <w:szCs w:val="22"/>
        </w:rPr>
        <w:t>Confessions of a recovering ‘administrative criminologist’: Jock Young, quantitative research and policy research</w:t>
      </w:r>
      <w:r w:rsidR="008439B7" w:rsidRPr="00E7557F">
        <w:rPr>
          <w:rFonts w:ascii="Helvetica" w:hAnsi="Helvetica" w:cs="Arial"/>
          <w:b w:val="0"/>
          <w:color w:val="000000" w:themeColor="text1"/>
          <w:sz w:val="22"/>
          <w:szCs w:val="22"/>
        </w:rPr>
        <w:t>’</w:t>
      </w:r>
      <w:r w:rsidRPr="00E7557F">
        <w:rPr>
          <w:rFonts w:ascii="Helvetica" w:hAnsi="Helvetica" w:cs="Arial"/>
          <w:b w:val="0"/>
          <w:color w:val="000000" w:themeColor="text1"/>
          <w:sz w:val="22"/>
          <w:szCs w:val="22"/>
        </w:rPr>
        <w:t xml:space="preserve">, </w:t>
      </w:r>
      <w:r w:rsidRPr="00E7557F">
        <w:rPr>
          <w:rFonts w:ascii="Helvetica" w:hAnsi="Helvetica" w:cs="Arial"/>
          <w:b w:val="0"/>
          <w:i/>
          <w:color w:val="000000" w:themeColor="text1"/>
          <w:sz w:val="22"/>
          <w:szCs w:val="22"/>
        </w:rPr>
        <w:t xml:space="preserve">Crime, Media, Culture, </w:t>
      </w:r>
      <w:r w:rsidRPr="00E7557F">
        <w:rPr>
          <w:rFonts w:ascii="Helvetica" w:hAnsi="Helvetica" w:cs="Arial"/>
          <w:b w:val="0"/>
          <w:color w:val="000000" w:themeColor="text1"/>
          <w:sz w:val="22"/>
          <w:szCs w:val="22"/>
        </w:rPr>
        <w:t>10, 3, 215-226</w:t>
      </w:r>
    </w:p>
    <w:p w14:paraId="761997FE" w14:textId="4EE8D2E6" w:rsidR="00D71B1E" w:rsidRPr="00E7557F" w:rsidRDefault="00D71B1E" w:rsidP="002A20E7">
      <w:pPr>
        <w:rPr>
          <w:rFonts w:ascii="Helvetica" w:hAnsi="Helvetica" w:cs="Times New Roman"/>
          <w:color w:val="000000" w:themeColor="text1"/>
          <w:sz w:val="22"/>
          <w:szCs w:val="22"/>
        </w:rPr>
      </w:pPr>
    </w:p>
    <w:p w14:paraId="3103A702" w14:textId="49722FC8" w:rsidR="002A20E7" w:rsidRPr="00E7557F" w:rsidRDefault="002A20E7" w:rsidP="002A20E7">
      <w:pPr>
        <w:rPr>
          <w:rFonts w:ascii="Helvetica" w:hAnsi="Helvetica" w:cs="Times New Roman"/>
          <w:bCs/>
          <w:color w:val="000000" w:themeColor="text1"/>
          <w:sz w:val="22"/>
          <w:szCs w:val="22"/>
        </w:rPr>
      </w:pPr>
      <w:r w:rsidRPr="00E7557F">
        <w:rPr>
          <w:rFonts w:ascii="Helvetica" w:hAnsi="Helvetica" w:cs="Times New Roman"/>
          <w:color w:val="000000" w:themeColor="text1"/>
          <w:sz w:val="22"/>
          <w:szCs w:val="22"/>
        </w:rPr>
        <w:t>Ingold, J. and Monaghan, M. (2014) ‘</w:t>
      </w:r>
      <w:r w:rsidRPr="00E7557F">
        <w:rPr>
          <w:rFonts w:ascii="Helvetica" w:hAnsi="Helvetica" w:cs="Times New Roman"/>
          <w:bCs/>
          <w:color w:val="000000" w:themeColor="text1"/>
          <w:sz w:val="22"/>
          <w:szCs w:val="22"/>
        </w:rPr>
        <w:t>Evidence translation: an exploration of</w:t>
      </w:r>
    </w:p>
    <w:p w14:paraId="6E4C5760" w14:textId="43835507" w:rsidR="002A20E7" w:rsidRPr="002A20E7" w:rsidRDefault="002A20E7" w:rsidP="002A20E7">
      <w:pPr>
        <w:rPr>
          <w:rFonts w:ascii="Helvetica" w:hAnsi="Helvetica" w:cs="Times New Roman"/>
          <w:sz w:val="22"/>
          <w:szCs w:val="22"/>
        </w:rPr>
      </w:pPr>
      <w:r w:rsidRPr="00E7557F">
        <w:rPr>
          <w:rFonts w:ascii="Helvetica" w:hAnsi="Helvetica" w:cs="Times New Roman"/>
          <w:bCs/>
          <w:color w:val="000000" w:themeColor="text1"/>
          <w:sz w:val="22"/>
          <w:szCs w:val="22"/>
        </w:rPr>
        <w:t xml:space="preserve">policymakers’ </w:t>
      </w:r>
      <w:r w:rsidRPr="002A20E7">
        <w:rPr>
          <w:rFonts w:ascii="Helvetica" w:hAnsi="Helvetica" w:cs="Times New Roman"/>
          <w:bCs/>
          <w:sz w:val="22"/>
          <w:szCs w:val="22"/>
        </w:rPr>
        <w:t>use of evidence</w:t>
      </w:r>
      <w:r>
        <w:rPr>
          <w:rFonts w:ascii="Helvetica" w:hAnsi="Helvetica" w:cs="Times New Roman"/>
          <w:bCs/>
          <w:sz w:val="22"/>
          <w:szCs w:val="22"/>
        </w:rPr>
        <w:t xml:space="preserve">’, </w:t>
      </w:r>
      <w:r w:rsidRPr="002A20E7">
        <w:rPr>
          <w:rFonts w:ascii="Helvetica" w:hAnsi="Helvetica" w:cs="Times New Roman"/>
          <w:bCs/>
          <w:i/>
          <w:sz w:val="22"/>
          <w:szCs w:val="22"/>
        </w:rPr>
        <w:t>Policy and Politics</w:t>
      </w:r>
      <w:r w:rsidR="00E83689">
        <w:rPr>
          <w:rFonts w:ascii="Helvetica" w:hAnsi="Helvetica" w:cs="Times New Roman"/>
          <w:bCs/>
          <w:i/>
          <w:sz w:val="22"/>
          <w:szCs w:val="22"/>
        </w:rPr>
        <w:t xml:space="preserve">, </w:t>
      </w:r>
      <w:r w:rsidR="00E83689" w:rsidRPr="00E83689">
        <w:rPr>
          <w:rFonts w:ascii="Helvetica" w:hAnsi="Helvetica" w:cs="Times New Roman"/>
          <w:bCs/>
          <w:sz w:val="22"/>
          <w:szCs w:val="22"/>
        </w:rPr>
        <w:t>44(2): 171-190</w:t>
      </w:r>
    </w:p>
    <w:p w14:paraId="63EB967E" w14:textId="77777777" w:rsidR="002A20E7" w:rsidRDefault="002A20E7">
      <w:pPr>
        <w:rPr>
          <w:rFonts w:ascii="Helvetica" w:hAnsi="Helvetica" w:cs="Times New Roman"/>
          <w:sz w:val="22"/>
          <w:szCs w:val="22"/>
        </w:rPr>
      </w:pPr>
    </w:p>
    <w:p w14:paraId="74871ACD" w14:textId="01C0FE62" w:rsidR="00076F29" w:rsidRPr="00BD6FFE" w:rsidRDefault="00076F29">
      <w:pPr>
        <w:rPr>
          <w:rFonts w:ascii="Helvetica" w:hAnsi="Helvetica" w:cs="Times New Roman"/>
          <w:sz w:val="22"/>
          <w:szCs w:val="22"/>
        </w:rPr>
      </w:pPr>
      <w:proofErr w:type="spellStart"/>
      <w:r w:rsidRPr="00BD6FFE">
        <w:rPr>
          <w:rFonts w:ascii="Helvetica" w:hAnsi="Helvetica" w:cs="Times New Roman"/>
          <w:sz w:val="22"/>
          <w:szCs w:val="22"/>
        </w:rPr>
        <w:lastRenderedPageBreak/>
        <w:t>Jakobi</w:t>
      </w:r>
      <w:proofErr w:type="spellEnd"/>
      <w:r w:rsidRPr="00BD6FFE">
        <w:rPr>
          <w:rFonts w:ascii="Helvetica" w:hAnsi="Helvetica" w:cs="Times New Roman"/>
          <w:sz w:val="22"/>
          <w:szCs w:val="22"/>
        </w:rPr>
        <w:t xml:space="preserve">, A. (2013) </w:t>
      </w:r>
      <w:r w:rsidRPr="00BD6FFE">
        <w:rPr>
          <w:rFonts w:ascii="Helvetica" w:hAnsi="Helvetica" w:cs="Times New Roman"/>
          <w:i/>
          <w:sz w:val="22"/>
          <w:szCs w:val="22"/>
        </w:rPr>
        <w:t xml:space="preserve">Common Goods and Evils? </w:t>
      </w:r>
      <w:r w:rsidRPr="00BD6FFE">
        <w:rPr>
          <w:rFonts w:ascii="Helvetica" w:hAnsi="Helvetica" w:cs="Times New Roman"/>
          <w:sz w:val="22"/>
          <w:szCs w:val="22"/>
        </w:rPr>
        <w:t>Oxford: Oxford University Press.</w:t>
      </w:r>
    </w:p>
    <w:p w14:paraId="7E1C1564" w14:textId="77777777" w:rsidR="00076F29" w:rsidRPr="00BD6FFE" w:rsidRDefault="00076F29">
      <w:pPr>
        <w:rPr>
          <w:rFonts w:ascii="Helvetica" w:hAnsi="Helvetica" w:cs="Times New Roman"/>
          <w:sz w:val="22"/>
          <w:szCs w:val="22"/>
        </w:rPr>
      </w:pPr>
    </w:p>
    <w:p w14:paraId="166DA553" w14:textId="77777777" w:rsidR="00076F29" w:rsidRPr="00BD6FFE" w:rsidRDefault="00076F29">
      <w:pPr>
        <w:rPr>
          <w:rFonts w:ascii="Helvetica" w:hAnsi="Helvetica" w:cs="Times New Roman"/>
          <w:sz w:val="22"/>
          <w:szCs w:val="22"/>
        </w:rPr>
      </w:pPr>
      <w:r w:rsidRPr="00BD6FFE">
        <w:rPr>
          <w:rFonts w:ascii="Helvetica" w:hAnsi="Helvetica" w:cs="Times New Roman"/>
          <w:sz w:val="22"/>
          <w:szCs w:val="22"/>
        </w:rPr>
        <w:t xml:space="preserve">Jones, T. and Newburn, J. (2007) </w:t>
      </w:r>
      <w:r w:rsidRPr="00BD6FFE">
        <w:rPr>
          <w:rFonts w:ascii="Helvetica" w:hAnsi="Helvetica" w:cs="Times New Roman"/>
          <w:i/>
          <w:sz w:val="22"/>
          <w:szCs w:val="22"/>
        </w:rPr>
        <w:t xml:space="preserve">Policy Transfer and Criminal Justice. </w:t>
      </w:r>
      <w:r w:rsidRPr="00BD6FFE">
        <w:rPr>
          <w:rFonts w:ascii="Helvetica" w:hAnsi="Helvetica" w:cs="Times New Roman"/>
          <w:sz w:val="22"/>
          <w:szCs w:val="22"/>
        </w:rPr>
        <w:t xml:space="preserve">Buckingham: Open University Press. </w:t>
      </w:r>
    </w:p>
    <w:p w14:paraId="076C2EB5" w14:textId="77777777" w:rsidR="00076F29" w:rsidRPr="00BD6FFE" w:rsidRDefault="00076F29">
      <w:pPr>
        <w:rPr>
          <w:rFonts w:ascii="Helvetica" w:hAnsi="Helvetica" w:cs="Times New Roman"/>
          <w:sz w:val="22"/>
          <w:szCs w:val="22"/>
        </w:rPr>
      </w:pPr>
    </w:p>
    <w:p w14:paraId="5C488927" w14:textId="77777777" w:rsidR="00076F29" w:rsidRPr="00BD6FFE" w:rsidRDefault="00076F29">
      <w:pPr>
        <w:rPr>
          <w:rFonts w:ascii="Helvetica" w:hAnsi="Helvetica" w:cs="Times New Roman"/>
          <w:sz w:val="22"/>
          <w:szCs w:val="22"/>
        </w:rPr>
      </w:pPr>
      <w:proofErr w:type="spellStart"/>
      <w:r w:rsidRPr="00BD6FFE">
        <w:rPr>
          <w:rFonts w:ascii="Helvetica" w:hAnsi="Helvetica" w:cs="Times New Roman"/>
          <w:sz w:val="22"/>
          <w:szCs w:val="22"/>
        </w:rPr>
        <w:t>Larner</w:t>
      </w:r>
      <w:proofErr w:type="spellEnd"/>
      <w:r w:rsidRPr="00BD6FFE">
        <w:rPr>
          <w:rFonts w:ascii="Helvetica" w:hAnsi="Helvetica" w:cs="Times New Roman"/>
          <w:sz w:val="22"/>
          <w:szCs w:val="22"/>
        </w:rPr>
        <w:t xml:space="preserve">, W. and Laurie, N. (2010) ‘Travelling Technocrats, Embodied Knowledges: Globalising Privatisation in Telecoms and Water’ </w:t>
      </w:r>
      <w:proofErr w:type="spellStart"/>
      <w:r w:rsidRPr="00BD6FFE">
        <w:rPr>
          <w:rFonts w:ascii="Helvetica" w:hAnsi="Helvetica" w:cs="Times New Roman"/>
          <w:i/>
          <w:sz w:val="22"/>
          <w:szCs w:val="22"/>
        </w:rPr>
        <w:t>Geoforum</w:t>
      </w:r>
      <w:proofErr w:type="spellEnd"/>
      <w:r w:rsidRPr="00BD6FFE">
        <w:rPr>
          <w:rFonts w:ascii="Helvetica" w:hAnsi="Helvetica" w:cs="Times New Roman"/>
          <w:i/>
          <w:sz w:val="22"/>
          <w:szCs w:val="22"/>
        </w:rPr>
        <w:t xml:space="preserve">, </w:t>
      </w:r>
      <w:r w:rsidRPr="00BD6FFE">
        <w:rPr>
          <w:rFonts w:ascii="Helvetica" w:hAnsi="Helvetica" w:cs="Times New Roman"/>
          <w:sz w:val="22"/>
          <w:szCs w:val="22"/>
        </w:rPr>
        <w:t>41(2): 218-226.</w:t>
      </w:r>
    </w:p>
    <w:p w14:paraId="65C28E3C" w14:textId="77777777" w:rsidR="00076F29" w:rsidRPr="00BD6FFE" w:rsidRDefault="00076F29">
      <w:pPr>
        <w:rPr>
          <w:rFonts w:ascii="Helvetica" w:hAnsi="Helvetica" w:cs="Times New Roman"/>
          <w:sz w:val="22"/>
          <w:szCs w:val="22"/>
        </w:rPr>
      </w:pPr>
    </w:p>
    <w:p w14:paraId="73D7714E" w14:textId="616B7101" w:rsidR="00076F29" w:rsidRDefault="00076F29">
      <w:pPr>
        <w:rPr>
          <w:rFonts w:ascii="Helvetica" w:hAnsi="Helvetica" w:cs="Times New Roman"/>
          <w:sz w:val="22"/>
          <w:szCs w:val="22"/>
          <w:lang w:val="en-US"/>
        </w:rPr>
      </w:pPr>
      <w:proofErr w:type="spellStart"/>
      <w:r w:rsidRPr="00BD6FFE">
        <w:rPr>
          <w:rFonts w:ascii="Helvetica" w:hAnsi="Helvetica" w:cs="Times New Roman"/>
          <w:sz w:val="22"/>
          <w:szCs w:val="22"/>
          <w:lang w:val="en-US"/>
        </w:rPr>
        <w:t>Lendvai</w:t>
      </w:r>
      <w:proofErr w:type="spellEnd"/>
      <w:r w:rsidRPr="00BD6FFE">
        <w:rPr>
          <w:rFonts w:ascii="Helvetica" w:hAnsi="Helvetica" w:cs="Times New Roman"/>
          <w:sz w:val="22"/>
          <w:szCs w:val="22"/>
          <w:lang w:val="en-US"/>
        </w:rPr>
        <w:t xml:space="preserve"> N and Stubbs P (2009) ‘Assemblages, translation, and intermediaries in South East Europe: Rethinking transnationalism and social policy.’ </w:t>
      </w:r>
      <w:r w:rsidRPr="00BD6FFE">
        <w:rPr>
          <w:rFonts w:ascii="Helvetica" w:hAnsi="Helvetica" w:cs="Times New Roman"/>
          <w:i/>
          <w:iCs/>
          <w:sz w:val="22"/>
          <w:szCs w:val="22"/>
          <w:lang w:val="en-US"/>
        </w:rPr>
        <w:t xml:space="preserve">European Societies </w:t>
      </w:r>
      <w:r w:rsidRPr="00BD6FFE">
        <w:rPr>
          <w:rFonts w:ascii="Helvetica" w:hAnsi="Helvetica" w:cs="Times New Roman"/>
          <w:sz w:val="22"/>
          <w:szCs w:val="22"/>
          <w:lang w:val="en-US"/>
        </w:rPr>
        <w:t>11(5): 673–695.</w:t>
      </w:r>
    </w:p>
    <w:p w14:paraId="71DB28FF" w14:textId="4B3C38CA" w:rsidR="00B84731" w:rsidRDefault="00B84731">
      <w:pPr>
        <w:rPr>
          <w:rFonts w:ascii="Helvetica" w:hAnsi="Helvetica" w:cs="Times New Roman"/>
          <w:sz w:val="22"/>
          <w:szCs w:val="22"/>
          <w:lang w:val="en-US"/>
        </w:rPr>
      </w:pPr>
    </w:p>
    <w:p w14:paraId="605B69CF" w14:textId="69E3D697" w:rsidR="00B84731" w:rsidRDefault="00B84731">
      <w:pPr>
        <w:rPr>
          <w:rFonts w:ascii="Helvetica" w:hAnsi="Helvetica" w:cs="Times New Roman"/>
          <w:sz w:val="22"/>
          <w:szCs w:val="22"/>
        </w:rPr>
      </w:pPr>
      <w:r w:rsidRPr="00B84731">
        <w:rPr>
          <w:rFonts w:ascii="Helvetica" w:hAnsi="Helvetica" w:cs="Times New Roman"/>
          <w:sz w:val="22"/>
          <w:szCs w:val="22"/>
        </w:rPr>
        <w:t xml:space="preserve">Levi, M., Reuter, P. and </w:t>
      </w:r>
      <w:proofErr w:type="spellStart"/>
      <w:r w:rsidRPr="00B84731">
        <w:rPr>
          <w:rFonts w:ascii="Helvetica" w:hAnsi="Helvetica" w:cs="Times New Roman"/>
          <w:sz w:val="22"/>
          <w:szCs w:val="22"/>
        </w:rPr>
        <w:t>Haliday</w:t>
      </w:r>
      <w:proofErr w:type="spellEnd"/>
      <w:r w:rsidRPr="00B84731">
        <w:rPr>
          <w:rFonts w:ascii="Helvetica" w:hAnsi="Helvetica" w:cs="Times New Roman"/>
          <w:sz w:val="22"/>
          <w:szCs w:val="22"/>
        </w:rPr>
        <w:t xml:space="preserve">, T. </w:t>
      </w:r>
      <w:r>
        <w:rPr>
          <w:rFonts w:ascii="Helvetica" w:hAnsi="Helvetica" w:cs="Times New Roman"/>
          <w:sz w:val="22"/>
          <w:szCs w:val="22"/>
        </w:rPr>
        <w:t>(</w:t>
      </w:r>
      <w:r w:rsidRPr="00B84731">
        <w:rPr>
          <w:rFonts w:ascii="Helvetica" w:hAnsi="Helvetica" w:cs="Times New Roman"/>
          <w:sz w:val="22"/>
          <w:szCs w:val="22"/>
        </w:rPr>
        <w:t>2018</w:t>
      </w:r>
      <w:r>
        <w:rPr>
          <w:rFonts w:ascii="Helvetica" w:hAnsi="Helvetica" w:cs="Times New Roman"/>
          <w:sz w:val="22"/>
          <w:szCs w:val="22"/>
        </w:rPr>
        <w:t>)</w:t>
      </w:r>
      <w:r w:rsidRPr="00B84731">
        <w:rPr>
          <w:rFonts w:ascii="Helvetica" w:hAnsi="Helvetica" w:cs="Times New Roman"/>
          <w:sz w:val="22"/>
          <w:szCs w:val="22"/>
        </w:rPr>
        <w:t xml:space="preserve"> </w:t>
      </w:r>
      <w:r>
        <w:rPr>
          <w:rFonts w:ascii="Helvetica" w:hAnsi="Helvetica" w:cs="Times New Roman"/>
          <w:sz w:val="22"/>
          <w:szCs w:val="22"/>
        </w:rPr>
        <w:t>‘</w:t>
      </w:r>
      <w:hyperlink r:id="rId11" w:history="1">
        <w:r w:rsidRPr="00B84731">
          <w:rPr>
            <w:rStyle w:val="Hyperlink"/>
            <w:rFonts w:ascii="Helvetica" w:hAnsi="Helvetica" w:cs="Times New Roman"/>
            <w:color w:val="000000" w:themeColor="text1"/>
            <w:sz w:val="22"/>
            <w:szCs w:val="22"/>
            <w:u w:val="none"/>
          </w:rPr>
          <w:t>Can the AML/CTF systems be evaluated without better data?</w:t>
        </w:r>
      </w:hyperlink>
      <w:r>
        <w:rPr>
          <w:rFonts w:ascii="Helvetica" w:hAnsi="Helvetica" w:cs="Times New Roman"/>
          <w:sz w:val="22"/>
          <w:szCs w:val="22"/>
        </w:rPr>
        <w:t>’,</w:t>
      </w:r>
      <w:r w:rsidRPr="00B84731">
        <w:rPr>
          <w:rFonts w:ascii="Helvetica" w:hAnsi="Helvetica" w:cs="Times New Roman"/>
          <w:sz w:val="22"/>
          <w:szCs w:val="22"/>
        </w:rPr>
        <w:t xml:space="preserve"> </w:t>
      </w:r>
      <w:r w:rsidRPr="00B84731">
        <w:rPr>
          <w:rFonts w:ascii="Helvetica" w:hAnsi="Helvetica" w:cs="Times New Roman"/>
          <w:i/>
          <w:sz w:val="22"/>
          <w:szCs w:val="22"/>
        </w:rPr>
        <w:t>Crime, Law and Social Change</w:t>
      </w:r>
      <w:r w:rsidRPr="00B84731">
        <w:rPr>
          <w:rFonts w:ascii="Helvetica" w:hAnsi="Helvetica" w:cs="Times New Roman"/>
          <w:sz w:val="22"/>
          <w:szCs w:val="22"/>
        </w:rPr>
        <w:t xml:space="preserve"> 69(2)</w:t>
      </w:r>
      <w:r>
        <w:rPr>
          <w:rFonts w:ascii="Helvetica" w:hAnsi="Helvetica" w:cs="Times New Roman"/>
          <w:sz w:val="22"/>
          <w:szCs w:val="22"/>
        </w:rPr>
        <w:t xml:space="preserve">: </w:t>
      </w:r>
      <w:r w:rsidRPr="00B84731">
        <w:rPr>
          <w:rFonts w:ascii="Helvetica" w:hAnsi="Helvetica" w:cs="Times New Roman"/>
          <w:sz w:val="22"/>
          <w:szCs w:val="22"/>
        </w:rPr>
        <w:t>307-328</w:t>
      </w:r>
    </w:p>
    <w:p w14:paraId="64AC59D0" w14:textId="42FE5D2D" w:rsidR="00B220A3" w:rsidRDefault="00B220A3">
      <w:pPr>
        <w:rPr>
          <w:rFonts w:ascii="Helvetica" w:hAnsi="Helvetica" w:cs="Times New Roman"/>
          <w:sz w:val="22"/>
          <w:szCs w:val="22"/>
        </w:rPr>
      </w:pPr>
    </w:p>
    <w:p w14:paraId="33494E4E" w14:textId="39911728" w:rsidR="00B220A3" w:rsidRPr="00B220A3" w:rsidRDefault="00B220A3">
      <w:pPr>
        <w:rPr>
          <w:rFonts w:ascii="Helvetica" w:hAnsi="Helvetica" w:cs="Times New Roman"/>
          <w:sz w:val="22"/>
          <w:szCs w:val="22"/>
          <w:lang w:val="en-US"/>
        </w:rPr>
      </w:pPr>
      <w:r>
        <w:rPr>
          <w:rFonts w:ascii="Helvetica" w:hAnsi="Helvetica" w:cs="Times New Roman"/>
          <w:sz w:val="22"/>
          <w:szCs w:val="22"/>
        </w:rPr>
        <w:t xml:space="preserve">Linde, R. (2016) </w:t>
      </w:r>
      <w:r>
        <w:rPr>
          <w:rFonts w:ascii="Helvetica" w:hAnsi="Helvetica" w:cs="Times New Roman"/>
          <w:i/>
          <w:sz w:val="22"/>
          <w:szCs w:val="22"/>
        </w:rPr>
        <w:t xml:space="preserve">The Globalization of Childhood: The international diffusion of norms and law against the child death penalty, </w:t>
      </w:r>
      <w:r>
        <w:rPr>
          <w:rFonts w:ascii="Helvetica" w:hAnsi="Helvetica" w:cs="Times New Roman"/>
          <w:sz w:val="22"/>
          <w:szCs w:val="22"/>
        </w:rPr>
        <w:t>New York: Oxford University Press</w:t>
      </w:r>
    </w:p>
    <w:p w14:paraId="2B22B18D" w14:textId="77777777" w:rsidR="00076F29" w:rsidRPr="00BD6FFE" w:rsidRDefault="00076F29">
      <w:pPr>
        <w:rPr>
          <w:rFonts w:ascii="Helvetica" w:hAnsi="Helvetica" w:cs="Times New Roman"/>
          <w:sz w:val="22"/>
          <w:szCs w:val="22"/>
        </w:rPr>
      </w:pPr>
    </w:p>
    <w:p w14:paraId="234CECC4" w14:textId="0402C20C" w:rsidR="009C5608" w:rsidRDefault="009C5608">
      <w:pPr>
        <w:rPr>
          <w:rFonts w:ascii="Helvetica" w:hAnsi="Helvetica" w:cs="Times New Roman"/>
          <w:sz w:val="22"/>
          <w:szCs w:val="22"/>
        </w:rPr>
      </w:pPr>
      <w:r>
        <w:rPr>
          <w:rFonts w:ascii="Helvetica" w:hAnsi="Helvetica" w:cs="Times New Roman"/>
          <w:sz w:val="22"/>
          <w:szCs w:val="22"/>
        </w:rPr>
        <w:t xml:space="preserve">Loader, I. and Sparks, R. (2016) </w:t>
      </w:r>
      <w:r w:rsidR="00E83689">
        <w:rPr>
          <w:rFonts w:ascii="Helvetica" w:hAnsi="Helvetica" w:cs="Times New Roman"/>
          <w:sz w:val="22"/>
          <w:szCs w:val="22"/>
        </w:rPr>
        <w:t xml:space="preserve">‘Ideologies and Crime: Political ideas and the dynamics of crime control’, </w:t>
      </w:r>
      <w:r w:rsidR="00E83689" w:rsidRPr="00E83689">
        <w:rPr>
          <w:rFonts w:ascii="Helvetica" w:hAnsi="Helvetica" w:cs="Times New Roman"/>
          <w:i/>
          <w:sz w:val="22"/>
          <w:szCs w:val="22"/>
        </w:rPr>
        <w:t>Global Crime</w:t>
      </w:r>
      <w:r w:rsidR="00E83689">
        <w:rPr>
          <w:rFonts w:ascii="Helvetica" w:hAnsi="Helvetica" w:cs="Times New Roman"/>
          <w:sz w:val="22"/>
          <w:szCs w:val="22"/>
        </w:rPr>
        <w:t xml:space="preserve"> 17(3/4): 314-330</w:t>
      </w:r>
    </w:p>
    <w:p w14:paraId="65AF401C" w14:textId="77777777" w:rsidR="009C5608" w:rsidRDefault="009C5608">
      <w:pPr>
        <w:rPr>
          <w:rFonts w:ascii="Helvetica" w:hAnsi="Helvetica" w:cs="Times New Roman"/>
          <w:sz w:val="22"/>
          <w:szCs w:val="22"/>
        </w:rPr>
      </w:pPr>
    </w:p>
    <w:p w14:paraId="62133309" w14:textId="551BB71E" w:rsidR="0073418C" w:rsidRPr="00BD6FFE" w:rsidRDefault="0073418C">
      <w:pPr>
        <w:rPr>
          <w:rFonts w:ascii="Helvetica" w:hAnsi="Helvetica" w:cs="Times New Roman"/>
          <w:sz w:val="22"/>
          <w:szCs w:val="22"/>
        </w:rPr>
      </w:pPr>
      <w:r w:rsidRPr="00BD6FFE">
        <w:rPr>
          <w:rFonts w:ascii="Helvetica" w:hAnsi="Helvetica" w:cs="Times New Roman"/>
          <w:sz w:val="22"/>
          <w:szCs w:val="22"/>
        </w:rPr>
        <w:t xml:space="preserve">Lopez-Rey, M. (1957) ‘First U.N. Congress on the Prevention of Crime and the Treatment of Offenders, The’ </w:t>
      </w:r>
      <w:r w:rsidRPr="00BD6FFE">
        <w:rPr>
          <w:rFonts w:ascii="Helvetica" w:hAnsi="Helvetica" w:cs="Times New Roman"/>
          <w:i/>
          <w:sz w:val="22"/>
          <w:szCs w:val="22"/>
        </w:rPr>
        <w:t xml:space="preserve">Journal of Criminal Law and Criminology, </w:t>
      </w:r>
      <w:r w:rsidRPr="00BD6FFE">
        <w:rPr>
          <w:rFonts w:ascii="Helvetica" w:hAnsi="Helvetica" w:cs="Times New Roman"/>
          <w:sz w:val="22"/>
          <w:szCs w:val="22"/>
        </w:rPr>
        <w:t>47(5): 526-538.</w:t>
      </w:r>
    </w:p>
    <w:p w14:paraId="22C90730" w14:textId="77777777" w:rsidR="006F37DF" w:rsidRPr="00BD6FFE" w:rsidRDefault="006F37DF">
      <w:pPr>
        <w:rPr>
          <w:rFonts w:ascii="Helvetica" w:hAnsi="Helvetica" w:cs="Times New Roman"/>
          <w:sz w:val="22"/>
          <w:szCs w:val="22"/>
        </w:rPr>
      </w:pPr>
    </w:p>
    <w:p w14:paraId="15258C04" w14:textId="09FEB736" w:rsidR="006F37DF" w:rsidRPr="00BD6FFE" w:rsidRDefault="006F37DF">
      <w:pPr>
        <w:rPr>
          <w:rFonts w:ascii="Helvetica" w:hAnsi="Helvetica" w:cs="Times New Roman"/>
          <w:sz w:val="22"/>
          <w:szCs w:val="22"/>
        </w:rPr>
      </w:pPr>
      <w:r w:rsidRPr="00BD6FFE">
        <w:rPr>
          <w:rFonts w:ascii="Helvetica" w:hAnsi="Helvetica" w:cs="Times New Roman"/>
          <w:sz w:val="22"/>
          <w:szCs w:val="22"/>
        </w:rPr>
        <w:t xml:space="preserve">Lopez-Rey, M. (1985) </w:t>
      </w:r>
      <w:r w:rsidRPr="00BD6FFE">
        <w:rPr>
          <w:rFonts w:ascii="Helvetica" w:hAnsi="Helvetica" w:cs="Times New Roman"/>
          <w:i/>
          <w:sz w:val="22"/>
          <w:szCs w:val="22"/>
        </w:rPr>
        <w:t xml:space="preserve">A Guide to UN Crime Policy. </w:t>
      </w:r>
      <w:r w:rsidRPr="00BD6FFE">
        <w:rPr>
          <w:rFonts w:ascii="Helvetica" w:hAnsi="Helvetica" w:cs="Times New Roman"/>
          <w:sz w:val="22"/>
          <w:szCs w:val="22"/>
        </w:rPr>
        <w:t>Gower.</w:t>
      </w:r>
    </w:p>
    <w:p w14:paraId="1599B9F6" w14:textId="77777777" w:rsidR="0073418C" w:rsidRPr="00BD6FFE" w:rsidRDefault="0073418C">
      <w:pPr>
        <w:rPr>
          <w:rFonts w:ascii="Helvetica" w:hAnsi="Helvetica" w:cs="Times New Roman"/>
          <w:sz w:val="22"/>
          <w:szCs w:val="22"/>
        </w:rPr>
      </w:pPr>
    </w:p>
    <w:p w14:paraId="140E0836" w14:textId="492DFF75" w:rsidR="00195E14" w:rsidRDefault="00195E14">
      <w:pPr>
        <w:rPr>
          <w:rFonts w:ascii="Helvetica" w:hAnsi="Helvetica" w:cs="Times New Roman"/>
          <w:sz w:val="22"/>
          <w:szCs w:val="22"/>
        </w:rPr>
      </w:pPr>
      <w:proofErr w:type="spellStart"/>
      <w:r>
        <w:rPr>
          <w:rFonts w:ascii="Helvetica" w:hAnsi="Helvetica" w:cs="Times New Roman"/>
          <w:sz w:val="22"/>
          <w:szCs w:val="22"/>
        </w:rPr>
        <w:t>Makse</w:t>
      </w:r>
      <w:proofErr w:type="spellEnd"/>
      <w:r>
        <w:rPr>
          <w:rFonts w:ascii="Helvetica" w:hAnsi="Helvetica" w:cs="Times New Roman"/>
          <w:sz w:val="22"/>
          <w:szCs w:val="22"/>
        </w:rPr>
        <w:t xml:space="preserve">, T. and </w:t>
      </w:r>
      <w:proofErr w:type="spellStart"/>
      <w:r>
        <w:rPr>
          <w:rFonts w:ascii="Helvetica" w:hAnsi="Helvetica" w:cs="Times New Roman"/>
          <w:sz w:val="22"/>
          <w:szCs w:val="22"/>
        </w:rPr>
        <w:t>Volden</w:t>
      </w:r>
      <w:proofErr w:type="spellEnd"/>
      <w:r>
        <w:rPr>
          <w:rFonts w:ascii="Helvetica" w:hAnsi="Helvetica" w:cs="Times New Roman"/>
          <w:sz w:val="22"/>
          <w:szCs w:val="22"/>
        </w:rPr>
        <w:t xml:space="preserve">, C. (2011) The role of policy attributes in the diffusion of innovations, </w:t>
      </w:r>
      <w:r w:rsidRPr="00195E14">
        <w:rPr>
          <w:rFonts w:ascii="Helvetica" w:hAnsi="Helvetica" w:cs="Times New Roman"/>
          <w:i/>
          <w:sz w:val="22"/>
          <w:szCs w:val="22"/>
        </w:rPr>
        <w:t>The Journal of Politics</w:t>
      </w:r>
      <w:r>
        <w:rPr>
          <w:rFonts w:ascii="Helvetica" w:hAnsi="Helvetica" w:cs="Times New Roman"/>
          <w:sz w:val="22"/>
          <w:szCs w:val="22"/>
        </w:rPr>
        <w:t xml:space="preserve"> 73(1): 108-24</w:t>
      </w:r>
    </w:p>
    <w:p w14:paraId="279AB042" w14:textId="77777777" w:rsidR="00195E14" w:rsidRDefault="00195E14">
      <w:pPr>
        <w:rPr>
          <w:rFonts w:ascii="Helvetica" w:hAnsi="Helvetica" w:cs="Times New Roman"/>
          <w:sz w:val="22"/>
          <w:szCs w:val="22"/>
        </w:rPr>
      </w:pPr>
    </w:p>
    <w:p w14:paraId="6D023D92" w14:textId="5F3875DA" w:rsidR="00076F29" w:rsidRPr="00BD6FFE" w:rsidRDefault="00076F29">
      <w:pPr>
        <w:rPr>
          <w:rFonts w:ascii="Helvetica" w:hAnsi="Helvetica" w:cs="Times New Roman"/>
          <w:sz w:val="22"/>
          <w:szCs w:val="22"/>
        </w:rPr>
      </w:pPr>
      <w:r w:rsidRPr="00BD6FFE">
        <w:rPr>
          <w:rFonts w:ascii="Helvetica" w:hAnsi="Helvetica" w:cs="Times New Roman"/>
          <w:sz w:val="22"/>
          <w:szCs w:val="22"/>
        </w:rPr>
        <w:t xml:space="preserve">Marcus, G. (1995) ‘Ethnography in/of the World System: The Emergence of Multi-Sited Ethnography’ </w:t>
      </w:r>
      <w:r w:rsidRPr="00BD6FFE">
        <w:rPr>
          <w:rFonts w:ascii="Helvetica" w:hAnsi="Helvetica" w:cs="Times New Roman"/>
          <w:i/>
          <w:sz w:val="22"/>
          <w:szCs w:val="22"/>
        </w:rPr>
        <w:t xml:space="preserve">Annual Review of Anthropology, </w:t>
      </w:r>
      <w:r w:rsidRPr="00BD6FFE">
        <w:rPr>
          <w:rFonts w:ascii="Helvetica" w:hAnsi="Helvetica" w:cs="Times New Roman"/>
          <w:sz w:val="22"/>
          <w:szCs w:val="22"/>
        </w:rPr>
        <w:t>24: 95-117.</w:t>
      </w:r>
    </w:p>
    <w:p w14:paraId="0A00F198" w14:textId="77777777" w:rsidR="00076F29" w:rsidRPr="00BD6FFE" w:rsidRDefault="00076F29">
      <w:pPr>
        <w:rPr>
          <w:rFonts w:ascii="Helvetica" w:hAnsi="Helvetica" w:cs="Times New Roman"/>
          <w:sz w:val="22"/>
          <w:szCs w:val="22"/>
        </w:rPr>
      </w:pPr>
    </w:p>
    <w:p w14:paraId="614108E4" w14:textId="77777777" w:rsidR="00076F29" w:rsidRPr="00BD6FFE" w:rsidRDefault="00076F29">
      <w:pPr>
        <w:rPr>
          <w:rFonts w:ascii="Helvetica" w:hAnsi="Helvetica" w:cs="Times New Roman"/>
          <w:sz w:val="22"/>
          <w:szCs w:val="22"/>
        </w:rPr>
      </w:pPr>
      <w:proofErr w:type="spellStart"/>
      <w:r w:rsidRPr="00BD6FFE">
        <w:rPr>
          <w:rFonts w:ascii="Helvetica" w:hAnsi="Helvetica" w:cs="Times New Roman"/>
          <w:sz w:val="22"/>
          <w:szCs w:val="22"/>
        </w:rPr>
        <w:t>Maranh‹o</w:t>
      </w:r>
      <w:proofErr w:type="spellEnd"/>
      <w:r w:rsidRPr="00BD6FFE">
        <w:rPr>
          <w:rFonts w:ascii="Helvetica" w:hAnsi="Helvetica" w:cs="Times New Roman"/>
          <w:sz w:val="22"/>
          <w:szCs w:val="22"/>
        </w:rPr>
        <w:t xml:space="preserve">, T. and </w:t>
      </w:r>
      <w:proofErr w:type="spellStart"/>
      <w:r w:rsidRPr="00BD6FFE">
        <w:rPr>
          <w:rFonts w:ascii="Helvetica" w:hAnsi="Helvetica" w:cs="Times New Roman"/>
          <w:sz w:val="22"/>
          <w:szCs w:val="22"/>
        </w:rPr>
        <w:t>Streck</w:t>
      </w:r>
      <w:proofErr w:type="spellEnd"/>
      <w:r w:rsidRPr="00BD6FFE">
        <w:rPr>
          <w:rFonts w:ascii="Helvetica" w:hAnsi="Helvetica" w:cs="Times New Roman"/>
          <w:sz w:val="22"/>
          <w:szCs w:val="22"/>
        </w:rPr>
        <w:t xml:space="preserve">, B. (2003) </w:t>
      </w:r>
      <w:r w:rsidRPr="00BD6FFE">
        <w:rPr>
          <w:rFonts w:ascii="Helvetica" w:hAnsi="Helvetica" w:cs="Times New Roman"/>
          <w:i/>
          <w:sz w:val="22"/>
          <w:szCs w:val="22"/>
        </w:rPr>
        <w:t xml:space="preserve">Translation and Ethnography: The Anthropological Challenge of Intercultural Understanding. </w:t>
      </w:r>
      <w:r w:rsidRPr="00BD6FFE">
        <w:rPr>
          <w:rFonts w:ascii="Helvetica" w:hAnsi="Helvetica" w:cs="Times New Roman"/>
          <w:sz w:val="22"/>
          <w:szCs w:val="22"/>
        </w:rPr>
        <w:t>Tucson: University of Arizona Press.</w:t>
      </w:r>
    </w:p>
    <w:p w14:paraId="16FF0745" w14:textId="77777777" w:rsidR="00076F29" w:rsidRPr="00BD6FFE" w:rsidRDefault="00076F29">
      <w:pPr>
        <w:rPr>
          <w:rFonts w:ascii="Helvetica" w:hAnsi="Helvetica" w:cs="Times New Roman"/>
          <w:sz w:val="22"/>
          <w:szCs w:val="22"/>
        </w:rPr>
      </w:pPr>
    </w:p>
    <w:p w14:paraId="50C69FE2" w14:textId="77777777" w:rsidR="00076F29" w:rsidRPr="00BD6FFE" w:rsidRDefault="00076F29">
      <w:pPr>
        <w:rPr>
          <w:rFonts w:ascii="Helvetica" w:hAnsi="Helvetica" w:cs="Times New Roman"/>
          <w:sz w:val="22"/>
          <w:szCs w:val="22"/>
        </w:rPr>
      </w:pPr>
      <w:r w:rsidRPr="00BD6FFE">
        <w:rPr>
          <w:rFonts w:ascii="Helvetica" w:hAnsi="Helvetica" w:cs="Times New Roman"/>
          <w:sz w:val="22"/>
          <w:szCs w:val="22"/>
        </w:rPr>
        <w:t xml:space="preserve">Marsh, D. and Evans, M. (2012) ‘Policy transfer: into the future, learning from the past’ </w:t>
      </w:r>
      <w:r w:rsidRPr="00BD6FFE">
        <w:rPr>
          <w:rFonts w:ascii="Helvetica" w:hAnsi="Helvetica" w:cs="Times New Roman"/>
          <w:i/>
          <w:sz w:val="22"/>
          <w:szCs w:val="22"/>
        </w:rPr>
        <w:t xml:space="preserve">Policy Studies, </w:t>
      </w:r>
      <w:r w:rsidRPr="00BD6FFE">
        <w:rPr>
          <w:rFonts w:ascii="Helvetica" w:hAnsi="Helvetica" w:cs="Times New Roman"/>
          <w:sz w:val="22"/>
          <w:szCs w:val="22"/>
        </w:rPr>
        <w:t>33(6): 587-591.</w:t>
      </w:r>
    </w:p>
    <w:p w14:paraId="6EF07552" w14:textId="77777777" w:rsidR="00076F29" w:rsidRPr="00BD6FFE" w:rsidRDefault="00076F29">
      <w:pPr>
        <w:rPr>
          <w:rFonts w:ascii="Helvetica" w:hAnsi="Helvetica" w:cs="Times New Roman"/>
          <w:sz w:val="22"/>
          <w:szCs w:val="22"/>
        </w:rPr>
      </w:pPr>
    </w:p>
    <w:p w14:paraId="6D6D8A22" w14:textId="378439F3" w:rsidR="00B84731" w:rsidRDefault="00B84731">
      <w:pPr>
        <w:rPr>
          <w:rFonts w:ascii="Helvetica" w:hAnsi="Helvetica" w:cs="Times New Roman"/>
          <w:sz w:val="22"/>
          <w:szCs w:val="22"/>
        </w:rPr>
      </w:pPr>
      <w:r>
        <w:rPr>
          <w:rFonts w:ascii="Helvetica" w:hAnsi="Helvetica" w:cs="Times New Roman"/>
          <w:sz w:val="22"/>
          <w:szCs w:val="22"/>
        </w:rPr>
        <w:t xml:space="preserve">Mayhew, P. (2016) ‘In defence of administrative criminology’, </w:t>
      </w:r>
      <w:r w:rsidRPr="00B84731">
        <w:rPr>
          <w:rFonts w:ascii="Helvetica" w:hAnsi="Helvetica" w:cs="Times New Roman"/>
          <w:i/>
          <w:sz w:val="22"/>
          <w:szCs w:val="22"/>
        </w:rPr>
        <w:t>Crime Science</w:t>
      </w:r>
      <w:r>
        <w:rPr>
          <w:rFonts w:ascii="Helvetica" w:hAnsi="Helvetica" w:cs="Times New Roman"/>
          <w:sz w:val="22"/>
          <w:szCs w:val="22"/>
        </w:rPr>
        <w:t xml:space="preserve"> 5(7) </w:t>
      </w:r>
    </w:p>
    <w:p w14:paraId="5E568048" w14:textId="77777777" w:rsidR="00B84731" w:rsidRDefault="00B84731">
      <w:pPr>
        <w:rPr>
          <w:rFonts w:ascii="Helvetica" w:hAnsi="Helvetica" w:cs="Times New Roman"/>
          <w:sz w:val="22"/>
          <w:szCs w:val="22"/>
        </w:rPr>
      </w:pPr>
    </w:p>
    <w:p w14:paraId="19D1AAED" w14:textId="1E592E6B" w:rsidR="00076F29" w:rsidRPr="00BD6FFE" w:rsidRDefault="00076F29">
      <w:pPr>
        <w:rPr>
          <w:rFonts w:ascii="Helvetica" w:hAnsi="Helvetica" w:cs="Times New Roman"/>
          <w:sz w:val="22"/>
          <w:szCs w:val="22"/>
        </w:rPr>
      </w:pPr>
      <w:r w:rsidRPr="00BD6FFE">
        <w:rPr>
          <w:rFonts w:ascii="Helvetica" w:hAnsi="Helvetica" w:cs="Times New Roman"/>
          <w:sz w:val="22"/>
          <w:szCs w:val="22"/>
        </w:rPr>
        <w:t xml:space="preserve">McCann, E. and Ward, K. (2012a) ‘Policy assemblages, mobilities and mutations: Toward a multidisciplinary conversation’ </w:t>
      </w:r>
      <w:r w:rsidRPr="00BD6FFE">
        <w:rPr>
          <w:rFonts w:ascii="Helvetica" w:hAnsi="Helvetica" w:cs="Times New Roman"/>
          <w:i/>
          <w:sz w:val="22"/>
          <w:szCs w:val="22"/>
        </w:rPr>
        <w:t xml:space="preserve">Political Studies Review, </w:t>
      </w:r>
      <w:r w:rsidRPr="00BD6FFE">
        <w:rPr>
          <w:rFonts w:ascii="Helvetica" w:hAnsi="Helvetica" w:cs="Times New Roman"/>
          <w:sz w:val="22"/>
          <w:szCs w:val="22"/>
        </w:rPr>
        <w:t>10(3): 325-332.</w:t>
      </w:r>
    </w:p>
    <w:p w14:paraId="1B96FB60" w14:textId="77777777" w:rsidR="00076F29" w:rsidRPr="00BD6FFE" w:rsidRDefault="00076F29">
      <w:pPr>
        <w:rPr>
          <w:rFonts w:ascii="Helvetica" w:hAnsi="Helvetica" w:cs="Times New Roman"/>
          <w:sz w:val="22"/>
          <w:szCs w:val="22"/>
        </w:rPr>
      </w:pPr>
    </w:p>
    <w:p w14:paraId="0A364AF9" w14:textId="2B71925A" w:rsidR="00076F29" w:rsidRPr="00BD6FFE" w:rsidRDefault="00076F29">
      <w:pPr>
        <w:rPr>
          <w:rFonts w:ascii="Helvetica" w:hAnsi="Helvetica" w:cs="Times New Roman"/>
          <w:sz w:val="22"/>
          <w:szCs w:val="22"/>
        </w:rPr>
      </w:pPr>
      <w:r w:rsidRPr="00BD6FFE">
        <w:rPr>
          <w:rFonts w:ascii="Helvetica" w:hAnsi="Helvetica" w:cs="Times New Roman"/>
          <w:sz w:val="22"/>
          <w:szCs w:val="22"/>
        </w:rPr>
        <w:t>McCann, E. and Ward, K. (2012b) ‘Assembling urbanism: following policies and ‘studying through’ the sites and situations of policy making’</w:t>
      </w:r>
      <w:r w:rsidR="008439B7">
        <w:rPr>
          <w:rFonts w:ascii="Helvetica" w:hAnsi="Helvetica" w:cs="Times New Roman"/>
          <w:sz w:val="22"/>
          <w:szCs w:val="22"/>
        </w:rPr>
        <w:t>,</w:t>
      </w:r>
      <w:r w:rsidRPr="00BD6FFE">
        <w:rPr>
          <w:rFonts w:ascii="Helvetica" w:hAnsi="Helvetica" w:cs="Times New Roman"/>
          <w:sz w:val="22"/>
          <w:szCs w:val="22"/>
        </w:rPr>
        <w:t xml:space="preserve"> </w:t>
      </w:r>
      <w:r w:rsidRPr="00BD6FFE">
        <w:rPr>
          <w:rFonts w:ascii="Helvetica" w:hAnsi="Helvetica" w:cs="Times New Roman"/>
          <w:i/>
          <w:sz w:val="22"/>
          <w:szCs w:val="22"/>
        </w:rPr>
        <w:t xml:space="preserve">Environment and Planning A, </w:t>
      </w:r>
      <w:r w:rsidRPr="00BD6FFE">
        <w:rPr>
          <w:rFonts w:ascii="Helvetica" w:hAnsi="Helvetica" w:cs="Times New Roman"/>
          <w:sz w:val="22"/>
          <w:szCs w:val="22"/>
        </w:rPr>
        <w:t>44(1): 42-51.</w:t>
      </w:r>
    </w:p>
    <w:p w14:paraId="5FE6F5AB" w14:textId="77777777" w:rsidR="00076F29" w:rsidRPr="00BD6FFE" w:rsidRDefault="00076F29">
      <w:pPr>
        <w:rPr>
          <w:rFonts w:ascii="Helvetica" w:hAnsi="Helvetica" w:cs="Times New Roman"/>
          <w:sz w:val="22"/>
          <w:szCs w:val="22"/>
        </w:rPr>
      </w:pPr>
    </w:p>
    <w:p w14:paraId="3A6B7857" w14:textId="77777777" w:rsidR="00076F29" w:rsidRDefault="00076F29">
      <w:pPr>
        <w:rPr>
          <w:rFonts w:ascii="Helvetica" w:hAnsi="Helvetica" w:cs="Times New Roman"/>
          <w:sz w:val="22"/>
          <w:szCs w:val="22"/>
        </w:rPr>
      </w:pPr>
      <w:r w:rsidRPr="00BD6FFE">
        <w:rPr>
          <w:rFonts w:ascii="Helvetica" w:hAnsi="Helvetica" w:cs="Times New Roman"/>
          <w:sz w:val="22"/>
          <w:szCs w:val="22"/>
        </w:rPr>
        <w:t xml:space="preserve">McFarlane, M. and Canton, R. (2014) </w:t>
      </w:r>
      <w:r w:rsidRPr="00BD6FFE">
        <w:rPr>
          <w:rFonts w:ascii="Helvetica" w:hAnsi="Helvetica" w:cs="Times New Roman"/>
          <w:i/>
          <w:sz w:val="22"/>
          <w:szCs w:val="22"/>
        </w:rPr>
        <w:t xml:space="preserve">Policy Transfer in Criminal Justice: Crossing Cultures, Breaking Barriers. </w:t>
      </w:r>
      <w:r w:rsidRPr="00BD6FFE">
        <w:rPr>
          <w:rFonts w:ascii="Helvetica" w:hAnsi="Helvetica" w:cs="Times New Roman"/>
          <w:sz w:val="22"/>
          <w:szCs w:val="22"/>
        </w:rPr>
        <w:t>Springer.</w:t>
      </w:r>
    </w:p>
    <w:p w14:paraId="4BD69C11" w14:textId="77777777" w:rsidR="001A5B6E" w:rsidRDefault="001A5B6E">
      <w:pPr>
        <w:rPr>
          <w:rFonts w:ascii="Helvetica" w:hAnsi="Helvetica" w:cs="Times New Roman"/>
          <w:sz w:val="22"/>
          <w:szCs w:val="22"/>
        </w:rPr>
      </w:pPr>
    </w:p>
    <w:p w14:paraId="022741E0" w14:textId="788DA282" w:rsidR="001A5B6E" w:rsidRPr="00E7557F" w:rsidRDefault="001A5B6E">
      <w:pPr>
        <w:rPr>
          <w:rFonts w:ascii="Arial" w:hAnsi="Arial" w:cs="Arial"/>
          <w:sz w:val="22"/>
          <w:szCs w:val="22"/>
        </w:rPr>
      </w:pPr>
      <w:proofErr w:type="spellStart"/>
      <w:r w:rsidRPr="00E7557F">
        <w:rPr>
          <w:rFonts w:ascii="Helvetica" w:hAnsi="Helvetica" w:cs="Times New Roman"/>
          <w:sz w:val="22"/>
          <w:szCs w:val="22"/>
        </w:rPr>
        <w:lastRenderedPageBreak/>
        <w:t>McMenzie</w:t>
      </w:r>
      <w:proofErr w:type="spellEnd"/>
      <w:r w:rsidRPr="00E7557F">
        <w:rPr>
          <w:rFonts w:ascii="Helvetica" w:hAnsi="Helvetica" w:cs="Times New Roman"/>
          <w:sz w:val="22"/>
          <w:szCs w:val="22"/>
        </w:rPr>
        <w:t xml:space="preserve">, L., Cook, I. and </w:t>
      </w:r>
      <w:r w:rsidRPr="00E7557F">
        <w:rPr>
          <w:rFonts w:ascii="Arial" w:hAnsi="Arial" w:cs="Arial"/>
          <w:sz w:val="22"/>
          <w:szCs w:val="22"/>
        </w:rPr>
        <w:t>Laing, M. (</w:t>
      </w:r>
      <w:r w:rsidR="00E7557F" w:rsidRPr="00E7557F">
        <w:rPr>
          <w:rFonts w:ascii="Arial" w:hAnsi="Arial" w:cs="Arial"/>
          <w:sz w:val="22"/>
          <w:szCs w:val="22"/>
        </w:rPr>
        <w:t>2019</w:t>
      </w:r>
      <w:r w:rsidRPr="00E7557F">
        <w:rPr>
          <w:rFonts w:ascii="Arial" w:hAnsi="Arial" w:cs="Arial"/>
          <w:sz w:val="22"/>
          <w:szCs w:val="22"/>
        </w:rPr>
        <w:t>) ‘Criminological policy mobilities and sex work: Unders</w:t>
      </w:r>
      <w:r w:rsidR="009D3C6A" w:rsidRPr="00E7557F">
        <w:rPr>
          <w:rFonts w:ascii="Arial" w:hAnsi="Arial" w:cs="Arial"/>
          <w:sz w:val="22"/>
          <w:szCs w:val="22"/>
        </w:rPr>
        <w:t>ta</w:t>
      </w:r>
      <w:r w:rsidRPr="00E7557F">
        <w:rPr>
          <w:rFonts w:ascii="Arial" w:hAnsi="Arial" w:cs="Arial"/>
          <w:sz w:val="22"/>
          <w:szCs w:val="22"/>
        </w:rPr>
        <w:t>nding the movement of the ‘Swedish model’ to Northern Ireland</w:t>
      </w:r>
      <w:r w:rsidR="007F7FCD" w:rsidRPr="00E7557F">
        <w:rPr>
          <w:rFonts w:ascii="Arial" w:hAnsi="Arial" w:cs="Arial"/>
          <w:sz w:val="22"/>
          <w:szCs w:val="22"/>
        </w:rPr>
        <w:t>’</w:t>
      </w:r>
      <w:r w:rsidRPr="00E7557F">
        <w:rPr>
          <w:rFonts w:ascii="Arial" w:hAnsi="Arial" w:cs="Arial"/>
          <w:sz w:val="22"/>
          <w:szCs w:val="22"/>
        </w:rPr>
        <w:t xml:space="preserve">. </w:t>
      </w:r>
      <w:r w:rsidRPr="00E7557F">
        <w:rPr>
          <w:rFonts w:ascii="Arial" w:hAnsi="Arial" w:cs="Arial"/>
          <w:i/>
          <w:sz w:val="22"/>
          <w:szCs w:val="22"/>
        </w:rPr>
        <w:t>British Journal of Criminology</w:t>
      </w:r>
      <w:r w:rsidR="00E7557F" w:rsidRPr="00E7557F">
        <w:rPr>
          <w:rFonts w:ascii="Arial" w:hAnsi="Arial" w:cs="Arial"/>
          <w:sz w:val="22"/>
          <w:szCs w:val="22"/>
        </w:rPr>
        <w:t xml:space="preserve">, </w:t>
      </w:r>
      <w:hyperlink r:id="rId12" w:history="1">
        <w:r w:rsidR="00E7557F" w:rsidRPr="00E7557F">
          <w:rPr>
            <w:rStyle w:val="Hyperlink"/>
            <w:rFonts w:ascii="Arial" w:hAnsi="Arial" w:cs="Arial"/>
            <w:color w:val="006FB7"/>
            <w:sz w:val="22"/>
            <w:szCs w:val="22"/>
            <w:bdr w:val="none" w:sz="0" w:space="0" w:color="auto" w:frame="1"/>
            <w:shd w:val="clear" w:color="auto" w:fill="FFFFFF"/>
          </w:rPr>
          <w:t>https://doi.org/10.1093/bjc/azy058</w:t>
        </w:r>
      </w:hyperlink>
    </w:p>
    <w:p w14:paraId="7DE19DE5" w14:textId="77777777" w:rsidR="00872BEE" w:rsidRPr="00E7557F" w:rsidRDefault="00872BEE">
      <w:pPr>
        <w:rPr>
          <w:rFonts w:ascii="Arial" w:hAnsi="Arial" w:cs="Arial"/>
          <w:sz w:val="22"/>
          <w:szCs w:val="22"/>
        </w:rPr>
      </w:pPr>
    </w:p>
    <w:p w14:paraId="36674F7C" w14:textId="2E9B1A26" w:rsidR="00872BEE" w:rsidRPr="00872BEE" w:rsidRDefault="00872BEE">
      <w:pPr>
        <w:rPr>
          <w:rFonts w:ascii="Helvetica" w:hAnsi="Helvetica" w:cs="Times New Roman"/>
          <w:sz w:val="22"/>
          <w:szCs w:val="22"/>
        </w:rPr>
      </w:pPr>
      <w:r>
        <w:rPr>
          <w:rFonts w:ascii="Helvetica" w:hAnsi="Helvetica" w:cs="Times New Roman"/>
          <w:sz w:val="22"/>
          <w:szCs w:val="22"/>
        </w:rPr>
        <w:t>Mendez Beck, M. and Jaffe, R. (2018) ‘Community Policing Goes South: Policy Mobilities and the New Geographies of Criminological Theory’</w:t>
      </w:r>
      <w:r w:rsidR="008439B7">
        <w:rPr>
          <w:rFonts w:ascii="Helvetica" w:hAnsi="Helvetica" w:cs="Times New Roman"/>
          <w:sz w:val="22"/>
          <w:szCs w:val="22"/>
        </w:rPr>
        <w:t>,</w:t>
      </w:r>
      <w:r>
        <w:rPr>
          <w:rFonts w:ascii="Helvetica" w:hAnsi="Helvetica" w:cs="Times New Roman"/>
          <w:sz w:val="22"/>
          <w:szCs w:val="22"/>
        </w:rPr>
        <w:t xml:space="preserve"> </w:t>
      </w:r>
      <w:r>
        <w:rPr>
          <w:rFonts w:ascii="Helvetica" w:hAnsi="Helvetica" w:cs="Times New Roman"/>
          <w:i/>
          <w:sz w:val="22"/>
          <w:szCs w:val="22"/>
        </w:rPr>
        <w:t>British Journal of Criminology</w:t>
      </w:r>
      <w:r>
        <w:rPr>
          <w:rFonts w:ascii="Helvetica" w:hAnsi="Helvetica" w:cs="Times New Roman"/>
          <w:sz w:val="22"/>
          <w:szCs w:val="22"/>
        </w:rPr>
        <w:t xml:space="preserve">, Online First. 13 November. </w:t>
      </w:r>
    </w:p>
    <w:p w14:paraId="47F46591" w14:textId="77777777" w:rsidR="00076F29" w:rsidRPr="00BD6FFE" w:rsidRDefault="00076F29">
      <w:pPr>
        <w:rPr>
          <w:rFonts w:ascii="Helvetica" w:hAnsi="Helvetica" w:cs="Times New Roman"/>
          <w:sz w:val="22"/>
          <w:szCs w:val="22"/>
        </w:rPr>
      </w:pPr>
    </w:p>
    <w:p w14:paraId="05E93BDA" w14:textId="2B921071" w:rsidR="00076F29" w:rsidRPr="00E7557F" w:rsidRDefault="00076F29">
      <w:pPr>
        <w:rPr>
          <w:rFonts w:ascii="Arial" w:hAnsi="Arial" w:cs="Arial"/>
          <w:sz w:val="22"/>
          <w:szCs w:val="22"/>
        </w:rPr>
      </w:pPr>
      <w:r w:rsidRPr="00BD6FFE">
        <w:rPr>
          <w:rFonts w:ascii="Helvetica" w:hAnsi="Helvetica" w:cs="Times New Roman"/>
          <w:sz w:val="22"/>
          <w:szCs w:val="22"/>
        </w:rPr>
        <w:t xml:space="preserve">Miller, T., and Bell, L. (2002) ‘Consenting to what? Issues of access, gate-keeping and </w:t>
      </w:r>
      <w:r w:rsidR="008439B7">
        <w:rPr>
          <w:rFonts w:ascii="Helvetica" w:hAnsi="Helvetica" w:cs="Times New Roman"/>
          <w:sz w:val="22"/>
          <w:szCs w:val="22"/>
        </w:rPr>
        <w:t>”</w:t>
      </w:r>
      <w:r w:rsidRPr="00BD6FFE">
        <w:rPr>
          <w:rFonts w:ascii="Helvetica" w:hAnsi="Helvetica" w:cs="Times New Roman"/>
          <w:sz w:val="22"/>
          <w:szCs w:val="22"/>
        </w:rPr>
        <w:t>informed</w:t>
      </w:r>
      <w:r w:rsidR="008439B7">
        <w:rPr>
          <w:rFonts w:ascii="Helvetica" w:hAnsi="Helvetica" w:cs="Times New Roman"/>
          <w:sz w:val="22"/>
          <w:szCs w:val="22"/>
        </w:rPr>
        <w:t>”</w:t>
      </w:r>
      <w:r w:rsidRPr="00BD6FFE">
        <w:rPr>
          <w:rFonts w:ascii="Helvetica" w:hAnsi="Helvetica" w:cs="Times New Roman"/>
          <w:sz w:val="22"/>
          <w:szCs w:val="22"/>
        </w:rPr>
        <w:t xml:space="preserve"> </w:t>
      </w:r>
      <w:r w:rsidRPr="00E7557F">
        <w:rPr>
          <w:rFonts w:ascii="Arial" w:hAnsi="Arial" w:cs="Arial"/>
          <w:sz w:val="22"/>
          <w:szCs w:val="22"/>
        </w:rPr>
        <w:t xml:space="preserve">consent.’ in </w:t>
      </w:r>
      <w:proofErr w:type="spellStart"/>
      <w:r w:rsidRPr="00E7557F">
        <w:rPr>
          <w:rFonts w:ascii="Arial" w:hAnsi="Arial" w:cs="Arial"/>
          <w:sz w:val="22"/>
          <w:szCs w:val="22"/>
        </w:rPr>
        <w:t>Mauthner</w:t>
      </w:r>
      <w:proofErr w:type="spellEnd"/>
      <w:r w:rsidRPr="00E7557F">
        <w:rPr>
          <w:rFonts w:ascii="Arial" w:hAnsi="Arial" w:cs="Arial"/>
          <w:sz w:val="22"/>
          <w:szCs w:val="22"/>
        </w:rPr>
        <w:t xml:space="preserve">, M., Birch, M., Jessop, J., and Miller, T. (eds.) </w:t>
      </w:r>
      <w:r w:rsidRPr="00E7557F">
        <w:rPr>
          <w:rFonts w:ascii="Arial" w:hAnsi="Arial" w:cs="Arial"/>
          <w:i/>
          <w:sz w:val="22"/>
          <w:szCs w:val="22"/>
        </w:rPr>
        <w:t xml:space="preserve">Ethics in Qualitative Research. </w:t>
      </w:r>
      <w:r w:rsidRPr="00E7557F">
        <w:rPr>
          <w:rFonts w:ascii="Arial" w:hAnsi="Arial" w:cs="Arial"/>
          <w:sz w:val="22"/>
          <w:szCs w:val="22"/>
        </w:rPr>
        <w:t>London: Safe.</w:t>
      </w:r>
    </w:p>
    <w:p w14:paraId="1D8D7D8B" w14:textId="581603B4" w:rsidR="00E7557F" w:rsidRPr="00E7557F" w:rsidRDefault="00E7557F">
      <w:pPr>
        <w:rPr>
          <w:rFonts w:ascii="Arial" w:hAnsi="Arial" w:cs="Arial"/>
          <w:sz w:val="22"/>
          <w:szCs w:val="22"/>
        </w:rPr>
      </w:pPr>
    </w:p>
    <w:p w14:paraId="5F98F1CC" w14:textId="1B9A6815" w:rsidR="00E7557F" w:rsidRPr="00E7557F" w:rsidRDefault="00E7557F">
      <w:pPr>
        <w:rPr>
          <w:rFonts w:ascii="Arial" w:hAnsi="Arial" w:cs="Arial"/>
          <w:iCs/>
          <w:sz w:val="22"/>
          <w:szCs w:val="22"/>
        </w:rPr>
      </w:pPr>
      <w:r w:rsidRPr="00E7557F">
        <w:rPr>
          <w:rFonts w:ascii="Arial" w:hAnsi="Arial" w:cs="Arial"/>
          <w:sz w:val="22"/>
          <w:szCs w:val="22"/>
        </w:rPr>
        <w:t xml:space="preserve">Newburn, T., Jones, T. and </w:t>
      </w:r>
      <w:proofErr w:type="spellStart"/>
      <w:r w:rsidRPr="00E7557F">
        <w:rPr>
          <w:rFonts w:ascii="Arial" w:hAnsi="Arial" w:cs="Arial"/>
          <w:sz w:val="22"/>
          <w:szCs w:val="22"/>
        </w:rPr>
        <w:t>Blaustein</w:t>
      </w:r>
      <w:proofErr w:type="spellEnd"/>
      <w:r w:rsidRPr="00E7557F">
        <w:rPr>
          <w:rFonts w:ascii="Arial" w:hAnsi="Arial" w:cs="Arial"/>
          <w:sz w:val="22"/>
          <w:szCs w:val="22"/>
        </w:rPr>
        <w:t>, J. (201</w:t>
      </w:r>
      <w:r>
        <w:rPr>
          <w:rFonts w:ascii="Arial" w:hAnsi="Arial" w:cs="Arial"/>
          <w:sz w:val="22"/>
          <w:szCs w:val="22"/>
        </w:rPr>
        <w:t>8</w:t>
      </w:r>
      <w:r w:rsidRPr="00E7557F">
        <w:rPr>
          <w:rFonts w:ascii="Arial" w:hAnsi="Arial" w:cs="Arial"/>
          <w:sz w:val="22"/>
          <w:szCs w:val="22"/>
        </w:rPr>
        <w:t xml:space="preserve">) Policy mobilities and comparative </w:t>
      </w:r>
      <w:proofErr w:type="spellStart"/>
      <w:r w:rsidRPr="00E7557F">
        <w:rPr>
          <w:rFonts w:ascii="Arial" w:hAnsi="Arial" w:cs="Arial"/>
          <w:sz w:val="22"/>
          <w:szCs w:val="22"/>
        </w:rPr>
        <w:t>penality</w:t>
      </w:r>
      <w:proofErr w:type="spellEnd"/>
      <w:r w:rsidRPr="00E7557F">
        <w:rPr>
          <w:rFonts w:ascii="Arial" w:hAnsi="Arial" w:cs="Arial"/>
          <w:sz w:val="22"/>
          <w:szCs w:val="22"/>
        </w:rPr>
        <w:t xml:space="preserve">, </w:t>
      </w:r>
      <w:r w:rsidRPr="00E7557F">
        <w:rPr>
          <w:rFonts w:ascii="Arial" w:hAnsi="Arial" w:cs="Arial"/>
          <w:i/>
          <w:sz w:val="22"/>
          <w:szCs w:val="22"/>
        </w:rPr>
        <w:t>Theoretical Criminology</w:t>
      </w:r>
      <w:r>
        <w:rPr>
          <w:rFonts w:ascii="Arial" w:hAnsi="Arial" w:cs="Arial"/>
          <w:i/>
          <w:sz w:val="22"/>
          <w:szCs w:val="22"/>
        </w:rPr>
        <w:t xml:space="preserve">, </w:t>
      </w:r>
      <w:r>
        <w:rPr>
          <w:rFonts w:ascii="Arial" w:hAnsi="Arial" w:cs="Arial"/>
          <w:iCs/>
          <w:sz w:val="22"/>
          <w:szCs w:val="22"/>
        </w:rPr>
        <w:t>22, 4, 563-581</w:t>
      </w:r>
    </w:p>
    <w:p w14:paraId="5FA9DB4E" w14:textId="77777777" w:rsidR="00076F29" w:rsidRPr="00E7557F" w:rsidRDefault="00076F29">
      <w:pPr>
        <w:rPr>
          <w:rFonts w:ascii="Arial" w:hAnsi="Arial" w:cs="Arial"/>
          <w:sz w:val="22"/>
          <w:szCs w:val="22"/>
        </w:rPr>
      </w:pPr>
    </w:p>
    <w:p w14:paraId="124F399F" w14:textId="74DAC8ED" w:rsidR="00076F29" w:rsidRPr="00BD6FFE" w:rsidRDefault="00076F29">
      <w:pPr>
        <w:widowControl w:val="0"/>
        <w:autoSpaceDE w:val="0"/>
        <w:autoSpaceDN w:val="0"/>
        <w:adjustRightInd w:val="0"/>
        <w:spacing w:after="240"/>
        <w:rPr>
          <w:rFonts w:ascii="Helvetica" w:hAnsi="Helvetica" w:cs="Times New Roman"/>
          <w:color w:val="000000"/>
          <w:sz w:val="22"/>
          <w:szCs w:val="22"/>
          <w:lang w:val="en-US"/>
        </w:rPr>
      </w:pPr>
      <w:r w:rsidRPr="00E7557F">
        <w:rPr>
          <w:rFonts w:ascii="Arial" w:hAnsi="Arial" w:cs="Arial"/>
          <w:color w:val="000000"/>
          <w:sz w:val="22"/>
          <w:szCs w:val="22"/>
          <w:lang w:val="en-US"/>
        </w:rPr>
        <w:t>Peck</w:t>
      </w:r>
      <w:r w:rsidR="008439B7" w:rsidRPr="00E7557F">
        <w:rPr>
          <w:rFonts w:ascii="Arial" w:hAnsi="Arial" w:cs="Arial"/>
          <w:color w:val="000000"/>
          <w:sz w:val="22"/>
          <w:szCs w:val="22"/>
          <w:lang w:val="en-US"/>
        </w:rPr>
        <w:t>,</w:t>
      </w:r>
      <w:r w:rsidRPr="00E7557F">
        <w:rPr>
          <w:rFonts w:ascii="Arial" w:hAnsi="Arial" w:cs="Arial"/>
          <w:color w:val="000000"/>
          <w:sz w:val="22"/>
          <w:szCs w:val="22"/>
          <w:lang w:val="en-US"/>
        </w:rPr>
        <w:t xml:space="preserve"> J</w:t>
      </w:r>
      <w:r w:rsidR="008439B7" w:rsidRPr="00E7557F">
        <w:rPr>
          <w:rFonts w:ascii="Arial" w:hAnsi="Arial" w:cs="Arial"/>
          <w:color w:val="000000"/>
          <w:sz w:val="22"/>
          <w:szCs w:val="22"/>
          <w:lang w:val="en-US"/>
        </w:rPr>
        <w:t>.</w:t>
      </w:r>
      <w:r w:rsidRPr="00E7557F">
        <w:rPr>
          <w:rFonts w:ascii="Arial" w:hAnsi="Arial" w:cs="Arial"/>
          <w:color w:val="000000"/>
          <w:sz w:val="22"/>
          <w:szCs w:val="22"/>
          <w:lang w:val="en-US"/>
        </w:rPr>
        <w:t xml:space="preserve"> (2011) </w:t>
      </w:r>
      <w:r w:rsidR="008439B7" w:rsidRPr="00E7557F">
        <w:rPr>
          <w:rFonts w:ascii="Arial" w:hAnsi="Arial" w:cs="Arial"/>
          <w:color w:val="000000"/>
          <w:sz w:val="22"/>
          <w:szCs w:val="22"/>
          <w:lang w:val="en-US"/>
        </w:rPr>
        <w:t>‘</w:t>
      </w:r>
      <w:r w:rsidRPr="00E7557F">
        <w:rPr>
          <w:rFonts w:ascii="Arial" w:hAnsi="Arial" w:cs="Arial"/>
          <w:color w:val="000000"/>
          <w:sz w:val="22"/>
          <w:szCs w:val="22"/>
          <w:lang w:val="en-US"/>
        </w:rPr>
        <w:t>Geographies</w:t>
      </w:r>
      <w:r w:rsidRPr="00BD6FFE">
        <w:rPr>
          <w:rFonts w:ascii="Helvetica" w:hAnsi="Helvetica" w:cs="Times New Roman"/>
          <w:color w:val="000000"/>
          <w:sz w:val="22"/>
          <w:szCs w:val="22"/>
          <w:lang w:val="en-US"/>
        </w:rPr>
        <w:t xml:space="preserve"> of policy: From transfer-diffusion to mobility-mutation</w:t>
      </w:r>
      <w:r w:rsidR="008439B7">
        <w:rPr>
          <w:rFonts w:ascii="Helvetica" w:hAnsi="Helvetica" w:cs="Times New Roman"/>
          <w:color w:val="000000"/>
          <w:sz w:val="22"/>
          <w:szCs w:val="22"/>
          <w:lang w:val="en-US"/>
        </w:rPr>
        <w:t>’</w:t>
      </w:r>
      <w:r w:rsidRPr="00BD6FFE">
        <w:rPr>
          <w:rFonts w:ascii="Helvetica" w:hAnsi="Helvetica" w:cs="Times New Roman"/>
          <w:color w:val="000000"/>
          <w:sz w:val="22"/>
          <w:szCs w:val="22"/>
          <w:lang w:val="en-US"/>
        </w:rPr>
        <w:t xml:space="preserve">. </w:t>
      </w:r>
      <w:r w:rsidRPr="00BD6FFE">
        <w:rPr>
          <w:rFonts w:ascii="Helvetica" w:hAnsi="Helvetica" w:cs="Times New Roman"/>
          <w:i/>
          <w:iCs/>
          <w:color w:val="000000"/>
          <w:sz w:val="22"/>
          <w:szCs w:val="22"/>
          <w:lang w:val="en-US"/>
        </w:rPr>
        <w:t xml:space="preserve">Progress in Human Geography </w:t>
      </w:r>
      <w:r w:rsidRPr="00BD6FFE">
        <w:rPr>
          <w:rFonts w:ascii="Helvetica" w:hAnsi="Helvetica" w:cs="Times New Roman"/>
          <w:color w:val="000000"/>
          <w:sz w:val="22"/>
          <w:szCs w:val="22"/>
          <w:lang w:val="en-US"/>
        </w:rPr>
        <w:t>35(6): 773–797. </w:t>
      </w:r>
    </w:p>
    <w:p w14:paraId="484C6055" w14:textId="15D79AF1" w:rsidR="008439B7" w:rsidRDefault="008439B7">
      <w:pPr>
        <w:widowControl w:val="0"/>
        <w:autoSpaceDE w:val="0"/>
        <w:autoSpaceDN w:val="0"/>
        <w:adjustRightInd w:val="0"/>
        <w:spacing w:after="240"/>
        <w:rPr>
          <w:rFonts w:ascii="Helvetica" w:hAnsi="Helvetica" w:cs="Times New Roman"/>
          <w:color w:val="000000"/>
          <w:sz w:val="22"/>
          <w:szCs w:val="22"/>
          <w:lang w:val="en-US"/>
        </w:rPr>
      </w:pPr>
      <w:r w:rsidRPr="00BD6FFE">
        <w:rPr>
          <w:rFonts w:ascii="Helvetica" w:hAnsi="Helvetica" w:cs="Times New Roman"/>
          <w:color w:val="000000"/>
          <w:sz w:val="22"/>
          <w:szCs w:val="22"/>
          <w:lang w:val="en-US"/>
        </w:rPr>
        <w:t>Peck</w:t>
      </w:r>
      <w:r>
        <w:rPr>
          <w:rFonts w:ascii="Helvetica" w:hAnsi="Helvetica" w:cs="Times New Roman"/>
          <w:color w:val="000000"/>
          <w:sz w:val="22"/>
          <w:szCs w:val="22"/>
          <w:lang w:val="en-US"/>
        </w:rPr>
        <w:t xml:space="preserve">, </w:t>
      </w:r>
      <w:r w:rsidRPr="00BD6FFE">
        <w:rPr>
          <w:rFonts w:ascii="Helvetica" w:hAnsi="Helvetica" w:cs="Times New Roman"/>
          <w:color w:val="000000"/>
          <w:sz w:val="22"/>
          <w:szCs w:val="22"/>
          <w:lang w:val="en-US"/>
        </w:rPr>
        <w:t>J</w:t>
      </w:r>
      <w:r>
        <w:rPr>
          <w:rFonts w:ascii="Helvetica" w:hAnsi="Helvetica" w:cs="Times New Roman"/>
          <w:color w:val="000000"/>
          <w:sz w:val="22"/>
          <w:szCs w:val="22"/>
          <w:lang w:val="en-US"/>
        </w:rPr>
        <w:t>.</w:t>
      </w:r>
      <w:r w:rsidRPr="00BD6FFE">
        <w:rPr>
          <w:rFonts w:ascii="Helvetica" w:hAnsi="Helvetica" w:cs="Times New Roman"/>
          <w:color w:val="000000"/>
          <w:sz w:val="22"/>
          <w:szCs w:val="22"/>
          <w:lang w:val="en-US"/>
        </w:rPr>
        <w:t xml:space="preserve"> and Theodore N (20</w:t>
      </w:r>
      <w:r>
        <w:rPr>
          <w:rFonts w:ascii="Helvetica" w:hAnsi="Helvetica" w:cs="Times New Roman"/>
          <w:color w:val="000000"/>
          <w:sz w:val="22"/>
          <w:szCs w:val="22"/>
          <w:lang w:val="en-US"/>
        </w:rPr>
        <w:t>09</w:t>
      </w:r>
      <w:r w:rsidRPr="00BD6FFE">
        <w:rPr>
          <w:rFonts w:ascii="Helvetica" w:hAnsi="Helvetica" w:cs="Times New Roman"/>
          <w:color w:val="000000"/>
          <w:sz w:val="22"/>
          <w:szCs w:val="22"/>
          <w:lang w:val="en-US"/>
        </w:rPr>
        <w:t>)</w:t>
      </w:r>
      <w:r>
        <w:rPr>
          <w:rFonts w:ascii="Helvetica" w:hAnsi="Helvetica" w:cs="Times New Roman"/>
          <w:color w:val="000000"/>
          <w:sz w:val="22"/>
          <w:szCs w:val="22"/>
          <w:lang w:val="en-US"/>
        </w:rPr>
        <w:t xml:space="preserve"> </w:t>
      </w:r>
      <w:r w:rsidRPr="000A1533">
        <w:rPr>
          <w:rFonts w:ascii="Helvetica" w:hAnsi="Helvetica" w:cs="Times New Roman"/>
          <w:i/>
          <w:color w:val="000000"/>
          <w:sz w:val="22"/>
          <w:szCs w:val="22"/>
          <w:lang w:val="en-US"/>
        </w:rPr>
        <w:t>Fast Policy: Experimental statecraft at the thresholds of neo-liberalism</w:t>
      </w:r>
      <w:r>
        <w:rPr>
          <w:rFonts w:ascii="Helvetica" w:hAnsi="Helvetica" w:cs="Times New Roman"/>
          <w:color w:val="000000"/>
          <w:sz w:val="22"/>
          <w:szCs w:val="22"/>
          <w:lang w:val="en-US"/>
        </w:rPr>
        <w:t>, Minneapolis: University of Minnesota Press</w:t>
      </w:r>
    </w:p>
    <w:p w14:paraId="04624D06" w14:textId="76A3E187" w:rsidR="00076F29" w:rsidRPr="00BD6FFE" w:rsidRDefault="00076F29">
      <w:pPr>
        <w:widowControl w:val="0"/>
        <w:autoSpaceDE w:val="0"/>
        <w:autoSpaceDN w:val="0"/>
        <w:adjustRightInd w:val="0"/>
        <w:spacing w:after="240"/>
        <w:rPr>
          <w:rFonts w:ascii="Helvetica" w:hAnsi="Helvetica" w:cs="Times New Roman"/>
          <w:color w:val="000000"/>
          <w:sz w:val="22"/>
          <w:szCs w:val="22"/>
          <w:lang w:val="en-US"/>
        </w:rPr>
      </w:pPr>
      <w:r w:rsidRPr="00BD6FFE">
        <w:rPr>
          <w:rFonts w:ascii="Helvetica" w:hAnsi="Helvetica" w:cs="Times New Roman"/>
          <w:color w:val="000000"/>
          <w:sz w:val="22"/>
          <w:szCs w:val="22"/>
          <w:lang w:val="en-US"/>
        </w:rPr>
        <w:t>Peck</w:t>
      </w:r>
      <w:r w:rsidR="008439B7">
        <w:rPr>
          <w:rFonts w:ascii="Helvetica" w:hAnsi="Helvetica" w:cs="Times New Roman"/>
          <w:color w:val="000000"/>
          <w:sz w:val="22"/>
          <w:szCs w:val="22"/>
          <w:lang w:val="en-US"/>
        </w:rPr>
        <w:t>,</w:t>
      </w:r>
      <w:r w:rsidRPr="00BD6FFE">
        <w:rPr>
          <w:rFonts w:ascii="Helvetica" w:hAnsi="Helvetica" w:cs="Times New Roman"/>
          <w:color w:val="000000"/>
          <w:sz w:val="22"/>
          <w:szCs w:val="22"/>
          <w:lang w:val="en-US"/>
        </w:rPr>
        <w:t xml:space="preserve"> J</w:t>
      </w:r>
      <w:r w:rsidR="008439B7">
        <w:rPr>
          <w:rFonts w:ascii="Helvetica" w:hAnsi="Helvetica" w:cs="Times New Roman"/>
          <w:color w:val="000000"/>
          <w:sz w:val="22"/>
          <w:szCs w:val="22"/>
          <w:lang w:val="en-US"/>
        </w:rPr>
        <w:t>.</w:t>
      </w:r>
      <w:r w:rsidRPr="00BD6FFE">
        <w:rPr>
          <w:rFonts w:ascii="Helvetica" w:hAnsi="Helvetica" w:cs="Times New Roman"/>
          <w:color w:val="000000"/>
          <w:sz w:val="22"/>
          <w:szCs w:val="22"/>
          <w:lang w:val="en-US"/>
        </w:rPr>
        <w:t xml:space="preserve"> and Theodore</w:t>
      </w:r>
      <w:r w:rsidR="008439B7">
        <w:rPr>
          <w:rFonts w:ascii="Helvetica" w:hAnsi="Helvetica" w:cs="Times New Roman"/>
          <w:color w:val="000000"/>
          <w:sz w:val="22"/>
          <w:szCs w:val="22"/>
          <w:lang w:val="en-US"/>
        </w:rPr>
        <w:t>,</w:t>
      </w:r>
      <w:r w:rsidRPr="00BD6FFE">
        <w:rPr>
          <w:rFonts w:ascii="Helvetica" w:hAnsi="Helvetica" w:cs="Times New Roman"/>
          <w:color w:val="000000"/>
          <w:sz w:val="22"/>
          <w:szCs w:val="22"/>
          <w:lang w:val="en-US"/>
        </w:rPr>
        <w:t xml:space="preserve"> N</w:t>
      </w:r>
      <w:r w:rsidR="008439B7">
        <w:rPr>
          <w:rFonts w:ascii="Helvetica" w:hAnsi="Helvetica" w:cs="Times New Roman"/>
          <w:color w:val="000000"/>
          <w:sz w:val="22"/>
          <w:szCs w:val="22"/>
          <w:lang w:val="en-US"/>
        </w:rPr>
        <w:t>.</w:t>
      </w:r>
      <w:r w:rsidRPr="00BD6FFE">
        <w:rPr>
          <w:rFonts w:ascii="Helvetica" w:hAnsi="Helvetica" w:cs="Times New Roman"/>
          <w:color w:val="000000"/>
          <w:sz w:val="22"/>
          <w:szCs w:val="22"/>
          <w:lang w:val="en-US"/>
        </w:rPr>
        <w:t xml:space="preserve"> (2010) </w:t>
      </w:r>
      <w:r w:rsidR="008439B7">
        <w:rPr>
          <w:rFonts w:ascii="Helvetica" w:hAnsi="Helvetica" w:cs="Times New Roman"/>
          <w:color w:val="000000"/>
          <w:sz w:val="22"/>
          <w:szCs w:val="22"/>
          <w:lang w:val="en-US"/>
        </w:rPr>
        <w:t>‘</w:t>
      </w:r>
      <w:r w:rsidRPr="00BD6FFE">
        <w:rPr>
          <w:rFonts w:ascii="Helvetica" w:hAnsi="Helvetica" w:cs="Times New Roman"/>
          <w:color w:val="000000"/>
          <w:sz w:val="22"/>
          <w:szCs w:val="22"/>
          <w:lang w:val="en-US"/>
        </w:rPr>
        <w:t>Mobilizing policy: Models, methods and mutations</w:t>
      </w:r>
      <w:r w:rsidR="008439B7">
        <w:rPr>
          <w:rFonts w:ascii="Helvetica" w:hAnsi="Helvetica" w:cs="Times New Roman"/>
          <w:color w:val="000000"/>
          <w:sz w:val="22"/>
          <w:szCs w:val="22"/>
          <w:lang w:val="en-US"/>
        </w:rPr>
        <w:t>’</w:t>
      </w:r>
      <w:r w:rsidRPr="00BD6FFE">
        <w:rPr>
          <w:rFonts w:ascii="Helvetica" w:hAnsi="Helvetica" w:cs="Times New Roman"/>
          <w:color w:val="000000"/>
          <w:sz w:val="22"/>
          <w:szCs w:val="22"/>
          <w:lang w:val="en-US"/>
        </w:rPr>
        <w:t xml:space="preserve">. </w:t>
      </w:r>
      <w:proofErr w:type="spellStart"/>
      <w:r w:rsidRPr="00BD6FFE">
        <w:rPr>
          <w:rFonts w:ascii="Helvetica" w:hAnsi="Helvetica" w:cs="Times New Roman"/>
          <w:i/>
          <w:iCs/>
          <w:color w:val="000000"/>
          <w:sz w:val="22"/>
          <w:szCs w:val="22"/>
          <w:lang w:val="en-US"/>
        </w:rPr>
        <w:t>Geoforum</w:t>
      </w:r>
      <w:proofErr w:type="spellEnd"/>
      <w:r w:rsidRPr="00BD6FFE">
        <w:rPr>
          <w:rFonts w:ascii="Helvetica" w:hAnsi="Helvetica" w:cs="Times New Roman"/>
          <w:i/>
          <w:iCs/>
          <w:color w:val="000000"/>
          <w:sz w:val="22"/>
          <w:szCs w:val="22"/>
          <w:lang w:val="en-US"/>
        </w:rPr>
        <w:t xml:space="preserve"> </w:t>
      </w:r>
      <w:r w:rsidRPr="00BD6FFE">
        <w:rPr>
          <w:rFonts w:ascii="Helvetica" w:hAnsi="Helvetica" w:cs="Times New Roman"/>
          <w:color w:val="000000"/>
          <w:sz w:val="22"/>
          <w:szCs w:val="22"/>
          <w:lang w:val="en-US"/>
        </w:rPr>
        <w:t>41(2): 169–174.</w:t>
      </w:r>
    </w:p>
    <w:p w14:paraId="4A31A4DD" w14:textId="0FCE7B0A" w:rsidR="00076F29" w:rsidRPr="00BD6FFE" w:rsidRDefault="007F7FCD">
      <w:pPr>
        <w:rPr>
          <w:rFonts w:ascii="Helvetica" w:hAnsi="Helvetica" w:cs="Times New Roman"/>
          <w:sz w:val="22"/>
          <w:szCs w:val="22"/>
        </w:rPr>
      </w:pPr>
      <w:r>
        <w:rPr>
          <w:rFonts w:ascii="Helvetica" w:hAnsi="Helvetica" w:cs="Times New Roman"/>
          <w:sz w:val="22"/>
          <w:szCs w:val="22"/>
        </w:rPr>
        <w:t>Pollitt, C. (2001</w:t>
      </w:r>
      <w:r w:rsidR="00076F29" w:rsidRPr="00BD6FFE">
        <w:rPr>
          <w:rFonts w:ascii="Helvetica" w:hAnsi="Helvetica" w:cs="Times New Roman"/>
          <w:sz w:val="22"/>
          <w:szCs w:val="22"/>
        </w:rPr>
        <w:t>) ‘</w:t>
      </w:r>
      <w:r>
        <w:rPr>
          <w:rFonts w:ascii="Helvetica" w:hAnsi="Helvetica" w:cs="Times New Roman"/>
          <w:sz w:val="22"/>
          <w:szCs w:val="22"/>
        </w:rPr>
        <w:t>Convergence: the useful myth?’</w:t>
      </w:r>
      <w:r w:rsidR="00076F29" w:rsidRPr="00BD6FFE">
        <w:rPr>
          <w:rFonts w:ascii="Helvetica" w:hAnsi="Helvetica" w:cs="Times New Roman"/>
          <w:sz w:val="22"/>
          <w:szCs w:val="22"/>
        </w:rPr>
        <w:t>.</w:t>
      </w:r>
      <w:r>
        <w:rPr>
          <w:rFonts w:ascii="Helvetica" w:hAnsi="Helvetica" w:cs="Times New Roman"/>
          <w:sz w:val="22"/>
          <w:szCs w:val="22"/>
        </w:rPr>
        <w:t xml:space="preserve"> </w:t>
      </w:r>
      <w:r w:rsidRPr="007F7FCD">
        <w:rPr>
          <w:rFonts w:ascii="Helvetica" w:hAnsi="Helvetica" w:cs="Times New Roman"/>
          <w:i/>
          <w:sz w:val="22"/>
          <w:szCs w:val="22"/>
        </w:rPr>
        <w:t>Public Administration</w:t>
      </w:r>
      <w:r>
        <w:rPr>
          <w:rFonts w:ascii="Helvetica" w:hAnsi="Helvetica" w:cs="Times New Roman"/>
          <w:sz w:val="22"/>
          <w:szCs w:val="22"/>
        </w:rPr>
        <w:t>, 79(4): 933-47.</w:t>
      </w:r>
    </w:p>
    <w:p w14:paraId="6D8E8946" w14:textId="77777777" w:rsidR="00076F29" w:rsidRPr="00BD6FFE" w:rsidRDefault="00076F29">
      <w:pPr>
        <w:rPr>
          <w:rFonts w:ascii="Helvetica" w:hAnsi="Helvetica" w:cs="Times New Roman"/>
          <w:sz w:val="22"/>
          <w:szCs w:val="22"/>
        </w:rPr>
      </w:pPr>
    </w:p>
    <w:p w14:paraId="61F92FF3" w14:textId="7A5A890E" w:rsidR="004D4B62" w:rsidRDefault="004D4B62">
      <w:pPr>
        <w:rPr>
          <w:rFonts w:ascii="Helvetica" w:hAnsi="Helvetica" w:cs="Times New Roman"/>
          <w:sz w:val="22"/>
          <w:szCs w:val="22"/>
        </w:rPr>
      </w:pPr>
      <w:r>
        <w:rPr>
          <w:rFonts w:ascii="Helvetica" w:hAnsi="Helvetica" w:cs="Times New Roman"/>
          <w:sz w:val="22"/>
          <w:szCs w:val="22"/>
        </w:rPr>
        <w:t xml:space="preserve">Roach, K. (2011) </w:t>
      </w:r>
      <w:r w:rsidRPr="004D4B62">
        <w:rPr>
          <w:rFonts w:ascii="Helvetica" w:hAnsi="Helvetica" w:cs="Times New Roman"/>
          <w:i/>
          <w:iCs/>
          <w:sz w:val="22"/>
          <w:szCs w:val="22"/>
        </w:rPr>
        <w:t>The 9/11 Effect: Comparative Counter-Terrorism</w:t>
      </w:r>
      <w:r>
        <w:rPr>
          <w:rFonts w:ascii="Helvetica" w:hAnsi="Helvetica" w:cs="Times New Roman"/>
          <w:sz w:val="22"/>
          <w:szCs w:val="22"/>
        </w:rPr>
        <w:t xml:space="preserve">, </w:t>
      </w:r>
      <w:r w:rsidRPr="004D4B62">
        <w:rPr>
          <w:rFonts w:ascii="Helvetica" w:hAnsi="Helvetica" w:cs="Times New Roman"/>
          <w:sz w:val="22"/>
          <w:szCs w:val="22"/>
        </w:rPr>
        <w:t>New York: Cambridge University Press</w:t>
      </w:r>
    </w:p>
    <w:p w14:paraId="427BDF28" w14:textId="77777777" w:rsidR="004D4B62" w:rsidRDefault="004D4B62">
      <w:pPr>
        <w:rPr>
          <w:rFonts w:ascii="Helvetica" w:hAnsi="Helvetica" w:cs="Times New Roman"/>
          <w:sz w:val="22"/>
          <w:szCs w:val="22"/>
        </w:rPr>
      </w:pPr>
    </w:p>
    <w:p w14:paraId="10353E37" w14:textId="2FB15E50" w:rsidR="00076F29" w:rsidRPr="00BD6FFE" w:rsidRDefault="00076F29">
      <w:pPr>
        <w:rPr>
          <w:rFonts w:ascii="Helvetica" w:hAnsi="Helvetica" w:cs="Times New Roman"/>
          <w:sz w:val="22"/>
          <w:szCs w:val="22"/>
        </w:rPr>
      </w:pPr>
      <w:r w:rsidRPr="00BD6FFE">
        <w:rPr>
          <w:rFonts w:ascii="Helvetica" w:hAnsi="Helvetica" w:cs="Times New Roman"/>
          <w:sz w:val="22"/>
          <w:szCs w:val="22"/>
        </w:rPr>
        <w:t xml:space="preserve">Rose, R. (1991) ‘What is lesson-drawing?’ </w:t>
      </w:r>
      <w:r w:rsidRPr="00BD6FFE">
        <w:rPr>
          <w:rFonts w:ascii="Helvetica" w:hAnsi="Helvetica" w:cs="Times New Roman"/>
          <w:i/>
          <w:sz w:val="22"/>
          <w:szCs w:val="22"/>
        </w:rPr>
        <w:t xml:space="preserve">Journal of Public Policy, </w:t>
      </w:r>
      <w:r w:rsidRPr="00BD6FFE">
        <w:rPr>
          <w:rFonts w:ascii="Helvetica" w:hAnsi="Helvetica" w:cs="Times New Roman"/>
          <w:sz w:val="22"/>
          <w:szCs w:val="22"/>
        </w:rPr>
        <w:t xml:space="preserve">11(1): 3-30. </w:t>
      </w:r>
    </w:p>
    <w:p w14:paraId="65A07A27" w14:textId="77777777" w:rsidR="00076F29" w:rsidRPr="00BD6FFE" w:rsidRDefault="00076F29">
      <w:pPr>
        <w:rPr>
          <w:rFonts w:ascii="Helvetica" w:hAnsi="Helvetica" w:cs="Times New Roman"/>
          <w:sz w:val="22"/>
          <w:szCs w:val="22"/>
        </w:rPr>
      </w:pPr>
    </w:p>
    <w:p w14:paraId="587B1085" w14:textId="77777777" w:rsidR="00076F29" w:rsidRPr="00BD6FFE" w:rsidRDefault="00076F29">
      <w:pPr>
        <w:rPr>
          <w:rFonts w:ascii="Helvetica" w:hAnsi="Helvetica" w:cs="Times New Roman"/>
          <w:sz w:val="22"/>
          <w:szCs w:val="22"/>
        </w:rPr>
      </w:pPr>
      <w:r w:rsidRPr="00BD6FFE">
        <w:rPr>
          <w:rFonts w:ascii="Helvetica" w:hAnsi="Helvetica" w:cs="Times New Roman"/>
          <w:sz w:val="22"/>
          <w:szCs w:val="22"/>
        </w:rPr>
        <w:t xml:space="preserve">Rose, R. (1993) </w:t>
      </w:r>
      <w:r w:rsidRPr="00BD6FFE">
        <w:rPr>
          <w:rFonts w:ascii="Helvetica" w:hAnsi="Helvetica" w:cs="Times New Roman"/>
          <w:i/>
          <w:sz w:val="22"/>
          <w:szCs w:val="22"/>
        </w:rPr>
        <w:t xml:space="preserve">Lesson-drawing and Public Policy: A Guide to Learning Across Time and Space.  </w:t>
      </w:r>
      <w:r w:rsidRPr="00BD6FFE">
        <w:rPr>
          <w:rFonts w:ascii="Helvetica" w:hAnsi="Helvetica" w:cs="Times New Roman"/>
          <w:sz w:val="22"/>
          <w:szCs w:val="22"/>
        </w:rPr>
        <w:t>Chatham, NJ.: Chatham House Press.</w:t>
      </w:r>
    </w:p>
    <w:p w14:paraId="04359CCE" w14:textId="77777777" w:rsidR="00076F29" w:rsidRPr="00BD6FFE" w:rsidRDefault="00076F29">
      <w:pPr>
        <w:rPr>
          <w:rFonts w:ascii="Helvetica" w:hAnsi="Helvetica" w:cs="Times New Roman"/>
          <w:sz w:val="22"/>
          <w:szCs w:val="22"/>
        </w:rPr>
      </w:pPr>
    </w:p>
    <w:p w14:paraId="4F703180" w14:textId="40B35F46" w:rsidR="00310C5A" w:rsidRPr="00310C5A" w:rsidRDefault="00310C5A">
      <w:pPr>
        <w:rPr>
          <w:rFonts w:ascii="Helvetica" w:hAnsi="Helvetica" w:cs="Times New Roman"/>
          <w:sz w:val="22"/>
          <w:szCs w:val="22"/>
        </w:rPr>
      </w:pPr>
      <w:r>
        <w:rPr>
          <w:rFonts w:ascii="Helvetica" w:hAnsi="Helvetica" w:cs="Times New Roman"/>
          <w:sz w:val="22"/>
          <w:szCs w:val="22"/>
        </w:rPr>
        <w:t>Sharman, J. (2008) ‘</w:t>
      </w:r>
      <w:r w:rsidRPr="00310C5A">
        <w:rPr>
          <w:rFonts w:ascii="Helvetica" w:hAnsi="Helvetica" w:cs="Times New Roman"/>
          <w:sz w:val="22"/>
          <w:szCs w:val="22"/>
        </w:rPr>
        <w:t>Power and Discourse in Policy Diffusion: Anti-Money Laundering in Developing States</w:t>
      </w:r>
      <w:r>
        <w:rPr>
          <w:rFonts w:ascii="Helvetica" w:hAnsi="Helvetica" w:cs="Times New Roman"/>
          <w:sz w:val="22"/>
          <w:szCs w:val="22"/>
        </w:rPr>
        <w:t xml:space="preserve">’, </w:t>
      </w:r>
      <w:r w:rsidRPr="00310C5A">
        <w:rPr>
          <w:rFonts w:ascii="Helvetica" w:hAnsi="Helvetica" w:cs="Times New Roman"/>
          <w:i/>
          <w:sz w:val="22"/>
          <w:szCs w:val="22"/>
        </w:rPr>
        <w:t>International Studies Quarterly,</w:t>
      </w:r>
      <w:r>
        <w:rPr>
          <w:rFonts w:ascii="Helvetica" w:hAnsi="Helvetica" w:cs="Times New Roman"/>
          <w:sz w:val="22"/>
          <w:szCs w:val="22"/>
        </w:rPr>
        <w:t>52(3): 635-656</w:t>
      </w:r>
    </w:p>
    <w:p w14:paraId="79AEB695" w14:textId="77777777" w:rsidR="00310C5A" w:rsidRDefault="00310C5A">
      <w:pPr>
        <w:rPr>
          <w:rFonts w:ascii="Helvetica" w:hAnsi="Helvetica" w:cs="Times New Roman"/>
          <w:sz w:val="22"/>
          <w:szCs w:val="22"/>
        </w:rPr>
      </w:pPr>
    </w:p>
    <w:p w14:paraId="17CD4030" w14:textId="1E27D8A3" w:rsidR="00076F29" w:rsidRPr="00BD6FFE" w:rsidRDefault="00076F29">
      <w:pPr>
        <w:rPr>
          <w:rFonts w:ascii="Helvetica" w:hAnsi="Helvetica" w:cs="Times New Roman"/>
          <w:sz w:val="22"/>
          <w:szCs w:val="22"/>
        </w:rPr>
      </w:pPr>
      <w:r w:rsidRPr="00BD6FFE">
        <w:rPr>
          <w:rFonts w:ascii="Helvetica" w:hAnsi="Helvetica" w:cs="Times New Roman"/>
          <w:sz w:val="22"/>
          <w:szCs w:val="22"/>
        </w:rPr>
        <w:t xml:space="preserve">Smith, K. (2006) ‘Problematising power relations in ‘elite’ interviews’ </w:t>
      </w:r>
      <w:proofErr w:type="spellStart"/>
      <w:r w:rsidRPr="00BD6FFE">
        <w:rPr>
          <w:rFonts w:ascii="Helvetica" w:hAnsi="Helvetica" w:cs="Times New Roman"/>
          <w:i/>
          <w:sz w:val="22"/>
          <w:szCs w:val="22"/>
        </w:rPr>
        <w:t>Geoforum</w:t>
      </w:r>
      <w:proofErr w:type="spellEnd"/>
      <w:r w:rsidRPr="00BD6FFE">
        <w:rPr>
          <w:rFonts w:ascii="Helvetica" w:hAnsi="Helvetica" w:cs="Times New Roman"/>
          <w:i/>
          <w:sz w:val="22"/>
          <w:szCs w:val="22"/>
        </w:rPr>
        <w:t xml:space="preserve">, </w:t>
      </w:r>
      <w:r w:rsidRPr="00BD6FFE">
        <w:rPr>
          <w:rFonts w:ascii="Helvetica" w:hAnsi="Helvetica" w:cs="Times New Roman"/>
          <w:sz w:val="22"/>
          <w:szCs w:val="22"/>
        </w:rPr>
        <w:t>37(4): 643-653.</w:t>
      </w:r>
    </w:p>
    <w:p w14:paraId="38243181" w14:textId="77777777" w:rsidR="00076F29" w:rsidRPr="00BD6FFE" w:rsidRDefault="00076F29">
      <w:pPr>
        <w:rPr>
          <w:rFonts w:ascii="Helvetica" w:hAnsi="Helvetica" w:cs="Times New Roman"/>
          <w:sz w:val="22"/>
          <w:szCs w:val="22"/>
        </w:rPr>
      </w:pPr>
    </w:p>
    <w:p w14:paraId="5F8BE0F4" w14:textId="607AB553" w:rsidR="00076F29" w:rsidRPr="00BD6FFE" w:rsidRDefault="00076F29">
      <w:pPr>
        <w:rPr>
          <w:rFonts w:ascii="Helvetica" w:hAnsi="Helvetica" w:cs="Times New Roman"/>
          <w:sz w:val="22"/>
          <w:szCs w:val="22"/>
        </w:rPr>
      </w:pPr>
      <w:r w:rsidRPr="00BD6FFE">
        <w:rPr>
          <w:rFonts w:ascii="Helvetica" w:hAnsi="Helvetica" w:cs="Times New Roman"/>
          <w:sz w:val="22"/>
          <w:szCs w:val="22"/>
        </w:rPr>
        <w:t>Stone, D. (2004) ‘Transfer agents and global networks in the ‘</w:t>
      </w:r>
      <w:proofErr w:type="spellStart"/>
      <w:r w:rsidRPr="00BD6FFE">
        <w:rPr>
          <w:rFonts w:ascii="Helvetica" w:hAnsi="Helvetica" w:cs="Times New Roman"/>
          <w:sz w:val="22"/>
          <w:szCs w:val="22"/>
        </w:rPr>
        <w:t>transnationalization</w:t>
      </w:r>
      <w:proofErr w:type="spellEnd"/>
      <w:r w:rsidRPr="00BD6FFE">
        <w:rPr>
          <w:rFonts w:ascii="Helvetica" w:hAnsi="Helvetica" w:cs="Times New Roman"/>
          <w:sz w:val="22"/>
          <w:szCs w:val="22"/>
        </w:rPr>
        <w:t>’ of policy’</w:t>
      </w:r>
      <w:r w:rsidR="008439B7">
        <w:rPr>
          <w:rFonts w:ascii="Helvetica" w:hAnsi="Helvetica" w:cs="Times New Roman"/>
          <w:sz w:val="22"/>
          <w:szCs w:val="22"/>
        </w:rPr>
        <w:t>,</w:t>
      </w:r>
      <w:r w:rsidRPr="00BD6FFE">
        <w:rPr>
          <w:rFonts w:ascii="Helvetica" w:hAnsi="Helvetica" w:cs="Times New Roman"/>
          <w:sz w:val="22"/>
          <w:szCs w:val="22"/>
        </w:rPr>
        <w:t xml:space="preserve"> </w:t>
      </w:r>
      <w:r w:rsidRPr="00BD6FFE">
        <w:rPr>
          <w:rFonts w:ascii="Helvetica" w:hAnsi="Helvetica" w:cs="Times New Roman"/>
          <w:i/>
          <w:sz w:val="22"/>
          <w:szCs w:val="22"/>
        </w:rPr>
        <w:t xml:space="preserve">Journal of European Policy, </w:t>
      </w:r>
      <w:r w:rsidRPr="00BD6FFE">
        <w:rPr>
          <w:rFonts w:ascii="Helvetica" w:hAnsi="Helvetica" w:cs="Times New Roman"/>
          <w:sz w:val="22"/>
          <w:szCs w:val="22"/>
        </w:rPr>
        <w:t>11(3): 545-566.</w:t>
      </w:r>
    </w:p>
    <w:p w14:paraId="1441C83C" w14:textId="77777777" w:rsidR="00076F29" w:rsidRPr="00BD6FFE" w:rsidRDefault="00076F29">
      <w:pPr>
        <w:rPr>
          <w:rFonts w:ascii="Helvetica" w:hAnsi="Helvetica" w:cs="Times New Roman"/>
          <w:sz w:val="22"/>
          <w:szCs w:val="22"/>
        </w:rPr>
      </w:pPr>
    </w:p>
    <w:p w14:paraId="3AAB663C" w14:textId="77777777" w:rsidR="00076F29" w:rsidRDefault="00076F29">
      <w:pPr>
        <w:rPr>
          <w:rFonts w:ascii="Helvetica" w:hAnsi="Helvetica" w:cs="Times New Roman"/>
          <w:sz w:val="22"/>
          <w:szCs w:val="22"/>
        </w:rPr>
      </w:pPr>
      <w:r w:rsidRPr="00BD6FFE">
        <w:rPr>
          <w:rFonts w:ascii="Helvetica" w:hAnsi="Helvetica" w:cs="Times New Roman"/>
          <w:sz w:val="22"/>
          <w:szCs w:val="22"/>
        </w:rPr>
        <w:t xml:space="preserve">Stubbs, P. (2015) ‘Performing reform in South East Europe: consultancy, translation and flexible agency’ in Clarke, J., </w:t>
      </w:r>
      <w:proofErr w:type="spellStart"/>
      <w:r w:rsidRPr="00BD6FFE">
        <w:rPr>
          <w:rFonts w:ascii="Helvetica" w:hAnsi="Helvetica" w:cs="Times New Roman"/>
          <w:sz w:val="22"/>
          <w:szCs w:val="22"/>
        </w:rPr>
        <w:t>Bainton</w:t>
      </w:r>
      <w:proofErr w:type="spellEnd"/>
      <w:r w:rsidRPr="00BD6FFE">
        <w:rPr>
          <w:rFonts w:ascii="Helvetica" w:hAnsi="Helvetica" w:cs="Times New Roman"/>
          <w:sz w:val="22"/>
          <w:szCs w:val="22"/>
        </w:rPr>
        <w:t xml:space="preserve">, D., </w:t>
      </w:r>
      <w:proofErr w:type="spellStart"/>
      <w:r w:rsidRPr="00BD6FFE">
        <w:rPr>
          <w:rFonts w:ascii="Helvetica" w:hAnsi="Helvetica" w:cs="Times New Roman"/>
          <w:sz w:val="22"/>
          <w:szCs w:val="22"/>
        </w:rPr>
        <w:t>Lendvai</w:t>
      </w:r>
      <w:proofErr w:type="spellEnd"/>
      <w:r w:rsidRPr="00BD6FFE">
        <w:rPr>
          <w:rFonts w:ascii="Helvetica" w:hAnsi="Helvetica" w:cs="Times New Roman"/>
          <w:sz w:val="22"/>
          <w:szCs w:val="22"/>
        </w:rPr>
        <w:t xml:space="preserve">, N. and Stubbs, P. (eds.) </w:t>
      </w:r>
      <w:r w:rsidRPr="00BD6FFE">
        <w:rPr>
          <w:rFonts w:ascii="Helvetica" w:hAnsi="Helvetica" w:cs="Times New Roman"/>
          <w:i/>
          <w:sz w:val="22"/>
          <w:szCs w:val="22"/>
        </w:rPr>
        <w:t xml:space="preserve">Making Policy Move: Towards a Politics of Translation and Assemblage. </w:t>
      </w:r>
      <w:r w:rsidRPr="00BD6FFE">
        <w:rPr>
          <w:rFonts w:ascii="Helvetica" w:hAnsi="Helvetica" w:cs="Times New Roman"/>
          <w:sz w:val="22"/>
          <w:szCs w:val="22"/>
        </w:rPr>
        <w:t>Bristol: The Policy Press.</w:t>
      </w:r>
    </w:p>
    <w:p w14:paraId="0B1E7BD8" w14:textId="77777777" w:rsidR="00A9463F" w:rsidRDefault="00A9463F">
      <w:pPr>
        <w:rPr>
          <w:rFonts w:ascii="Helvetica" w:hAnsi="Helvetica" w:cs="Times New Roman"/>
          <w:sz w:val="22"/>
          <w:szCs w:val="22"/>
        </w:rPr>
      </w:pPr>
    </w:p>
    <w:p w14:paraId="2B81BE53" w14:textId="65CDDF9C" w:rsidR="00A9463F" w:rsidRPr="00BD6FFE" w:rsidRDefault="00A9463F">
      <w:pPr>
        <w:rPr>
          <w:rFonts w:ascii="Helvetica" w:hAnsi="Helvetica" w:cs="Times New Roman"/>
          <w:sz w:val="22"/>
          <w:szCs w:val="22"/>
        </w:rPr>
      </w:pPr>
      <w:r>
        <w:rPr>
          <w:rFonts w:ascii="Helvetica" w:hAnsi="Helvetica" w:cs="Times New Roman"/>
          <w:sz w:val="22"/>
          <w:szCs w:val="22"/>
        </w:rPr>
        <w:t>Swanson, K. (2013) ‘</w:t>
      </w:r>
      <w:r w:rsidRPr="00A9463F">
        <w:rPr>
          <w:rFonts w:ascii="Helvetica" w:hAnsi="Helvetica" w:cs="Times New Roman"/>
          <w:sz w:val="22"/>
          <w:szCs w:val="22"/>
          <w:lang w:val="en"/>
        </w:rPr>
        <w:t>Zero Tolerance in Latin America: Punitive Paradox in Urban Policy Mobilities</w:t>
      </w:r>
      <w:r>
        <w:rPr>
          <w:rFonts w:ascii="Helvetica" w:hAnsi="Helvetica" w:cs="Times New Roman"/>
          <w:sz w:val="22"/>
          <w:szCs w:val="22"/>
          <w:lang w:val="en"/>
        </w:rPr>
        <w:t xml:space="preserve">’, </w:t>
      </w:r>
      <w:r w:rsidRPr="00A9463F">
        <w:rPr>
          <w:rFonts w:ascii="Helvetica" w:hAnsi="Helvetica" w:cs="Times New Roman"/>
          <w:i/>
          <w:sz w:val="22"/>
          <w:szCs w:val="22"/>
          <w:lang w:val="en"/>
        </w:rPr>
        <w:t>Journal of Urban Geography</w:t>
      </w:r>
      <w:r>
        <w:rPr>
          <w:rFonts w:ascii="Helvetica" w:hAnsi="Helvetica" w:cs="Times New Roman"/>
          <w:sz w:val="22"/>
          <w:szCs w:val="22"/>
          <w:lang w:val="en"/>
        </w:rPr>
        <w:t>, 34(7): 972-988</w:t>
      </w:r>
    </w:p>
    <w:p w14:paraId="5C7DEDBA" w14:textId="77777777" w:rsidR="00076F29" w:rsidRPr="00BD6FFE" w:rsidRDefault="00076F29">
      <w:pPr>
        <w:rPr>
          <w:rFonts w:ascii="Helvetica" w:hAnsi="Helvetica" w:cs="Times New Roman"/>
          <w:sz w:val="22"/>
          <w:szCs w:val="22"/>
        </w:rPr>
      </w:pPr>
    </w:p>
    <w:p w14:paraId="6615E1EB" w14:textId="31A7B4BE" w:rsidR="00076F29" w:rsidRDefault="00076F29">
      <w:pPr>
        <w:widowControl w:val="0"/>
        <w:autoSpaceDE w:val="0"/>
        <w:autoSpaceDN w:val="0"/>
        <w:adjustRightInd w:val="0"/>
        <w:spacing w:after="240"/>
        <w:rPr>
          <w:rFonts w:ascii="Helvetica" w:hAnsi="Helvetica" w:cs="Times New Roman"/>
          <w:color w:val="000000"/>
          <w:sz w:val="22"/>
          <w:szCs w:val="22"/>
          <w:lang w:val="en-US"/>
        </w:rPr>
      </w:pPr>
      <w:proofErr w:type="spellStart"/>
      <w:r w:rsidRPr="00BD6FFE">
        <w:rPr>
          <w:rFonts w:ascii="Helvetica" w:hAnsi="Helvetica" w:cs="Times New Roman"/>
          <w:color w:val="000000"/>
          <w:sz w:val="22"/>
          <w:szCs w:val="22"/>
          <w:lang w:val="en-US"/>
        </w:rPr>
        <w:t>Tenemos</w:t>
      </w:r>
      <w:proofErr w:type="spellEnd"/>
      <w:r w:rsidRPr="00BD6FFE">
        <w:rPr>
          <w:rFonts w:ascii="Helvetica" w:hAnsi="Helvetica" w:cs="Times New Roman"/>
          <w:color w:val="000000"/>
          <w:sz w:val="22"/>
          <w:szCs w:val="22"/>
          <w:lang w:val="en-US"/>
        </w:rPr>
        <w:t xml:space="preserve"> C and McCann E (2013) </w:t>
      </w:r>
      <w:r w:rsidR="007F7FCD">
        <w:rPr>
          <w:rFonts w:ascii="Helvetica" w:hAnsi="Helvetica" w:cs="Times New Roman"/>
          <w:color w:val="000000"/>
          <w:sz w:val="22"/>
          <w:szCs w:val="22"/>
          <w:lang w:val="en-US"/>
        </w:rPr>
        <w:t>‘</w:t>
      </w:r>
      <w:r w:rsidRPr="00BD6FFE">
        <w:rPr>
          <w:rFonts w:ascii="Helvetica" w:hAnsi="Helvetica" w:cs="Times New Roman"/>
          <w:color w:val="000000"/>
          <w:sz w:val="22"/>
          <w:szCs w:val="22"/>
          <w:lang w:val="en-US"/>
        </w:rPr>
        <w:t>Geographies of policy mobilities</w:t>
      </w:r>
      <w:r w:rsidR="007F7FCD">
        <w:rPr>
          <w:rFonts w:ascii="Helvetica" w:hAnsi="Helvetica" w:cs="Times New Roman"/>
          <w:color w:val="000000"/>
          <w:sz w:val="22"/>
          <w:szCs w:val="22"/>
          <w:lang w:val="en-US"/>
        </w:rPr>
        <w:t>’</w:t>
      </w:r>
      <w:r w:rsidRPr="00BD6FFE">
        <w:rPr>
          <w:rFonts w:ascii="Helvetica" w:hAnsi="Helvetica" w:cs="Times New Roman"/>
          <w:color w:val="000000"/>
          <w:sz w:val="22"/>
          <w:szCs w:val="22"/>
          <w:lang w:val="en-US"/>
        </w:rPr>
        <w:t xml:space="preserve">. </w:t>
      </w:r>
      <w:r w:rsidRPr="00BD6FFE">
        <w:rPr>
          <w:rFonts w:ascii="Helvetica" w:hAnsi="Helvetica" w:cs="Times New Roman"/>
          <w:i/>
          <w:iCs/>
          <w:color w:val="000000"/>
          <w:sz w:val="22"/>
          <w:szCs w:val="22"/>
          <w:lang w:val="en-US"/>
        </w:rPr>
        <w:t xml:space="preserve">Geography </w:t>
      </w:r>
      <w:r w:rsidRPr="00BD6FFE">
        <w:rPr>
          <w:rFonts w:ascii="Helvetica" w:hAnsi="Helvetica" w:cs="Times New Roman"/>
          <w:i/>
          <w:iCs/>
          <w:color w:val="000000"/>
          <w:sz w:val="22"/>
          <w:szCs w:val="22"/>
          <w:lang w:val="en-US"/>
        </w:rPr>
        <w:lastRenderedPageBreak/>
        <w:t xml:space="preserve">Compass </w:t>
      </w:r>
      <w:r w:rsidRPr="00BD6FFE">
        <w:rPr>
          <w:rFonts w:ascii="Helvetica" w:hAnsi="Helvetica" w:cs="Times New Roman"/>
          <w:color w:val="000000"/>
          <w:sz w:val="22"/>
          <w:szCs w:val="22"/>
          <w:lang w:val="en-US"/>
        </w:rPr>
        <w:t>7(5): 344–357.</w:t>
      </w:r>
    </w:p>
    <w:p w14:paraId="09CDB7D7" w14:textId="2780E88B" w:rsidR="00A64D24" w:rsidRPr="00BD6FFE" w:rsidRDefault="00A64D24">
      <w:pPr>
        <w:widowControl w:val="0"/>
        <w:autoSpaceDE w:val="0"/>
        <w:autoSpaceDN w:val="0"/>
        <w:adjustRightInd w:val="0"/>
        <w:spacing w:after="240"/>
        <w:rPr>
          <w:rFonts w:ascii="Helvetica" w:hAnsi="Helvetica" w:cs="Times New Roman"/>
          <w:color w:val="000000"/>
          <w:sz w:val="22"/>
          <w:szCs w:val="22"/>
          <w:lang w:val="en-US"/>
        </w:rPr>
      </w:pPr>
      <w:proofErr w:type="spellStart"/>
      <w:r>
        <w:rPr>
          <w:rFonts w:ascii="Helvetica" w:hAnsi="Helvetica" w:cs="Times New Roman"/>
          <w:color w:val="000000"/>
          <w:sz w:val="22"/>
          <w:szCs w:val="22"/>
          <w:lang w:val="en-US"/>
        </w:rPr>
        <w:t>Tenemos</w:t>
      </w:r>
      <w:proofErr w:type="spellEnd"/>
      <w:r>
        <w:rPr>
          <w:rFonts w:ascii="Helvetica" w:hAnsi="Helvetica" w:cs="Times New Roman"/>
          <w:color w:val="000000"/>
          <w:sz w:val="22"/>
          <w:szCs w:val="22"/>
          <w:lang w:val="en-US"/>
        </w:rPr>
        <w:t xml:space="preserve">, C. and Ward, K. (2018) ‘Examining Global Policy Mobilities’, in J. Harrison and M. </w:t>
      </w:r>
      <w:proofErr w:type="spellStart"/>
      <w:r>
        <w:rPr>
          <w:rFonts w:ascii="Helvetica" w:hAnsi="Helvetica" w:cs="Times New Roman"/>
          <w:color w:val="000000"/>
          <w:sz w:val="22"/>
          <w:szCs w:val="22"/>
          <w:lang w:val="en-US"/>
        </w:rPr>
        <w:t>Hoyler</w:t>
      </w:r>
      <w:proofErr w:type="spellEnd"/>
      <w:r>
        <w:rPr>
          <w:rFonts w:ascii="Helvetica" w:hAnsi="Helvetica" w:cs="Times New Roman"/>
          <w:color w:val="000000"/>
          <w:sz w:val="22"/>
          <w:szCs w:val="22"/>
          <w:lang w:val="en-US"/>
        </w:rPr>
        <w:t xml:space="preserve"> (eds) </w:t>
      </w:r>
      <w:r w:rsidRPr="000A1533">
        <w:rPr>
          <w:rFonts w:ascii="Helvetica" w:hAnsi="Helvetica" w:cs="Times New Roman"/>
          <w:i/>
          <w:color w:val="000000"/>
          <w:sz w:val="22"/>
          <w:szCs w:val="22"/>
          <w:lang w:val="en-US"/>
        </w:rPr>
        <w:t>Doing Global Urban Research</w:t>
      </w:r>
      <w:r>
        <w:rPr>
          <w:rFonts w:ascii="Helvetica" w:hAnsi="Helvetica" w:cs="Times New Roman"/>
          <w:color w:val="000000"/>
          <w:sz w:val="22"/>
          <w:szCs w:val="22"/>
          <w:lang w:val="en-US"/>
        </w:rPr>
        <w:t>, London: Sage pp. 66-80</w:t>
      </w:r>
    </w:p>
    <w:p w14:paraId="163CB09A" w14:textId="6D25A8E7" w:rsidR="00230038" w:rsidRPr="00BD6FFE" w:rsidRDefault="00230038">
      <w:pPr>
        <w:widowControl w:val="0"/>
        <w:autoSpaceDE w:val="0"/>
        <w:autoSpaceDN w:val="0"/>
        <w:adjustRightInd w:val="0"/>
        <w:spacing w:after="240"/>
        <w:rPr>
          <w:rFonts w:ascii="Helvetica" w:hAnsi="Helvetica" w:cs="Times New Roman"/>
          <w:color w:val="000000"/>
          <w:sz w:val="22"/>
          <w:szCs w:val="22"/>
          <w:lang w:val="en-US"/>
        </w:rPr>
      </w:pPr>
      <w:r w:rsidRPr="00BD6FFE">
        <w:rPr>
          <w:rFonts w:ascii="Helvetica" w:hAnsi="Helvetica" w:cs="Times New Roman"/>
          <w:color w:val="000000"/>
          <w:sz w:val="22"/>
          <w:szCs w:val="22"/>
          <w:lang w:val="en-US"/>
        </w:rPr>
        <w:t xml:space="preserve">Tosh, J. 2015) </w:t>
      </w:r>
      <w:r w:rsidRPr="00BD6FFE">
        <w:rPr>
          <w:rFonts w:ascii="Helvetica" w:hAnsi="Helvetica" w:cs="Times New Roman"/>
          <w:i/>
          <w:color w:val="000000"/>
          <w:sz w:val="22"/>
          <w:szCs w:val="22"/>
          <w:lang w:val="en-US"/>
        </w:rPr>
        <w:t xml:space="preserve">The Pursuit of History: Aim, methods and new directions in the study of history, </w:t>
      </w:r>
      <w:r w:rsidRPr="00BD6FFE">
        <w:rPr>
          <w:rFonts w:ascii="Helvetica" w:hAnsi="Helvetica" w:cs="Times New Roman"/>
          <w:color w:val="000000"/>
          <w:sz w:val="22"/>
          <w:szCs w:val="22"/>
          <w:lang w:val="en-US"/>
        </w:rPr>
        <w:t>London: Routledge</w:t>
      </w:r>
    </w:p>
    <w:p w14:paraId="4D94E5AF" w14:textId="77777777" w:rsidR="00076F29" w:rsidRPr="00BD6FFE" w:rsidRDefault="00076F29">
      <w:pPr>
        <w:widowControl w:val="0"/>
        <w:autoSpaceDE w:val="0"/>
        <w:autoSpaceDN w:val="0"/>
        <w:adjustRightInd w:val="0"/>
        <w:spacing w:after="240"/>
        <w:rPr>
          <w:rFonts w:ascii="Helvetica" w:hAnsi="Helvetica" w:cs="Times New Roman"/>
          <w:color w:val="000000"/>
          <w:sz w:val="22"/>
          <w:szCs w:val="22"/>
          <w:lang w:val="en-US"/>
        </w:rPr>
      </w:pPr>
      <w:r w:rsidRPr="00BD6FFE">
        <w:rPr>
          <w:rFonts w:ascii="Helvetica" w:hAnsi="Helvetica" w:cs="Times New Roman"/>
          <w:color w:val="000000"/>
          <w:sz w:val="22"/>
          <w:szCs w:val="22"/>
          <w:lang w:val="en-US"/>
        </w:rPr>
        <w:t xml:space="preserve">Wacquant, L. (1999) ‘How penal common sense comes to Europeans: Notes on the transatlantic diffusion of the neoliberal doxa’ </w:t>
      </w:r>
      <w:r w:rsidRPr="00BD6FFE">
        <w:rPr>
          <w:rFonts w:ascii="Helvetica" w:hAnsi="Helvetica" w:cs="Times New Roman"/>
          <w:i/>
          <w:color w:val="000000"/>
          <w:sz w:val="22"/>
          <w:szCs w:val="22"/>
          <w:lang w:val="en-US"/>
        </w:rPr>
        <w:t xml:space="preserve">European Societies, </w:t>
      </w:r>
      <w:r w:rsidRPr="00BD6FFE">
        <w:rPr>
          <w:rFonts w:ascii="Helvetica" w:hAnsi="Helvetica" w:cs="Times New Roman"/>
          <w:color w:val="000000"/>
          <w:sz w:val="22"/>
          <w:szCs w:val="22"/>
          <w:lang w:val="en-US"/>
        </w:rPr>
        <w:t>1(3): 319-352.</w:t>
      </w:r>
    </w:p>
    <w:p w14:paraId="643C399F" w14:textId="67899CC9" w:rsidR="00076F29" w:rsidRDefault="00076F29">
      <w:pPr>
        <w:rPr>
          <w:rFonts w:ascii="Helvetica" w:hAnsi="Helvetica" w:cs="Times New Roman"/>
          <w:sz w:val="22"/>
          <w:szCs w:val="22"/>
        </w:rPr>
      </w:pPr>
      <w:r w:rsidRPr="00BD6FFE">
        <w:rPr>
          <w:rFonts w:ascii="Helvetica" w:hAnsi="Helvetica" w:cs="Times New Roman"/>
          <w:sz w:val="22"/>
          <w:szCs w:val="22"/>
        </w:rPr>
        <w:t xml:space="preserve">Walker, J. (1969) ‘The diffusion of innovations among the American states’ </w:t>
      </w:r>
      <w:r w:rsidRPr="00BD6FFE">
        <w:rPr>
          <w:rFonts w:ascii="Helvetica" w:hAnsi="Helvetica" w:cs="Times New Roman"/>
          <w:i/>
          <w:sz w:val="22"/>
          <w:szCs w:val="22"/>
        </w:rPr>
        <w:t xml:space="preserve">American Political Science Review, </w:t>
      </w:r>
      <w:r w:rsidRPr="00BD6FFE">
        <w:rPr>
          <w:rFonts w:ascii="Helvetica" w:hAnsi="Helvetica" w:cs="Times New Roman"/>
          <w:sz w:val="22"/>
          <w:szCs w:val="22"/>
        </w:rPr>
        <w:t>63(3): 880-899.</w:t>
      </w:r>
    </w:p>
    <w:p w14:paraId="2550C9CD" w14:textId="275A7DD7" w:rsidR="008439B7" w:rsidRDefault="008439B7">
      <w:pPr>
        <w:rPr>
          <w:rFonts w:ascii="Helvetica" w:hAnsi="Helvetica" w:cs="Times New Roman"/>
          <w:sz w:val="22"/>
          <w:szCs w:val="22"/>
        </w:rPr>
      </w:pPr>
    </w:p>
    <w:p w14:paraId="559A55B4" w14:textId="291B87BE" w:rsidR="008439B7" w:rsidRDefault="008439B7">
      <w:pPr>
        <w:rPr>
          <w:rFonts w:ascii="Helvetica" w:hAnsi="Helvetica" w:cs="Times New Roman"/>
          <w:sz w:val="22"/>
          <w:szCs w:val="22"/>
        </w:rPr>
      </w:pPr>
      <w:r>
        <w:rPr>
          <w:rFonts w:ascii="Helvetica" w:hAnsi="Helvetica" w:cs="Times New Roman"/>
          <w:sz w:val="22"/>
          <w:szCs w:val="22"/>
        </w:rPr>
        <w:t xml:space="preserve">Wood, A. (2016) ‘Tracing policy movements: Methods for studying learning and policy circulation’, </w:t>
      </w:r>
      <w:r w:rsidRPr="000A1533">
        <w:rPr>
          <w:rFonts w:ascii="Helvetica" w:hAnsi="Helvetica" w:cs="Times New Roman"/>
          <w:i/>
          <w:sz w:val="22"/>
          <w:szCs w:val="22"/>
        </w:rPr>
        <w:t>Environment and Planning</w:t>
      </w:r>
      <w:r>
        <w:rPr>
          <w:rFonts w:ascii="Helvetica" w:hAnsi="Helvetica" w:cs="Times New Roman"/>
          <w:sz w:val="22"/>
          <w:szCs w:val="22"/>
        </w:rPr>
        <w:t xml:space="preserve"> A: 48(2): 391-406</w:t>
      </w:r>
    </w:p>
    <w:p w14:paraId="3F68D8B9" w14:textId="77777777" w:rsidR="00D71B1E" w:rsidRPr="00D71B1E" w:rsidRDefault="00D71B1E">
      <w:pPr>
        <w:rPr>
          <w:rFonts w:ascii="Helvetica" w:hAnsi="Helvetica" w:cs="Times New Roman"/>
          <w:sz w:val="22"/>
          <w:szCs w:val="22"/>
        </w:rPr>
      </w:pPr>
    </w:p>
    <w:p w14:paraId="7ECA4DB2" w14:textId="37DDA28A" w:rsidR="00D71B1E" w:rsidRPr="005E3E0B" w:rsidRDefault="00D71B1E" w:rsidP="00D71B1E">
      <w:pPr>
        <w:rPr>
          <w:rFonts w:ascii="Helvetica" w:eastAsia="Times New Roman" w:hAnsi="Helvetica" w:cs="Times New Roman"/>
          <w:sz w:val="22"/>
          <w:szCs w:val="22"/>
        </w:rPr>
      </w:pPr>
      <w:r w:rsidRPr="005E3E0B">
        <w:rPr>
          <w:rFonts w:ascii="Helvetica" w:eastAsia="Times New Roman" w:hAnsi="Helvetica" w:cs="Times New Roman"/>
          <w:sz w:val="22"/>
          <w:szCs w:val="22"/>
        </w:rPr>
        <w:t>Young</w:t>
      </w:r>
      <w:r>
        <w:rPr>
          <w:rFonts w:ascii="Helvetica" w:eastAsia="Times New Roman" w:hAnsi="Helvetica" w:cs="Times New Roman"/>
          <w:sz w:val="22"/>
          <w:szCs w:val="22"/>
        </w:rPr>
        <w:t>,</w:t>
      </w:r>
      <w:r w:rsidRPr="005E3E0B">
        <w:rPr>
          <w:rFonts w:ascii="Helvetica" w:eastAsia="Times New Roman" w:hAnsi="Helvetica" w:cs="Times New Roman"/>
          <w:sz w:val="22"/>
          <w:szCs w:val="22"/>
        </w:rPr>
        <w:t xml:space="preserve"> J</w:t>
      </w:r>
      <w:r>
        <w:rPr>
          <w:rFonts w:ascii="Helvetica" w:eastAsia="Times New Roman" w:hAnsi="Helvetica" w:cs="Times New Roman"/>
          <w:sz w:val="22"/>
          <w:szCs w:val="22"/>
        </w:rPr>
        <w:t>.</w:t>
      </w:r>
      <w:r w:rsidRPr="005E3E0B">
        <w:rPr>
          <w:rFonts w:ascii="Helvetica" w:eastAsia="Times New Roman" w:hAnsi="Helvetica" w:cs="Times New Roman"/>
          <w:sz w:val="22"/>
          <w:szCs w:val="22"/>
        </w:rPr>
        <w:t xml:space="preserve"> (1987) </w:t>
      </w:r>
      <w:r w:rsidR="00A64D24">
        <w:rPr>
          <w:rFonts w:ascii="Helvetica" w:eastAsia="Times New Roman" w:hAnsi="Helvetica" w:cs="Times New Roman"/>
          <w:sz w:val="22"/>
          <w:szCs w:val="22"/>
        </w:rPr>
        <w:t>‘</w:t>
      </w:r>
      <w:r w:rsidRPr="005E3E0B">
        <w:rPr>
          <w:rFonts w:ascii="Helvetica" w:eastAsia="Times New Roman" w:hAnsi="Helvetica" w:cs="Times New Roman"/>
          <w:sz w:val="22"/>
          <w:szCs w:val="22"/>
        </w:rPr>
        <w:t>The tas</w:t>
      </w:r>
      <w:r w:rsidRPr="00D71B1E">
        <w:rPr>
          <w:rFonts w:ascii="Helvetica" w:eastAsia="Times New Roman" w:hAnsi="Helvetica" w:cs="Times New Roman"/>
          <w:sz w:val="22"/>
          <w:szCs w:val="22"/>
        </w:rPr>
        <w:t>ks facing a realist criminology</w:t>
      </w:r>
      <w:r w:rsidR="00A64D24">
        <w:rPr>
          <w:rFonts w:ascii="Helvetica" w:eastAsia="Times New Roman" w:hAnsi="Helvetica" w:cs="Times New Roman"/>
          <w:sz w:val="22"/>
          <w:szCs w:val="22"/>
        </w:rPr>
        <w:t>’</w:t>
      </w:r>
      <w:r>
        <w:rPr>
          <w:rFonts w:ascii="Helvetica" w:eastAsia="Times New Roman" w:hAnsi="Helvetica" w:cs="Times New Roman"/>
          <w:sz w:val="22"/>
          <w:szCs w:val="22"/>
        </w:rPr>
        <w:t>,</w:t>
      </w:r>
      <w:r w:rsidRPr="005E3E0B">
        <w:rPr>
          <w:rFonts w:ascii="Helvetica" w:eastAsia="Times New Roman" w:hAnsi="Helvetica" w:cs="Times New Roman"/>
          <w:sz w:val="22"/>
          <w:szCs w:val="22"/>
        </w:rPr>
        <w:t xml:space="preserve"> </w:t>
      </w:r>
      <w:r w:rsidRPr="005E3E0B">
        <w:rPr>
          <w:rFonts w:ascii="Helvetica" w:eastAsia="Times New Roman" w:hAnsi="Helvetica" w:cs="Times New Roman"/>
          <w:i/>
          <w:sz w:val="22"/>
          <w:szCs w:val="22"/>
        </w:rPr>
        <w:t>Contemporary Crises</w:t>
      </w:r>
      <w:r w:rsidRPr="005E3E0B">
        <w:rPr>
          <w:rFonts w:ascii="Helvetica" w:eastAsia="Times New Roman" w:hAnsi="Helvetica" w:cs="Times New Roman"/>
          <w:sz w:val="22"/>
          <w:szCs w:val="22"/>
        </w:rPr>
        <w:t xml:space="preserve"> 11(4): 337</w:t>
      </w:r>
      <w:r w:rsidRPr="005E3E0B">
        <w:rPr>
          <w:rFonts w:ascii="Helvetica" w:eastAsia="Times New Roman" w:hAnsi="Helvetica" w:cs="Cambria Math"/>
          <w:sz w:val="22"/>
          <w:szCs w:val="22"/>
        </w:rPr>
        <w:t>‐</w:t>
      </w:r>
      <w:r w:rsidRPr="005E3E0B">
        <w:rPr>
          <w:rFonts w:ascii="Helvetica" w:eastAsia="Times New Roman" w:hAnsi="Helvetica" w:cs="Times New Roman"/>
          <w:sz w:val="22"/>
          <w:szCs w:val="22"/>
        </w:rPr>
        <w:t>356</w:t>
      </w:r>
    </w:p>
    <w:p w14:paraId="344F09C6" w14:textId="77777777" w:rsidR="00D71B1E" w:rsidRPr="00BD6FFE" w:rsidRDefault="00D71B1E">
      <w:pPr>
        <w:rPr>
          <w:rFonts w:ascii="Helvetica" w:hAnsi="Helvetica" w:cs="Times New Roman"/>
          <w:sz w:val="22"/>
          <w:szCs w:val="22"/>
        </w:rPr>
      </w:pPr>
    </w:p>
    <w:p w14:paraId="420156D1" w14:textId="77777777" w:rsidR="001F6190" w:rsidRDefault="001F6190">
      <w:pPr>
        <w:rPr>
          <w:rFonts w:ascii="Helvetica" w:hAnsi="Helvetica"/>
          <w:b/>
          <w:sz w:val="22"/>
          <w:szCs w:val="22"/>
        </w:rPr>
      </w:pPr>
    </w:p>
    <w:p w14:paraId="7F56AD14" w14:textId="77777777" w:rsidR="001F6190" w:rsidRDefault="001F6190">
      <w:pPr>
        <w:rPr>
          <w:rFonts w:ascii="Helvetica" w:hAnsi="Helvetica"/>
          <w:b/>
          <w:sz w:val="22"/>
          <w:szCs w:val="22"/>
        </w:rPr>
      </w:pPr>
    </w:p>
    <w:p w14:paraId="2380EB80" w14:textId="68DA34BE" w:rsidR="00072DB9" w:rsidRDefault="00072DB9">
      <w:pPr>
        <w:rPr>
          <w:rFonts w:ascii="Helvetica" w:hAnsi="Helvetica"/>
          <w:b/>
          <w:sz w:val="22"/>
          <w:szCs w:val="22"/>
        </w:rPr>
      </w:pPr>
    </w:p>
    <w:sectPr w:rsidR="00072DB9" w:rsidSect="00AC3F05">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5D0D97" w14:textId="77777777" w:rsidR="006D2930" w:rsidRDefault="006D2930" w:rsidP="004A0332">
      <w:r>
        <w:separator/>
      </w:r>
    </w:p>
  </w:endnote>
  <w:endnote w:type="continuationSeparator" w:id="0">
    <w:p w14:paraId="6384F6BD" w14:textId="77777777" w:rsidR="006D2930" w:rsidRDefault="006D2930" w:rsidP="004A0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BF69B7" w14:textId="77777777" w:rsidR="006D2930" w:rsidRDefault="006D2930" w:rsidP="004A0332">
      <w:r>
        <w:separator/>
      </w:r>
    </w:p>
  </w:footnote>
  <w:footnote w:type="continuationSeparator" w:id="0">
    <w:p w14:paraId="031A75DE" w14:textId="77777777" w:rsidR="006D2930" w:rsidRDefault="006D2930" w:rsidP="004A0332">
      <w:r>
        <w:continuationSeparator/>
      </w:r>
    </w:p>
  </w:footnote>
  <w:footnote w:id="1">
    <w:p w14:paraId="604D95EB" w14:textId="3FA68838" w:rsidR="00BF3E61" w:rsidRPr="00581177" w:rsidRDefault="00BF3E61">
      <w:pPr>
        <w:pStyle w:val="FootnoteText"/>
        <w:rPr>
          <w:rFonts w:ascii="Arial" w:hAnsi="Arial" w:cs="Arial"/>
        </w:rPr>
      </w:pPr>
      <w:r w:rsidRPr="00581177">
        <w:rPr>
          <w:rStyle w:val="FootnoteReference"/>
          <w:rFonts w:ascii="Arial" w:hAnsi="Arial" w:cs="Arial"/>
        </w:rPr>
        <w:footnoteRef/>
      </w:r>
      <w:r w:rsidRPr="00581177">
        <w:rPr>
          <w:rStyle w:val="FootnoteReference"/>
          <w:rFonts w:ascii="Arial" w:hAnsi="Arial" w:cs="Arial"/>
        </w:rPr>
        <w:footnoteRef/>
      </w:r>
      <w:r w:rsidRPr="00581177">
        <w:rPr>
          <w:rFonts w:ascii="Arial" w:hAnsi="Arial" w:cs="Arial"/>
        </w:rPr>
        <w:t xml:space="preserve"> The authors would like to thank Jo Ingold, Clive Walker and the two anonymous reviewers for their very helpful comments on earlier drafts of this paper</w:t>
      </w:r>
    </w:p>
  </w:footnote>
  <w:footnote w:id="2">
    <w:p w14:paraId="38540DE2" w14:textId="23E2F6F5" w:rsidR="001424F5" w:rsidRPr="00581177" w:rsidRDefault="001424F5">
      <w:pPr>
        <w:pStyle w:val="FootnoteText"/>
        <w:rPr>
          <w:rFonts w:ascii="Arial" w:hAnsi="Arial" w:cs="Arial"/>
        </w:rPr>
      </w:pPr>
      <w:r w:rsidRPr="00581177">
        <w:rPr>
          <w:rStyle w:val="FootnoteReference"/>
          <w:rFonts w:ascii="Arial" w:hAnsi="Arial" w:cs="Arial"/>
        </w:rPr>
        <w:footnoteRef/>
      </w:r>
      <w:r w:rsidRPr="00581177">
        <w:rPr>
          <w:rFonts w:ascii="Arial" w:hAnsi="Arial" w:cs="Arial"/>
        </w:rPr>
        <w:t xml:space="preserve"> The third (and most important) function identified by </w:t>
      </w:r>
      <w:proofErr w:type="spellStart"/>
      <w:r w:rsidRPr="00581177">
        <w:rPr>
          <w:rFonts w:ascii="Arial" w:hAnsi="Arial" w:cs="Arial"/>
        </w:rPr>
        <w:t>Tonry</w:t>
      </w:r>
      <w:proofErr w:type="spellEnd"/>
      <w:r w:rsidRPr="00581177">
        <w:rPr>
          <w:rFonts w:ascii="Arial" w:hAnsi="Arial" w:cs="Arial"/>
        </w:rPr>
        <w:t xml:space="preserve"> is the evidence provided by cross-national comparison about the impact of different policies and practices on patterns of crime and punishment</w:t>
      </w:r>
    </w:p>
  </w:footnote>
  <w:footnote w:id="3">
    <w:p w14:paraId="6FE40452" w14:textId="77777777" w:rsidR="007B3001" w:rsidRPr="00581177" w:rsidRDefault="007B3001" w:rsidP="007B3001">
      <w:pPr>
        <w:pStyle w:val="FootnoteText"/>
        <w:rPr>
          <w:rFonts w:ascii="Arial" w:hAnsi="Arial" w:cs="Arial"/>
        </w:rPr>
      </w:pPr>
      <w:r w:rsidRPr="00581177">
        <w:rPr>
          <w:rStyle w:val="FootnoteReference"/>
          <w:rFonts w:ascii="Arial" w:hAnsi="Arial" w:cs="Arial"/>
        </w:rPr>
        <w:footnoteRef/>
      </w:r>
      <w:r w:rsidRPr="00581177">
        <w:rPr>
          <w:rFonts w:ascii="Arial" w:hAnsi="Arial" w:cs="Arial"/>
        </w:rPr>
        <w:t xml:space="preserve"> The FATF is an inter-governmental body established at the summit of the G7 nations in Paris in 1989</w:t>
      </w:r>
      <w:r w:rsidRPr="00581177">
        <w:rPr>
          <w:rFonts w:ascii="Arial" w:hAnsi="Arial" w:cs="Arial"/>
          <w:lang w:val="en"/>
        </w:rPr>
        <w:t xml:space="preserve"> with the aim of examining money laundering techniques, reviewing AML policies at national and international levels, and promoting further measures to be taken to combat money laundering in the future</w:t>
      </w:r>
    </w:p>
  </w:footnote>
  <w:footnote w:id="4">
    <w:p w14:paraId="175F9517" w14:textId="4D9CE72A" w:rsidR="00B659BB" w:rsidRPr="00581177" w:rsidRDefault="00B659BB">
      <w:pPr>
        <w:pStyle w:val="FootnoteText"/>
        <w:rPr>
          <w:rFonts w:ascii="Arial" w:hAnsi="Arial" w:cs="Arial"/>
        </w:rPr>
      </w:pPr>
      <w:r w:rsidRPr="00581177">
        <w:rPr>
          <w:rStyle w:val="FootnoteReference"/>
          <w:rFonts w:ascii="Arial" w:hAnsi="Arial" w:cs="Arial"/>
        </w:rPr>
        <w:footnoteRef/>
      </w:r>
      <w:r w:rsidRPr="00581177">
        <w:rPr>
          <w:rFonts w:ascii="Arial" w:hAnsi="Arial" w:cs="Arial"/>
        </w:rPr>
        <w:t xml:space="preserve"> See also the various contributions to the Special Issue of </w:t>
      </w:r>
      <w:r w:rsidRPr="00581177">
        <w:rPr>
          <w:rFonts w:ascii="Arial" w:hAnsi="Arial" w:cs="Arial"/>
          <w:i/>
          <w:iCs/>
        </w:rPr>
        <w:t>Environment and Planning</w:t>
      </w:r>
      <w:r w:rsidRPr="00581177">
        <w:rPr>
          <w:rFonts w:ascii="Arial" w:hAnsi="Arial" w:cs="Arial"/>
        </w:rPr>
        <w:t xml:space="preserve"> 44(1), 2</w:t>
      </w:r>
      <w:r w:rsidR="00D045B7" w:rsidRPr="00581177">
        <w:rPr>
          <w:rFonts w:ascii="Arial" w:hAnsi="Arial" w:cs="Arial"/>
        </w:rPr>
        <w:t>012</w:t>
      </w:r>
    </w:p>
  </w:footnote>
  <w:footnote w:id="5">
    <w:p w14:paraId="21F3EC10" w14:textId="0068AE8F" w:rsidR="00582344" w:rsidRPr="00581177" w:rsidRDefault="00582344">
      <w:pPr>
        <w:pStyle w:val="FootnoteText"/>
        <w:rPr>
          <w:rFonts w:ascii="Arial" w:hAnsi="Arial" w:cs="Arial"/>
        </w:rPr>
      </w:pPr>
      <w:r w:rsidRPr="00581177">
        <w:rPr>
          <w:rStyle w:val="FootnoteReference"/>
          <w:rFonts w:ascii="Arial" w:hAnsi="Arial" w:cs="Arial"/>
        </w:rPr>
        <w:footnoteRef/>
      </w:r>
      <w:r w:rsidRPr="00581177">
        <w:rPr>
          <w:rFonts w:ascii="Arial" w:hAnsi="Arial" w:cs="Arial"/>
        </w:rPr>
        <w:t xml:space="preserve"> We are grateful to one of the anonymous reviewers for raising this interesting point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871B7E"/>
    <w:multiLevelType w:val="hybridMultilevel"/>
    <w:tmpl w:val="AA4E0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hideSpellingErrors/>
  <w:hideGrammaticalErrors/>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54A"/>
    <w:rsid w:val="00017627"/>
    <w:rsid w:val="00021DC4"/>
    <w:rsid w:val="000258D3"/>
    <w:rsid w:val="00026A0F"/>
    <w:rsid w:val="00027E33"/>
    <w:rsid w:val="000360E9"/>
    <w:rsid w:val="00041A94"/>
    <w:rsid w:val="0004604E"/>
    <w:rsid w:val="00051DC6"/>
    <w:rsid w:val="00055678"/>
    <w:rsid w:val="000709FD"/>
    <w:rsid w:val="00072DB9"/>
    <w:rsid w:val="00076F29"/>
    <w:rsid w:val="00083444"/>
    <w:rsid w:val="0008416E"/>
    <w:rsid w:val="00093358"/>
    <w:rsid w:val="00095335"/>
    <w:rsid w:val="000A1533"/>
    <w:rsid w:val="000A1DDE"/>
    <w:rsid w:val="000A42BB"/>
    <w:rsid w:val="000B1A54"/>
    <w:rsid w:val="000B59C0"/>
    <w:rsid w:val="000C109F"/>
    <w:rsid w:val="000C65FA"/>
    <w:rsid w:val="000D5DA7"/>
    <w:rsid w:val="000E2FBF"/>
    <w:rsid w:val="000E55C0"/>
    <w:rsid w:val="000F2EA3"/>
    <w:rsid w:val="00105A13"/>
    <w:rsid w:val="001113C5"/>
    <w:rsid w:val="00111F3E"/>
    <w:rsid w:val="00125569"/>
    <w:rsid w:val="00137CB2"/>
    <w:rsid w:val="001410C6"/>
    <w:rsid w:val="001424F5"/>
    <w:rsid w:val="00152BC6"/>
    <w:rsid w:val="00155158"/>
    <w:rsid w:val="00157782"/>
    <w:rsid w:val="00161D3B"/>
    <w:rsid w:val="00161FE7"/>
    <w:rsid w:val="00163678"/>
    <w:rsid w:val="00164E0E"/>
    <w:rsid w:val="00172735"/>
    <w:rsid w:val="00174F71"/>
    <w:rsid w:val="0019088E"/>
    <w:rsid w:val="00195E14"/>
    <w:rsid w:val="00197487"/>
    <w:rsid w:val="001A10EE"/>
    <w:rsid w:val="001A2D20"/>
    <w:rsid w:val="001A4548"/>
    <w:rsid w:val="001A4689"/>
    <w:rsid w:val="001A5B6E"/>
    <w:rsid w:val="001A7532"/>
    <w:rsid w:val="001B0FAC"/>
    <w:rsid w:val="001B2A29"/>
    <w:rsid w:val="001D2B1A"/>
    <w:rsid w:val="001D53D2"/>
    <w:rsid w:val="001D743A"/>
    <w:rsid w:val="001E4EBB"/>
    <w:rsid w:val="001F0011"/>
    <w:rsid w:val="001F6190"/>
    <w:rsid w:val="00211395"/>
    <w:rsid w:val="002167DB"/>
    <w:rsid w:val="0022613D"/>
    <w:rsid w:val="00230038"/>
    <w:rsid w:val="00230325"/>
    <w:rsid w:val="00236449"/>
    <w:rsid w:val="00266DB3"/>
    <w:rsid w:val="00276029"/>
    <w:rsid w:val="00280FC6"/>
    <w:rsid w:val="00281BBB"/>
    <w:rsid w:val="00297801"/>
    <w:rsid w:val="002A20E7"/>
    <w:rsid w:val="002D4F5D"/>
    <w:rsid w:val="002D754A"/>
    <w:rsid w:val="002F1A11"/>
    <w:rsid w:val="0030401F"/>
    <w:rsid w:val="00310C5A"/>
    <w:rsid w:val="00313E35"/>
    <w:rsid w:val="003147D2"/>
    <w:rsid w:val="00315A52"/>
    <w:rsid w:val="00335BFF"/>
    <w:rsid w:val="00340DD0"/>
    <w:rsid w:val="0035370F"/>
    <w:rsid w:val="003622BA"/>
    <w:rsid w:val="003764E9"/>
    <w:rsid w:val="0038424C"/>
    <w:rsid w:val="00384F84"/>
    <w:rsid w:val="00394456"/>
    <w:rsid w:val="00397AE0"/>
    <w:rsid w:val="00397FBF"/>
    <w:rsid w:val="003A3986"/>
    <w:rsid w:val="003A454F"/>
    <w:rsid w:val="003B2C01"/>
    <w:rsid w:val="003C6600"/>
    <w:rsid w:val="003D1D82"/>
    <w:rsid w:val="003E14E4"/>
    <w:rsid w:val="003E5185"/>
    <w:rsid w:val="003F5030"/>
    <w:rsid w:val="003F7A55"/>
    <w:rsid w:val="00405B0D"/>
    <w:rsid w:val="00405CA7"/>
    <w:rsid w:val="00405EFD"/>
    <w:rsid w:val="00417128"/>
    <w:rsid w:val="00420E25"/>
    <w:rsid w:val="00423B5F"/>
    <w:rsid w:val="00433DD9"/>
    <w:rsid w:val="00454128"/>
    <w:rsid w:val="004711F0"/>
    <w:rsid w:val="004713C4"/>
    <w:rsid w:val="00476E1A"/>
    <w:rsid w:val="00484C57"/>
    <w:rsid w:val="00490EF8"/>
    <w:rsid w:val="004A0332"/>
    <w:rsid w:val="004B59B9"/>
    <w:rsid w:val="004B673C"/>
    <w:rsid w:val="004C39BE"/>
    <w:rsid w:val="004C432D"/>
    <w:rsid w:val="004C4D9A"/>
    <w:rsid w:val="004C5438"/>
    <w:rsid w:val="004C78AA"/>
    <w:rsid w:val="004D4B62"/>
    <w:rsid w:val="004D5D74"/>
    <w:rsid w:val="004D6EC5"/>
    <w:rsid w:val="004F7F54"/>
    <w:rsid w:val="005035EF"/>
    <w:rsid w:val="005054F1"/>
    <w:rsid w:val="00516DD9"/>
    <w:rsid w:val="00531464"/>
    <w:rsid w:val="00550932"/>
    <w:rsid w:val="005801DD"/>
    <w:rsid w:val="00581177"/>
    <w:rsid w:val="00582344"/>
    <w:rsid w:val="00597C72"/>
    <w:rsid w:val="005A2743"/>
    <w:rsid w:val="005A28EB"/>
    <w:rsid w:val="005B48BB"/>
    <w:rsid w:val="005B7400"/>
    <w:rsid w:val="005C1515"/>
    <w:rsid w:val="005D1DD6"/>
    <w:rsid w:val="005D31CB"/>
    <w:rsid w:val="005D6899"/>
    <w:rsid w:val="005E1E4C"/>
    <w:rsid w:val="005E3E0B"/>
    <w:rsid w:val="005E5265"/>
    <w:rsid w:val="005F3C16"/>
    <w:rsid w:val="00600681"/>
    <w:rsid w:val="006102DF"/>
    <w:rsid w:val="0061122F"/>
    <w:rsid w:val="00615FF0"/>
    <w:rsid w:val="0062390D"/>
    <w:rsid w:val="00626B7A"/>
    <w:rsid w:val="00631591"/>
    <w:rsid w:val="00632D29"/>
    <w:rsid w:val="00634722"/>
    <w:rsid w:val="00660723"/>
    <w:rsid w:val="006626E0"/>
    <w:rsid w:val="00670715"/>
    <w:rsid w:val="00676BA1"/>
    <w:rsid w:val="00684A78"/>
    <w:rsid w:val="00694904"/>
    <w:rsid w:val="006951ED"/>
    <w:rsid w:val="00697C6F"/>
    <w:rsid w:val="006B5A57"/>
    <w:rsid w:val="006C09FF"/>
    <w:rsid w:val="006D2930"/>
    <w:rsid w:val="006E2AC8"/>
    <w:rsid w:val="006E4980"/>
    <w:rsid w:val="006F37DF"/>
    <w:rsid w:val="006F6316"/>
    <w:rsid w:val="006F7258"/>
    <w:rsid w:val="006F77A2"/>
    <w:rsid w:val="0070319E"/>
    <w:rsid w:val="00733E41"/>
    <w:rsid w:val="0073418C"/>
    <w:rsid w:val="0073522D"/>
    <w:rsid w:val="00757994"/>
    <w:rsid w:val="00762204"/>
    <w:rsid w:val="007667AC"/>
    <w:rsid w:val="007674FA"/>
    <w:rsid w:val="00771CDD"/>
    <w:rsid w:val="00771D85"/>
    <w:rsid w:val="0077463D"/>
    <w:rsid w:val="0078797F"/>
    <w:rsid w:val="00787A80"/>
    <w:rsid w:val="00795692"/>
    <w:rsid w:val="007A5425"/>
    <w:rsid w:val="007A56A5"/>
    <w:rsid w:val="007A62AA"/>
    <w:rsid w:val="007A67DF"/>
    <w:rsid w:val="007B22EC"/>
    <w:rsid w:val="007B3001"/>
    <w:rsid w:val="007B7C74"/>
    <w:rsid w:val="007C556B"/>
    <w:rsid w:val="007D2F4C"/>
    <w:rsid w:val="007D3BB0"/>
    <w:rsid w:val="007F274A"/>
    <w:rsid w:val="007F7FCD"/>
    <w:rsid w:val="008013B9"/>
    <w:rsid w:val="00820DC8"/>
    <w:rsid w:val="0083538C"/>
    <w:rsid w:val="008439B7"/>
    <w:rsid w:val="00844246"/>
    <w:rsid w:val="00844336"/>
    <w:rsid w:val="008471B3"/>
    <w:rsid w:val="00851C09"/>
    <w:rsid w:val="008603EF"/>
    <w:rsid w:val="00864CD3"/>
    <w:rsid w:val="00865C66"/>
    <w:rsid w:val="00871907"/>
    <w:rsid w:val="00872BEE"/>
    <w:rsid w:val="008750C7"/>
    <w:rsid w:val="00881621"/>
    <w:rsid w:val="00895A8B"/>
    <w:rsid w:val="00895EFB"/>
    <w:rsid w:val="008A592B"/>
    <w:rsid w:val="008C358D"/>
    <w:rsid w:val="008C4352"/>
    <w:rsid w:val="008C4EF4"/>
    <w:rsid w:val="008D1927"/>
    <w:rsid w:val="008D1EA1"/>
    <w:rsid w:val="008E0FCD"/>
    <w:rsid w:val="008E44A4"/>
    <w:rsid w:val="008E4711"/>
    <w:rsid w:val="008E63AE"/>
    <w:rsid w:val="008F19B7"/>
    <w:rsid w:val="008F29FC"/>
    <w:rsid w:val="009341FD"/>
    <w:rsid w:val="009440D4"/>
    <w:rsid w:val="00944862"/>
    <w:rsid w:val="00951B70"/>
    <w:rsid w:val="00970D9A"/>
    <w:rsid w:val="0097620A"/>
    <w:rsid w:val="009811FC"/>
    <w:rsid w:val="00986D19"/>
    <w:rsid w:val="00991C86"/>
    <w:rsid w:val="009969CA"/>
    <w:rsid w:val="009B2579"/>
    <w:rsid w:val="009B4564"/>
    <w:rsid w:val="009B789C"/>
    <w:rsid w:val="009C1E51"/>
    <w:rsid w:val="009C4C49"/>
    <w:rsid w:val="009C5608"/>
    <w:rsid w:val="009D3C6A"/>
    <w:rsid w:val="009E11EE"/>
    <w:rsid w:val="009E44C0"/>
    <w:rsid w:val="009E4E35"/>
    <w:rsid w:val="009E7E93"/>
    <w:rsid w:val="009F5EF3"/>
    <w:rsid w:val="00A177A4"/>
    <w:rsid w:val="00A30B11"/>
    <w:rsid w:val="00A33C31"/>
    <w:rsid w:val="00A33E4B"/>
    <w:rsid w:val="00A34C7A"/>
    <w:rsid w:val="00A36D8F"/>
    <w:rsid w:val="00A53034"/>
    <w:rsid w:val="00A55DC8"/>
    <w:rsid w:val="00A64D24"/>
    <w:rsid w:val="00A74D52"/>
    <w:rsid w:val="00A915A4"/>
    <w:rsid w:val="00A94486"/>
    <w:rsid w:val="00A9463F"/>
    <w:rsid w:val="00A9630C"/>
    <w:rsid w:val="00A97E66"/>
    <w:rsid w:val="00AB2DA8"/>
    <w:rsid w:val="00AB384F"/>
    <w:rsid w:val="00AB4648"/>
    <w:rsid w:val="00AC3056"/>
    <w:rsid w:val="00AC3F05"/>
    <w:rsid w:val="00AD15F4"/>
    <w:rsid w:val="00B220A3"/>
    <w:rsid w:val="00B24633"/>
    <w:rsid w:val="00B31700"/>
    <w:rsid w:val="00B364EF"/>
    <w:rsid w:val="00B37234"/>
    <w:rsid w:val="00B40369"/>
    <w:rsid w:val="00B644D4"/>
    <w:rsid w:val="00B659BB"/>
    <w:rsid w:val="00B75768"/>
    <w:rsid w:val="00B813B0"/>
    <w:rsid w:val="00B84211"/>
    <w:rsid w:val="00B84731"/>
    <w:rsid w:val="00B9048B"/>
    <w:rsid w:val="00BA37DB"/>
    <w:rsid w:val="00BD0D14"/>
    <w:rsid w:val="00BD4B76"/>
    <w:rsid w:val="00BD6FFE"/>
    <w:rsid w:val="00BE04B7"/>
    <w:rsid w:val="00BE16C6"/>
    <w:rsid w:val="00BF3E2E"/>
    <w:rsid w:val="00BF3E61"/>
    <w:rsid w:val="00BF4C0B"/>
    <w:rsid w:val="00BF575A"/>
    <w:rsid w:val="00C0041D"/>
    <w:rsid w:val="00C01C36"/>
    <w:rsid w:val="00C127B3"/>
    <w:rsid w:val="00C24A32"/>
    <w:rsid w:val="00C33D4E"/>
    <w:rsid w:val="00C37832"/>
    <w:rsid w:val="00C45D7F"/>
    <w:rsid w:val="00C502A7"/>
    <w:rsid w:val="00C57672"/>
    <w:rsid w:val="00C6269E"/>
    <w:rsid w:val="00C94713"/>
    <w:rsid w:val="00CA1E04"/>
    <w:rsid w:val="00CA32B9"/>
    <w:rsid w:val="00CA6EDF"/>
    <w:rsid w:val="00CC0D11"/>
    <w:rsid w:val="00CC27C3"/>
    <w:rsid w:val="00CC3EFD"/>
    <w:rsid w:val="00CD1E96"/>
    <w:rsid w:val="00CD4DAA"/>
    <w:rsid w:val="00CD55BA"/>
    <w:rsid w:val="00CE68F9"/>
    <w:rsid w:val="00CF016C"/>
    <w:rsid w:val="00CF28EF"/>
    <w:rsid w:val="00CF6006"/>
    <w:rsid w:val="00CF6E7E"/>
    <w:rsid w:val="00D03A5D"/>
    <w:rsid w:val="00D04536"/>
    <w:rsid w:val="00D045B7"/>
    <w:rsid w:val="00D14CB0"/>
    <w:rsid w:val="00D22DE9"/>
    <w:rsid w:val="00D23523"/>
    <w:rsid w:val="00D30EC9"/>
    <w:rsid w:val="00D31E15"/>
    <w:rsid w:val="00D40B26"/>
    <w:rsid w:val="00D4552B"/>
    <w:rsid w:val="00D4575B"/>
    <w:rsid w:val="00D46C94"/>
    <w:rsid w:val="00D510F3"/>
    <w:rsid w:val="00D51AC8"/>
    <w:rsid w:val="00D601FC"/>
    <w:rsid w:val="00D657EC"/>
    <w:rsid w:val="00D675AC"/>
    <w:rsid w:val="00D705E6"/>
    <w:rsid w:val="00D71B1E"/>
    <w:rsid w:val="00D72E66"/>
    <w:rsid w:val="00D82CBF"/>
    <w:rsid w:val="00D901E0"/>
    <w:rsid w:val="00D93ADA"/>
    <w:rsid w:val="00DA008E"/>
    <w:rsid w:val="00DA10DE"/>
    <w:rsid w:val="00DA71EC"/>
    <w:rsid w:val="00DB0769"/>
    <w:rsid w:val="00DB6707"/>
    <w:rsid w:val="00DB76C5"/>
    <w:rsid w:val="00DB7F56"/>
    <w:rsid w:val="00DD3CC3"/>
    <w:rsid w:val="00DD57AD"/>
    <w:rsid w:val="00DF3217"/>
    <w:rsid w:val="00E06D54"/>
    <w:rsid w:val="00E1085E"/>
    <w:rsid w:val="00E22F57"/>
    <w:rsid w:val="00E25B0D"/>
    <w:rsid w:val="00E30764"/>
    <w:rsid w:val="00E36434"/>
    <w:rsid w:val="00E41B7C"/>
    <w:rsid w:val="00E42971"/>
    <w:rsid w:val="00E6576E"/>
    <w:rsid w:val="00E735C4"/>
    <w:rsid w:val="00E752B1"/>
    <w:rsid w:val="00E7557F"/>
    <w:rsid w:val="00E77524"/>
    <w:rsid w:val="00E8058C"/>
    <w:rsid w:val="00E83689"/>
    <w:rsid w:val="00E857AE"/>
    <w:rsid w:val="00E905FF"/>
    <w:rsid w:val="00E90F57"/>
    <w:rsid w:val="00E914C3"/>
    <w:rsid w:val="00E973CA"/>
    <w:rsid w:val="00E97ADD"/>
    <w:rsid w:val="00E97F48"/>
    <w:rsid w:val="00EA0BD8"/>
    <w:rsid w:val="00EA45AD"/>
    <w:rsid w:val="00EA7373"/>
    <w:rsid w:val="00EA7593"/>
    <w:rsid w:val="00EB3BCD"/>
    <w:rsid w:val="00EC23BC"/>
    <w:rsid w:val="00EC6F1C"/>
    <w:rsid w:val="00ED007D"/>
    <w:rsid w:val="00EE46CE"/>
    <w:rsid w:val="00EE77DF"/>
    <w:rsid w:val="00EF1CA6"/>
    <w:rsid w:val="00EF316D"/>
    <w:rsid w:val="00EF466A"/>
    <w:rsid w:val="00F03465"/>
    <w:rsid w:val="00F122A9"/>
    <w:rsid w:val="00F35E3A"/>
    <w:rsid w:val="00F44245"/>
    <w:rsid w:val="00F5460C"/>
    <w:rsid w:val="00F67C7B"/>
    <w:rsid w:val="00F7295C"/>
    <w:rsid w:val="00F87E39"/>
    <w:rsid w:val="00F9432A"/>
    <w:rsid w:val="00FA0994"/>
    <w:rsid w:val="00FA2CE9"/>
    <w:rsid w:val="00FA751E"/>
    <w:rsid w:val="00FA75F6"/>
    <w:rsid w:val="00FB0269"/>
    <w:rsid w:val="00FC0A79"/>
    <w:rsid w:val="00FC5FAD"/>
    <w:rsid w:val="00FE2C00"/>
    <w:rsid w:val="00FE36A4"/>
    <w:rsid w:val="00FE7C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11B6D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161FE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FE7"/>
    <w:rPr>
      <w:rFonts w:asciiTheme="majorHAnsi" w:eastAsiaTheme="majorEastAsia" w:hAnsiTheme="majorHAnsi" w:cstheme="majorBidi"/>
      <w:b/>
      <w:bCs/>
      <w:color w:val="345A8A" w:themeColor="accent1" w:themeShade="B5"/>
      <w:sz w:val="32"/>
      <w:szCs w:val="32"/>
      <w:lang w:val="en-GB"/>
    </w:rPr>
  </w:style>
  <w:style w:type="character" w:styleId="CommentReference">
    <w:name w:val="annotation reference"/>
    <w:basedOn w:val="DefaultParagraphFont"/>
    <w:uiPriority w:val="99"/>
    <w:semiHidden/>
    <w:unhideWhenUsed/>
    <w:rsid w:val="00172735"/>
    <w:rPr>
      <w:sz w:val="18"/>
      <w:szCs w:val="18"/>
    </w:rPr>
  </w:style>
  <w:style w:type="paragraph" w:styleId="CommentText">
    <w:name w:val="annotation text"/>
    <w:basedOn w:val="Normal"/>
    <w:link w:val="CommentTextChar"/>
    <w:uiPriority w:val="99"/>
    <w:semiHidden/>
    <w:unhideWhenUsed/>
    <w:rsid w:val="00172735"/>
  </w:style>
  <w:style w:type="character" w:customStyle="1" w:styleId="CommentTextChar">
    <w:name w:val="Comment Text Char"/>
    <w:basedOn w:val="DefaultParagraphFont"/>
    <w:link w:val="CommentText"/>
    <w:uiPriority w:val="99"/>
    <w:semiHidden/>
    <w:rsid w:val="00172735"/>
    <w:rPr>
      <w:lang w:val="en-GB"/>
    </w:rPr>
  </w:style>
  <w:style w:type="paragraph" w:styleId="CommentSubject">
    <w:name w:val="annotation subject"/>
    <w:basedOn w:val="CommentText"/>
    <w:next w:val="CommentText"/>
    <w:link w:val="CommentSubjectChar"/>
    <w:uiPriority w:val="99"/>
    <w:semiHidden/>
    <w:unhideWhenUsed/>
    <w:rsid w:val="00172735"/>
    <w:rPr>
      <w:b/>
      <w:bCs/>
      <w:sz w:val="20"/>
      <w:szCs w:val="20"/>
    </w:rPr>
  </w:style>
  <w:style w:type="character" w:customStyle="1" w:styleId="CommentSubjectChar">
    <w:name w:val="Comment Subject Char"/>
    <w:basedOn w:val="CommentTextChar"/>
    <w:link w:val="CommentSubject"/>
    <w:uiPriority w:val="99"/>
    <w:semiHidden/>
    <w:rsid w:val="00172735"/>
    <w:rPr>
      <w:b/>
      <w:bCs/>
      <w:sz w:val="20"/>
      <w:szCs w:val="20"/>
      <w:lang w:val="en-GB"/>
    </w:rPr>
  </w:style>
  <w:style w:type="paragraph" w:styleId="BalloonText">
    <w:name w:val="Balloon Text"/>
    <w:basedOn w:val="Normal"/>
    <w:link w:val="BalloonTextChar"/>
    <w:uiPriority w:val="99"/>
    <w:semiHidden/>
    <w:unhideWhenUsed/>
    <w:rsid w:val="0017273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2735"/>
    <w:rPr>
      <w:rFonts w:ascii="Lucida Grande" w:hAnsi="Lucida Grande" w:cs="Lucida Grande"/>
      <w:sz w:val="18"/>
      <w:szCs w:val="18"/>
      <w:lang w:val="en-GB"/>
    </w:rPr>
  </w:style>
  <w:style w:type="paragraph" w:styleId="Revision">
    <w:name w:val="Revision"/>
    <w:hidden/>
    <w:uiPriority w:val="99"/>
    <w:semiHidden/>
    <w:rsid w:val="0030401F"/>
    <w:rPr>
      <w:lang w:val="en-GB"/>
    </w:rPr>
  </w:style>
  <w:style w:type="paragraph" w:styleId="EndnoteText">
    <w:name w:val="endnote text"/>
    <w:basedOn w:val="Normal"/>
    <w:link w:val="EndnoteTextChar"/>
    <w:uiPriority w:val="99"/>
    <w:semiHidden/>
    <w:unhideWhenUsed/>
    <w:rsid w:val="004A0332"/>
    <w:rPr>
      <w:sz w:val="20"/>
      <w:szCs w:val="20"/>
    </w:rPr>
  </w:style>
  <w:style w:type="character" w:customStyle="1" w:styleId="EndnoteTextChar">
    <w:name w:val="Endnote Text Char"/>
    <w:basedOn w:val="DefaultParagraphFont"/>
    <w:link w:val="EndnoteText"/>
    <w:uiPriority w:val="99"/>
    <w:semiHidden/>
    <w:rsid w:val="004A0332"/>
    <w:rPr>
      <w:sz w:val="20"/>
      <w:szCs w:val="20"/>
      <w:lang w:val="en-GB"/>
    </w:rPr>
  </w:style>
  <w:style w:type="character" w:styleId="EndnoteReference">
    <w:name w:val="endnote reference"/>
    <w:basedOn w:val="DefaultParagraphFont"/>
    <w:uiPriority w:val="99"/>
    <w:semiHidden/>
    <w:unhideWhenUsed/>
    <w:rsid w:val="004A0332"/>
    <w:rPr>
      <w:vertAlign w:val="superscript"/>
    </w:rPr>
  </w:style>
  <w:style w:type="paragraph" w:styleId="FootnoteText">
    <w:name w:val="footnote text"/>
    <w:basedOn w:val="Normal"/>
    <w:link w:val="FootnoteTextChar"/>
    <w:uiPriority w:val="99"/>
    <w:semiHidden/>
    <w:unhideWhenUsed/>
    <w:rsid w:val="004A0332"/>
    <w:rPr>
      <w:sz w:val="20"/>
      <w:szCs w:val="20"/>
    </w:rPr>
  </w:style>
  <w:style w:type="character" w:customStyle="1" w:styleId="FootnoteTextChar">
    <w:name w:val="Footnote Text Char"/>
    <w:basedOn w:val="DefaultParagraphFont"/>
    <w:link w:val="FootnoteText"/>
    <w:uiPriority w:val="99"/>
    <w:semiHidden/>
    <w:rsid w:val="004A0332"/>
    <w:rPr>
      <w:sz w:val="20"/>
      <w:szCs w:val="20"/>
      <w:lang w:val="en-GB"/>
    </w:rPr>
  </w:style>
  <w:style w:type="character" w:styleId="FootnoteReference">
    <w:name w:val="footnote reference"/>
    <w:basedOn w:val="DefaultParagraphFont"/>
    <w:uiPriority w:val="99"/>
    <w:unhideWhenUsed/>
    <w:rsid w:val="004A0332"/>
    <w:rPr>
      <w:vertAlign w:val="superscript"/>
    </w:rPr>
  </w:style>
  <w:style w:type="character" w:styleId="Hyperlink">
    <w:name w:val="Hyperlink"/>
    <w:basedOn w:val="DefaultParagraphFont"/>
    <w:uiPriority w:val="99"/>
    <w:unhideWhenUsed/>
    <w:rsid w:val="00B84731"/>
    <w:rPr>
      <w:color w:val="0000FF" w:themeColor="hyperlink"/>
      <w:u w:val="single"/>
    </w:rPr>
  </w:style>
  <w:style w:type="character" w:customStyle="1" w:styleId="UnresolvedMention1">
    <w:name w:val="Unresolved Mention1"/>
    <w:basedOn w:val="DefaultParagraphFont"/>
    <w:uiPriority w:val="99"/>
    <w:semiHidden/>
    <w:unhideWhenUsed/>
    <w:rsid w:val="00B84731"/>
    <w:rPr>
      <w:color w:val="605E5C"/>
      <w:shd w:val="clear" w:color="auto" w:fill="E1DFDD"/>
    </w:rPr>
  </w:style>
  <w:style w:type="character" w:styleId="UnresolvedMention">
    <w:name w:val="Unresolved Mention"/>
    <w:basedOn w:val="DefaultParagraphFont"/>
    <w:uiPriority w:val="99"/>
    <w:rsid w:val="00E755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38332">
      <w:bodyDiv w:val="1"/>
      <w:marLeft w:val="0"/>
      <w:marRight w:val="0"/>
      <w:marTop w:val="0"/>
      <w:marBottom w:val="0"/>
      <w:divBdr>
        <w:top w:val="none" w:sz="0" w:space="0" w:color="auto"/>
        <w:left w:val="none" w:sz="0" w:space="0" w:color="auto"/>
        <w:bottom w:val="none" w:sz="0" w:space="0" w:color="auto"/>
        <w:right w:val="none" w:sz="0" w:space="0" w:color="auto"/>
      </w:divBdr>
    </w:div>
    <w:div w:id="254556448">
      <w:bodyDiv w:val="1"/>
      <w:marLeft w:val="0"/>
      <w:marRight w:val="0"/>
      <w:marTop w:val="0"/>
      <w:marBottom w:val="0"/>
      <w:divBdr>
        <w:top w:val="none" w:sz="0" w:space="0" w:color="auto"/>
        <w:left w:val="none" w:sz="0" w:space="0" w:color="auto"/>
        <w:bottom w:val="none" w:sz="0" w:space="0" w:color="auto"/>
        <w:right w:val="none" w:sz="0" w:space="0" w:color="auto"/>
      </w:divBdr>
    </w:div>
    <w:div w:id="355079814">
      <w:bodyDiv w:val="1"/>
      <w:marLeft w:val="0"/>
      <w:marRight w:val="0"/>
      <w:marTop w:val="0"/>
      <w:marBottom w:val="0"/>
      <w:divBdr>
        <w:top w:val="none" w:sz="0" w:space="0" w:color="auto"/>
        <w:left w:val="none" w:sz="0" w:space="0" w:color="auto"/>
        <w:bottom w:val="none" w:sz="0" w:space="0" w:color="auto"/>
        <w:right w:val="none" w:sz="0" w:space="0" w:color="auto"/>
      </w:divBdr>
    </w:div>
    <w:div w:id="515507850">
      <w:bodyDiv w:val="1"/>
      <w:marLeft w:val="0"/>
      <w:marRight w:val="0"/>
      <w:marTop w:val="0"/>
      <w:marBottom w:val="0"/>
      <w:divBdr>
        <w:top w:val="none" w:sz="0" w:space="0" w:color="auto"/>
        <w:left w:val="none" w:sz="0" w:space="0" w:color="auto"/>
        <w:bottom w:val="none" w:sz="0" w:space="0" w:color="auto"/>
        <w:right w:val="none" w:sz="0" w:space="0" w:color="auto"/>
      </w:divBdr>
    </w:div>
    <w:div w:id="533154080">
      <w:bodyDiv w:val="1"/>
      <w:marLeft w:val="0"/>
      <w:marRight w:val="0"/>
      <w:marTop w:val="0"/>
      <w:marBottom w:val="0"/>
      <w:divBdr>
        <w:top w:val="none" w:sz="0" w:space="0" w:color="auto"/>
        <w:left w:val="none" w:sz="0" w:space="0" w:color="auto"/>
        <w:bottom w:val="none" w:sz="0" w:space="0" w:color="auto"/>
        <w:right w:val="none" w:sz="0" w:space="0" w:color="auto"/>
      </w:divBdr>
    </w:div>
    <w:div w:id="876313346">
      <w:bodyDiv w:val="1"/>
      <w:marLeft w:val="0"/>
      <w:marRight w:val="0"/>
      <w:marTop w:val="0"/>
      <w:marBottom w:val="0"/>
      <w:divBdr>
        <w:top w:val="none" w:sz="0" w:space="0" w:color="auto"/>
        <w:left w:val="none" w:sz="0" w:space="0" w:color="auto"/>
        <w:bottom w:val="none" w:sz="0" w:space="0" w:color="auto"/>
        <w:right w:val="none" w:sz="0" w:space="0" w:color="auto"/>
      </w:divBdr>
    </w:div>
    <w:div w:id="991909530">
      <w:bodyDiv w:val="1"/>
      <w:marLeft w:val="0"/>
      <w:marRight w:val="0"/>
      <w:marTop w:val="0"/>
      <w:marBottom w:val="0"/>
      <w:divBdr>
        <w:top w:val="none" w:sz="0" w:space="0" w:color="auto"/>
        <w:left w:val="none" w:sz="0" w:space="0" w:color="auto"/>
        <w:bottom w:val="none" w:sz="0" w:space="0" w:color="auto"/>
        <w:right w:val="none" w:sz="0" w:space="0" w:color="auto"/>
      </w:divBdr>
    </w:div>
    <w:div w:id="1522427059">
      <w:bodyDiv w:val="1"/>
      <w:marLeft w:val="0"/>
      <w:marRight w:val="0"/>
      <w:marTop w:val="0"/>
      <w:marBottom w:val="0"/>
      <w:divBdr>
        <w:top w:val="none" w:sz="0" w:space="0" w:color="auto"/>
        <w:left w:val="none" w:sz="0" w:space="0" w:color="auto"/>
        <w:bottom w:val="none" w:sz="0" w:space="0" w:color="auto"/>
        <w:right w:val="none" w:sz="0" w:space="0" w:color="auto"/>
      </w:divBdr>
    </w:div>
    <w:div w:id="1581480595">
      <w:bodyDiv w:val="1"/>
      <w:marLeft w:val="0"/>
      <w:marRight w:val="0"/>
      <w:marTop w:val="0"/>
      <w:marBottom w:val="0"/>
      <w:divBdr>
        <w:top w:val="none" w:sz="0" w:space="0" w:color="auto"/>
        <w:left w:val="none" w:sz="0" w:space="0" w:color="auto"/>
        <w:bottom w:val="none" w:sz="0" w:space="0" w:color="auto"/>
        <w:right w:val="none" w:sz="0" w:space="0" w:color="auto"/>
      </w:divBdr>
    </w:div>
    <w:div w:id="1614168979">
      <w:bodyDiv w:val="1"/>
      <w:marLeft w:val="0"/>
      <w:marRight w:val="0"/>
      <w:marTop w:val="0"/>
      <w:marBottom w:val="0"/>
      <w:divBdr>
        <w:top w:val="none" w:sz="0" w:space="0" w:color="auto"/>
        <w:left w:val="none" w:sz="0" w:space="0" w:color="auto"/>
        <w:bottom w:val="none" w:sz="0" w:space="0" w:color="auto"/>
        <w:right w:val="none" w:sz="0" w:space="0" w:color="auto"/>
      </w:divBdr>
    </w:div>
    <w:div w:id="1627619147">
      <w:bodyDiv w:val="1"/>
      <w:marLeft w:val="0"/>
      <w:marRight w:val="0"/>
      <w:marTop w:val="0"/>
      <w:marBottom w:val="0"/>
      <w:divBdr>
        <w:top w:val="none" w:sz="0" w:space="0" w:color="auto"/>
        <w:left w:val="none" w:sz="0" w:space="0" w:color="auto"/>
        <w:bottom w:val="none" w:sz="0" w:space="0" w:color="auto"/>
        <w:right w:val="none" w:sz="0" w:space="0" w:color="auto"/>
      </w:divBdr>
    </w:div>
    <w:div w:id="2030721066">
      <w:bodyDiv w:val="1"/>
      <w:marLeft w:val="0"/>
      <w:marRight w:val="0"/>
      <w:marTop w:val="0"/>
      <w:marBottom w:val="0"/>
      <w:divBdr>
        <w:top w:val="none" w:sz="0" w:space="0" w:color="auto"/>
        <w:left w:val="none" w:sz="0" w:space="0" w:color="auto"/>
        <w:bottom w:val="none" w:sz="0" w:space="0" w:color="auto"/>
        <w:right w:val="none" w:sz="0" w:space="0" w:color="auto"/>
      </w:divBdr>
    </w:div>
    <w:div w:id="2056005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nestd2@cardiff.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93/bjc/azy05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rca.cf.ac.uk/103392" TargetMode="External"/><Relationship Id="rId5" Type="http://schemas.openxmlformats.org/officeDocument/2006/relationships/webSettings" Target="webSettings.xml"/><Relationship Id="rId10" Type="http://schemas.openxmlformats.org/officeDocument/2006/relationships/hyperlink" Target="mailto:t.newburn@lse.ac.uk" TargetMode="External"/><Relationship Id="rId4" Type="http://schemas.openxmlformats.org/officeDocument/2006/relationships/settings" Target="settings.xml"/><Relationship Id="rId9" Type="http://schemas.openxmlformats.org/officeDocument/2006/relationships/hyperlink" Target="mailto:Jarrett.Blaustein@Monash.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0A14E-93E6-F049-B66F-220FDA59D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36</Pages>
  <Words>11090</Words>
  <Characters>57896</Characters>
  <Application>Microsoft Office Word</Application>
  <DocSecurity>0</DocSecurity>
  <Lines>761</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Jarrett  Blaustein</dc:creator>
  <cp:keywords/>
  <dc:description/>
  <cp:lastModifiedBy>Newburn,T</cp:lastModifiedBy>
  <cp:revision>4</cp:revision>
  <dcterms:created xsi:type="dcterms:W3CDTF">2019-06-11T09:57:00Z</dcterms:created>
  <dcterms:modified xsi:type="dcterms:W3CDTF">2019-06-11T10:05:00Z</dcterms:modified>
</cp:coreProperties>
</file>