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6E700" w14:textId="77777777" w:rsidR="00E40517" w:rsidRDefault="004567B5" w:rsidP="005D7D11">
      <w:pPr>
        <w:spacing w:line="360" w:lineRule="auto"/>
        <w:jc w:val="center"/>
        <w:rPr>
          <w:rFonts w:ascii="Athelas Regular" w:hAnsi="Athelas Regular"/>
          <w:b/>
        </w:rPr>
      </w:pPr>
      <w:r>
        <w:rPr>
          <w:rFonts w:ascii="Athelas Regular" w:hAnsi="Athelas Regular"/>
          <w:b/>
        </w:rPr>
        <w:t>Did we ever really understand how the EU works?</w:t>
      </w:r>
    </w:p>
    <w:p w14:paraId="2BA8AD63" w14:textId="77777777" w:rsidR="004567B5" w:rsidRDefault="004567B5" w:rsidP="005D7D11">
      <w:pPr>
        <w:spacing w:line="360" w:lineRule="auto"/>
        <w:jc w:val="center"/>
        <w:rPr>
          <w:rFonts w:ascii="Athelas Regular" w:hAnsi="Athelas Regular"/>
        </w:rPr>
      </w:pPr>
      <w:r>
        <w:rPr>
          <w:rFonts w:ascii="Athelas Regular" w:hAnsi="Athelas Regular"/>
          <w:i/>
        </w:rPr>
        <w:t>The Brexit negotiations and what they say about Britain’s misunderstanding of the EU</w:t>
      </w:r>
    </w:p>
    <w:p w14:paraId="01108643" w14:textId="77777777" w:rsidR="004567B5" w:rsidRDefault="004567B5" w:rsidP="005D7D11">
      <w:pPr>
        <w:spacing w:line="360" w:lineRule="auto"/>
        <w:jc w:val="center"/>
        <w:rPr>
          <w:rFonts w:ascii="Athelas Regular" w:hAnsi="Athelas Regular"/>
        </w:rPr>
      </w:pPr>
    </w:p>
    <w:p w14:paraId="5327FC55" w14:textId="3A0DF738" w:rsidR="004567B5" w:rsidRDefault="004567B5" w:rsidP="005D7D11">
      <w:pPr>
        <w:spacing w:line="360" w:lineRule="auto"/>
        <w:rPr>
          <w:rFonts w:ascii="Athelas Regular" w:hAnsi="Athelas Regular"/>
        </w:rPr>
      </w:pPr>
      <w:r>
        <w:rPr>
          <w:rFonts w:ascii="Athelas Regular" w:hAnsi="Athelas Regular"/>
        </w:rPr>
        <w:t>Negotiating with the EU is never easy.  This is the painful discovery made by many over the last five or six dec</w:t>
      </w:r>
      <w:r w:rsidR="00B02656">
        <w:rPr>
          <w:rFonts w:ascii="Athelas Regular" w:hAnsi="Athelas Regular"/>
        </w:rPr>
        <w:t>ades, from US trade negotiators</w:t>
      </w:r>
      <w:r>
        <w:rPr>
          <w:rFonts w:ascii="Athelas Regular" w:hAnsi="Athelas Regular"/>
        </w:rPr>
        <w:t xml:space="preserve"> to would-be member states seeking to gain entry.</w:t>
      </w:r>
      <w:r w:rsidR="000701D4">
        <w:rPr>
          <w:rStyle w:val="FootnoteReference"/>
          <w:rFonts w:ascii="Athelas Regular" w:hAnsi="Athelas Regular"/>
        </w:rPr>
        <w:footnoteReference w:id="1"/>
      </w:r>
      <w:r>
        <w:rPr>
          <w:rFonts w:ascii="Athelas Regular" w:hAnsi="Athelas Regular"/>
        </w:rPr>
        <w:t xml:space="preserve">  The European bloc is large, somewhat ponderous in its internal </w:t>
      </w:r>
      <w:proofErr w:type="gramStart"/>
      <w:r>
        <w:rPr>
          <w:rFonts w:ascii="Athelas Regular" w:hAnsi="Athelas Regular"/>
        </w:rPr>
        <w:t>decision making</w:t>
      </w:r>
      <w:proofErr w:type="gramEnd"/>
      <w:r>
        <w:rPr>
          <w:rFonts w:ascii="Athelas Regular" w:hAnsi="Athelas Regular"/>
        </w:rPr>
        <w:t xml:space="preserve"> and highly prone to stick rigidly to its positions.  This </w:t>
      </w:r>
      <w:r w:rsidR="006D0879">
        <w:rPr>
          <w:rFonts w:ascii="Athelas Regular" w:hAnsi="Athelas Regular"/>
        </w:rPr>
        <w:t xml:space="preserve">obstinacy and disinclination to move </w:t>
      </w:r>
      <w:r>
        <w:rPr>
          <w:rFonts w:ascii="Athelas Regular" w:hAnsi="Athelas Regular"/>
        </w:rPr>
        <w:t xml:space="preserve">does not reflect </w:t>
      </w:r>
      <w:proofErr w:type="gramStart"/>
      <w:r>
        <w:rPr>
          <w:rFonts w:ascii="Athelas Regular" w:hAnsi="Athelas Regular"/>
        </w:rPr>
        <w:t>ill-will</w:t>
      </w:r>
      <w:proofErr w:type="gramEnd"/>
      <w:r>
        <w:rPr>
          <w:rFonts w:ascii="Athelas Regular" w:hAnsi="Athelas Regular"/>
        </w:rPr>
        <w:t xml:space="preserve"> towards its interlocutors or spring from the personality of its negotiators.  Instead it is </w:t>
      </w:r>
      <w:r w:rsidR="002A0281">
        <w:rPr>
          <w:rFonts w:ascii="Athelas Regular" w:hAnsi="Athelas Regular"/>
        </w:rPr>
        <w:t>a structural inevitability: internal EU agreement is hard-won and precious; it is not therefore something that can easily be unpicked at the behest of an outsider – especially one that cannot, by definition, be represented in the vital internal EU meetings at which the negotiating stance is set.  Both goodwill towards the third country and promises easily made in bilateral discussions between the outsider and individual member states, tend to count for little once the insiders meet collectively.  Instead movement and concession is likely to be minimised, the onus for pushing the negotiation ahead falling mainly on the outside party.</w:t>
      </w:r>
      <w:r w:rsidR="000701D4">
        <w:rPr>
          <w:rStyle w:val="FootnoteReference"/>
          <w:rFonts w:ascii="Athelas Regular" w:hAnsi="Athelas Regular"/>
        </w:rPr>
        <w:footnoteReference w:id="2"/>
      </w:r>
      <w:r w:rsidR="002A0281">
        <w:rPr>
          <w:rFonts w:ascii="Athelas Regular" w:hAnsi="Athelas Regular"/>
        </w:rPr>
        <w:t xml:space="preserve">  And this is all the more true when the third party is in the weaker bargaining position, seeking entry into the EU perhaps, or trying to secure a deal that it needs more than the Union does.</w:t>
      </w:r>
    </w:p>
    <w:p w14:paraId="40083C58" w14:textId="77777777" w:rsidR="006D0879" w:rsidRDefault="006D0879" w:rsidP="005D7D11">
      <w:pPr>
        <w:spacing w:line="360" w:lineRule="auto"/>
        <w:rPr>
          <w:rFonts w:ascii="Athelas Regular" w:hAnsi="Athelas Regular"/>
        </w:rPr>
      </w:pPr>
      <w:r>
        <w:rPr>
          <w:rFonts w:ascii="Athelas Regular" w:hAnsi="Athelas Regular"/>
        </w:rPr>
        <w:tab/>
        <w:t>The United Kingdom ought though to have started the Brexit negotiations with the EU with one distinct advantage, namely a good knowledge of the system.  As an insider of forty years standing, a member state whose politicians and officials had played important roles in shaping and steering the very entity that Britain was now trying to leave, the UK should have had a deep understanding of the EU, and therefore a good ability to antici</w:t>
      </w:r>
      <w:bookmarkStart w:id="0" w:name="_GoBack"/>
      <w:bookmarkEnd w:id="0"/>
      <w:r>
        <w:rPr>
          <w:rFonts w:ascii="Athelas Regular" w:hAnsi="Athelas Regular"/>
        </w:rPr>
        <w:t>pate how the negotiations would unfold.  This should in other words have been one of those divorce disputes where each party knew every foible of their former partner, could anticipate most of their moves, and was acutely aware of</w:t>
      </w:r>
      <w:r w:rsidR="003D2671">
        <w:rPr>
          <w:rFonts w:ascii="Athelas Regular" w:hAnsi="Athelas Regular"/>
        </w:rPr>
        <w:t xml:space="preserve"> what the vulnerabilities and strengths of their position were likely to be.</w:t>
      </w:r>
    </w:p>
    <w:p w14:paraId="16FFD24A" w14:textId="1CD85FE1" w:rsidR="003D2671" w:rsidRDefault="003D2671" w:rsidP="005D7D11">
      <w:pPr>
        <w:spacing w:line="360" w:lineRule="auto"/>
        <w:rPr>
          <w:rFonts w:ascii="Athelas Regular" w:hAnsi="Athelas Regular"/>
        </w:rPr>
      </w:pPr>
      <w:r>
        <w:rPr>
          <w:rFonts w:ascii="Athelas Regular" w:hAnsi="Athelas Regular"/>
        </w:rPr>
        <w:lastRenderedPageBreak/>
        <w:tab/>
        <w:t>Bizarrely however this has not proven to be the case at all.  Rather than making full use of their inside knowledge, their intimate acquaintance with the EU to pitch their case in the most skilful fashion possible, the British have instead blundered through much of the Brexit negotiation as if dealing with the EU for the very first time.  In the process they have thus highlighted how superficial has been the understanding of the system acquired by much of the UK political class during the four decades spent inside the system.  The botched job of leaving, to put it</w:t>
      </w:r>
      <w:r w:rsidR="00047B1C">
        <w:rPr>
          <w:rFonts w:ascii="Athelas Regular" w:hAnsi="Athelas Regular"/>
        </w:rPr>
        <w:t xml:space="preserve"> slightly differently, has</w:t>
      </w:r>
      <w:r>
        <w:rPr>
          <w:rFonts w:ascii="Athelas Regular" w:hAnsi="Athelas Regular"/>
        </w:rPr>
        <w:t xml:space="preserve"> cast into sharp relief the fragile, tendentious, and highly limited comprehension of how the </w:t>
      </w:r>
      <w:r w:rsidR="00B05229">
        <w:rPr>
          <w:rFonts w:ascii="Athelas Regular" w:hAnsi="Athelas Regular"/>
        </w:rPr>
        <w:t>EC/</w:t>
      </w:r>
      <w:r>
        <w:rPr>
          <w:rFonts w:ascii="Athelas Regular" w:hAnsi="Athelas Regular"/>
        </w:rPr>
        <w:t>EU work</w:t>
      </w:r>
      <w:r w:rsidR="00047B1C">
        <w:rPr>
          <w:rFonts w:ascii="Athelas Regular" w:hAnsi="Athelas Regular"/>
        </w:rPr>
        <w:t>s that has been the hallmark of the British political class perhaps ever since 1973.  It will be in the manner of its departure, that the UK will do most to show how incomplete had been its political and cultural integration into the system</w:t>
      </w:r>
      <w:r w:rsidR="00B05229">
        <w:rPr>
          <w:rFonts w:ascii="Athelas Regular" w:hAnsi="Athelas Regular"/>
        </w:rPr>
        <w:t xml:space="preserve"> throughout its </w:t>
      </w:r>
      <w:r w:rsidR="0090504F">
        <w:rPr>
          <w:rFonts w:ascii="Athelas Regular" w:hAnsi="Athelas Regular"/>
        </w:rPr>
        <w:t xml:space="preserve">four </w:t>
      </w:r>
      <w:r w:rsidR="00B05229">
        <w:rPr>
          <w:rFonts w:ascii="Athelas Regular" w:hAnsi="Athelas Regular"/>
        </w:rPr>
        <w:t xml:space="preserve">and a half </w:t>
      </w:r>
      <w:r w:rsidR="0090504F">
        <w:rPr>
          <w:rFonts w:ascii="Athelas Regular" w:hAnsi="Athelas Regular"/>
        </w:rPr>
        <w:t>decades of membership</w:t>
      </w:r>
      <w:r w:rsidR="00047B1C">
        <w:rPr>
          <w:rFonts w:ascii="Athelas Regular" w:hAnsi="Athelas Regular"/>
        </w:rPr>
        <w:t>.</w:t>
      </w:r>
    </w:p>
    <w:p w14:paraId="6F331DF2" w14:textId="21965E28" w:rsidR="00B02656" w:rsidRDefault="00B02656" w:rsidP="005D7D11">
      <w:pPr>
        <w:spacing w:line="360" w:lineRule="auto"/>
        <w:rPr>
          <w:rFonts w:ascii="Athelas Regular" w:hAnsi="Athelas Regular"/>
        </w:rPr>
      </w:pPr>
      <w:r>
        <w:rPr>
          <w:rFonts w:ascii="Athelas Regular" w:hAnsi="Athelas Regular"/>
        </w:rPr>
        <w:tab/>
        <w:t xml:space="preserve">This is not of course to say that absolutely no one in Britain understood the EU.  There have always been a few true insiders – ministers, officials and diplomats </w:t>
      </w:r>
      <w:r w:rsidR="00B6294B">
        <w:rPr>
          <w:rFonts w:ascii="Athelas Regular" w:hAnsi="Athelas Regular"/>
        </w:rPr>
        <w:t xml:space="preserve">- </w:t>
      </w:r>
      <w:r>
        <w:rPr>
          <w:rFonts w:ascii="Athelas Regular" w:hAnsi="Athelas Regular"/>
        </w:rPr>
        <w:t xml:space="preserve">who, through long experience </w:t>
      </w:r>
      <w:r w:rsidR="00501B48">
        <w:rPr>
          <w:rFonts w:ascii="Athelas Regular" w:hAnsi="Athelas Regular"/>
        </w:rPr>
        <w:t>o</w:t>
      </w:r>
      <w:r w:rsidR="00B6294B">
        <w:rPr>
          <w:rFonts w:ascii="Athelas Regular" w:hAnsi="Athelas Regular"/>
        </w:rPr>
        <w:t>f working with and in Brussels have understood</w:t>
      </w:r>
      <w:r w:rsidR="00501B48">
        <w:rPr>
          <w:rFonts w:ascii="Athelas Regular" w:hAnsi="Athelas Regular"/>
        </w:rPr>
        <w:t xml:space="preserve"> how the EC/EU</w:t>
      </w:r>
      <w:r>
        <w:rPr>
          <w:rFonts w:ascii="Athelas Regular" w:hAnsi="Athelas Regular"/>
        </w:rPr>
        <w:t xml:space="preserve"> worked.  There have been a handful of journalists too, although largely confined </w:t>
      </w:r>
      <w:r w:rsidR="00B05229">
        <w:rPr>
          <w:rFonts w:ascii="Athelas Regular" w:hAnsi="Athelas Regular"/>
        </w:rPr>
        <w:t xml:space="preserve">in recent times </w:t>
      </w:r>
      <w:r>
        <w:rPr>
          <w:rFonts w:ascii="Athelas Regular" w:hAnsi="Athelas Regular"/>
        </w:rPr>
        <w:t xml:space="preserve">to one or two titles, most obviously the </w:t>
      </w:r>
      <w:r>
        <w:rPr>
          <w:rFonts w:ascii="Athelas Regular" w:hAnsi="Athelas Regular"/>
          <w:i/>
        </w:rPr>
        <w:t>Financial Times</w:t>
      </w:r>
      <w:r>
        <w:rPr>
          <w:rFonts w:ascii="Athelas Regular" w:hAnsi="Athelas Regular"/>
        </w:rPr>
        <w:t>.</w:t>
      </w:r>
      <w:r w:rsidR="00AF6BDB">
        <w:rPr>
          <w:rStyle w:val="FootnoteReference"/>
          <w:rFonts w:ascii="Athelas Regular" w:hAnsi="Athelas Regular"/>
        </w:rPr>
        <w:footnoteReference w:id="3"/>
      </w:r>
      <w:r>
        <w:rPr>
          <w:rFonts w:ascii="Athelas Regular" w:hAnsi="Athelas Regular"/>
        </w:rPr>
        <w:t xml:space="preserve">  And there have been a smattering of good academic specialists.  </w:t>
      </w:r>
      <w:r w:rsidR="00E9121A">
        <w:rPr>
          <w:rFonts w:ascii="Athelas Regular" w:hAnsi="Athelas Regular"/>
        </w:rPr>
        <w:t xml:space="preserve">Much of the </w:t>
      </w:r>
      <w:proofErr w:type="gramStart"/>
      <w:r w:rsidR="00E9121A">
        <w:rPr>
          <w:rFonts w:ascii="Athelas Regular" w:hAnsi="Athelas Regular"/>
        </w:rPr>
        <w:t>ground work</w:t>
      </w:r>
      <w:proofErr w:type="gramEnd"/>
      <w:r w:rsidR="00E9121A">
        <w:rPr>
          <w:rFonts w:ascii="Athelas Regular" w:hAnsi="Athelas Regular"/>
        </w:rPr>
        <w:t xml:space="preserve"> for what became the discipline of European studies emerged in British universities, for instance, and UK based specialists have also been prominent in the historiography of European integration history.</w:t>
      </w:r>
      <w:r w:rsidR="0041615C">
        <w:rPr>
          <w:rStyle w:val="FootnoteReference"/>
          <w:rFonts w:ascii="Athelas Regular" w:hAnsi="Athelas Regular"/>
        </w:rPr>
        <w:footnoteReference w:id="4"/>
      </w:r>
      <w:r w:rsidR="00E9121A">
        <w:rPr>
          <w:rFonts w:ascii="Athelas Regular" w:hAnsi="Athelas Regular"/>
        </w:rPr>
        <w:t xml:space="preserve"> </w:t>
      </w:r>
      <w:r>
        <w:rPr>
          <w:rFonts w:ascii="Athelas Regular" w:hAnsi="Athelas Regular"/>
        </w:rPr>
        <w:t xml:space="preserve">But none of those </w:t>
      </w:r>
      <w:r w:rsidR="00501B48">
        <w:rPr>
          <w:rFonts w:ascii="Athelas Regular" w:hAnsi="Athelas Regular"/>
        </w:rPr>
        <w:t>who did know how the system functioned</w:t>
      </w:r>
      <w:r>
        <w:rPr>
          <w:rFonts w:ascii="Athelas Regular" w:hAnsi="Athelas Regular"/>
        </w:rPr>
        <w:t xml:space="preserve"> have ever really been able to transfer their knowledge and insight into the wider British public, or even the political elite, in a way that would have gradually made such knowledge mainstream.  Instead, the highly polarised internal debate about ‘Europe’ has meant that such expert views have tended to be seen as contentious statements of ‘opinion’, to be debated and challenged rather than taken on board, promulgated </w:t>
      </w:r>
      <w:r>
        <w:rPr>
          <w:rFonts w:ascii="Athelas Regular" w:hAnsi="Athelas Regular"/>
        </w:rPr>
        <w:lastRenderedPageBreak/>
        <w:t xml:space="preserve">by suspect figures who may or may not ‘have gone native’ – i.e. become too European to remain properly British.  Lord </w:t>
      </w:r>
      <w:proofErr w:type="spellStart"/>
      <w:r>
        <w:rPr>
          <w:rFonts w:ascii="Athelas Regular" w:hAnsi="Athelas Regular"/>
        </w:rPr>
        <w:t>Cockfield</w:t>
      </w:r>
      <w:proofErr w:type="spellEnd"/>
      <w:r>
        <w:rPr>
          <w:rFonts w:ascii="Athelas Regular" w:hAnsi="Athelas Regular"/>
        </w:rPr>
        <w:t xml:space="preserve">, </w:t>
      </w:r>
      <w:r w:rsidR="00501B48">
        <w:rPr>
          <w:rFonts w:ascii="Athelas Regular" w:hAnsi="Athelas Regular"/>
        </w:rPr>
        <w:t xml:space="preserve">for instance, </w:t>
      </w:r>
      <w:r>
        <w:rPr>
          <w:rFonts w:ascii="Athelas Regular" w:hAnsi="Athelas Regular"/>
        </w:rPr>
        <w:t>one of the most successful British Commissioners and someone who as a good lawyer had actually read the Treaty of Rome on taking up his new post</w:t>
      </w:r>
      <w:r w:rsidR="00501B48">
        <w:rPr>
          <w:rFonts w:ascii="Athelas Regular" w:hAnsi="Athelas Regular"/>
        </w:rPr>
        <w:t xml:space="preserve"> in 1985</w:t>
      </w:r>
      <w:r w:rsidR="00733830">
        <w:rPr>
          <w:rFonts w:ascii="Athelas Regular" w:hAnsi="Athelas Regular"/>
        </w:rPr>
        <w:t xml:space="preserve"> and sought to impart his insights about the system to former government colleagues</w:t>
      </w:r>
      <w:r>
        <w:rPr>
          <w:rFonts w:ascii="Athelas Regular" w:hAnsi="Athelas Regular"/>
        </w:rPr>
        <w:t>, gradually saw his access and credibility with Margaret Thatcher and the Conservative party dwindle as he became ever more seen as ‘one of them’ rather than ‘one of us’.</w:t>
      </w:r>
      <w:r w:rsidR="00E9121A">
        <w:rPr>
          <w:rStyle w:val="FootnoteReference"/>
          <w:rFonts w:ascii="Athelas Regular" w:hAnsi="Athelas Regular"/>
        </w:rPr>
        <w:footnoteReference w:id="5"/>
      </w:r>
      <w:r>
        <w:rPr>
          <w:rFonts w:ascii="Athelas Regular" w:hAnsi="Athelas Regular"/>
        </w:rPr>
        <w:t xml:space="preserve">  As a result, the British debate about Europe during its many years within the EC/EU, and more recently during the referendum campaign and the Brexit talks themselves, has been characterised by a startlingly poor understanding of the system and willingness to give space and time to misconceptions that ought quickly to have been dismissed.</w:t>
      </w:r>
    </w:p>
    <w:p w14:paraId="1710CE8B" w14:textId="77777777" w:rsidR="00047B1C" w:rsidRDefault="00B02656" w:rsidP="005D7D11">
      <w:pPr>
        <w:spacing w:line="360" w:lineRule="auto"/>
        <w:rPr>
          <w:rFonts w:ascii="Athelas Regular" w:hAnsi="Athelas Regular"/>
        </w:rPr>
      </w:pPr>
      <w:r>
        <w:rPr>
          <w:rFonts w:ascii="Athelas Regular" w:hAnsi="Athelas Regular"/>
        </w:rPr>
        <w:tab/>
      </w:r>
      <w:r w:rsidR="004A110A">
        <w:rPr>
          <w:rFonts w:ascii="Athelas Regular" w:hAnsi="Athelas Regular"/>
        </w:rPr>
        <w:t xml:space="preserve">The first </w:t>
      </w:r>
      <w:r w:rsidR="00984BFC">
        <w:rPr>
          <w:rFonts w:ascii="Athelas Regular" w:hAnsi="Athelas Regular"/>
        </w:rPr>
        <w:t xml:space="preserve">widespread mistake </w:t>
      </w:r>
      <w:r w:rsidR="00501B48">
        <w:rPr>
          <w:rFonts w:ascii="Athelas Regular" w:hAnsi="Athelas Regular"/>
        </w:rPr>
        <w:t>that has bedevilled both the referendum campaign and the subsequent nego</w:t>
      </w:r>
      <w:r w:rsidR="00245815">
        <w:rPr>
          <w:rFonts w:ascii="Athelas Regular" w:hAnsi="Athelas Regular"/>
        </w:rPr>
        <w:t>tiations has been the</w:t>
      </w:r>
      <w:r w:rsidR="00501B48">
        <w:rPr>
          <w:rFonts w:ascii="Athelas Regular" w:hAnsi="Athelas Regular"/>
        </w:rPr>
        <w:t xml:space="preserve"> failure to realise that the European Single Market is much more than just a free trade area – and that therefore </w:t>
      </w:r>
      <w:r w:rsidR="002A267E">
        <w:rPr>
          <w:rFonts w:ascii="Athelas Regular" w:hAnsi="Athelas Regular"/>
        </w:rPr>
        <w:t>tariff free access to the EU</w:t>
      </w:r>
      <w:r w:rsidR="00501B48">
        <w:rPr>
          <w:rFonts w:ascii="Athelas Regular" w:hAnsi="Athelas Regular"/>
        </w:rPr>
        <w:t xml:space="preserve"> </w:t>
      </w:r>
      <w:r w:rsidR="002A267E">
        <w:rPr>
          <w:rFonts w:ascii="Athelas Regular" w:hAnsi="Athelas Regular"/>
        </w:rPr>
        <w:t>will</w:t>
      </w:r>
      <w:r w:rsidR="00501B48">
        <w:rPr>
          <w:rFonts w:ascii="Athelas Regular" w:hAnsi="Athelas Regular"/>
        </w:rPr>
        <w:t xml:space="preserve"> not, in and of itself, give British exporters anything comparable to the </w:t>
      </w:r>
      <w:r w:rsidR="002A267E">
        <w:rPr>
          <w:rFonts w:ascii="Athelas Regular" w:hAnsi="Athelas Regular"/>
        </w:rPr>
        <w:t>access that they currently have</w:t>
      </w:r>
      <w:r w:rsidR="00501B48">
        <w:rPr>
          <w:rFonts w:ascii="Athelas Regular" w:hAnsi="Athelas Regular"/>
        </w:rPr>
        <w:t>.</w:t>
      </w:r>
      <w:r w:rsidR="009F579C">
        <w:rPr>
          <w:rFonts w:ascii="Athelas Regular" w:hAnsi="Athelas Regular"/>
        </w:rPr>
        <w:t xml:space="preserve">  In the midst of the referendum campaign, Michael Gove for instance sought to rebut alarmist predictions about the economic harm to British exporters that might be done by a vote to leave by pointing out that:</w:t>
      </w:r>
    </w:p>
    <w:p w14:paraId="7AD06742" w14:textId="239A123A" w:rsidR="009F579C" w:rsidRPr="0041615C" w:rsidRDefault="009F579C" w:rsidP="005D7D11">
      <w:pPr>
        <w:pStyle w:val="NormalWeb"/>
        <w:shd w:val="clear" w:color="auto" w:fill="FFFFFF"/>
        <w:spacing w:line="360" w:lineRule="auto"/>
        <w:rPr>
          <w:rFonts w:ascii="Athelas Regular" w:hAnsi="Athelas Regular"/>
          <w:sz w:val="24"/>
          <w:szCs w:val="24"/>
        </w:rPr>
      </w:pPr>
      <w:r w:rsidRPr="0041615C">
        <w:rPr>
          <w:rFonts w:ascii="Athelas Regular" w:hAnsi="Athelas Regular" w:cs="Arial"/>
          <w:i/>
          <w:iCs/>
          <w:color w:val="666666"/>
          <w:sz w:val="24"/>
          <w:szCs w:val="24"/>
        </w:rPr>
        <w:t xml:space="preserve">There is a free trade zone stretching from Iceland to Turkey that all European nations have access to, regardless of whether they are in or out of the euro or EU. After we vote to leave we will stay in this zone. The suggestion that Bosnia, Serbia, Albania and the Ukraine would stay part of this free trade area – and Britain would be on the outside with just Belarus – is as credible as Jean-Claude </w:t>
      </w:r>
      <w:proofErr w:type="spellStart"/>
      <w:r w:rsidRPr="0041615C">
        <w:rPr>
          <w:rFonts w:ascii="Athelas Regular" w:hAnsi="Athelas Regular" w:cs="Arial"/>
          <w:i/>
          <w:iCs/>
          <w:color w:val="666666"/>
          <w:sz w:val="24"/>
          <w:szCs w:val="24"/>
        </w:rPr>
        <w:t>Juncker</w:t>
      </w:r>
      <w:proofErr w:type="spellEnd"/>
      <w:r w:rsidRPr="0041615C">
        <w:rPr>
          <w:rFonts w:ascii="Athelas Regular" w:hAnsi="Athelas Regular" w:cs="Arial"/>
          <w:i/>
          <w:iCs/>
          <w:color w:val="666666"/>
          <w:sz w:val="24"/>
          <w:szCs w:val="24"/>
        </w:rPr>
        <w:t xml:space="preserve"> joining UKIP.</w:t>
      </w:r>
      <w:r w:rsidR="00733830" w:rsidRPr="0041615C">
        <w:rPr>
          <w:rStyle w:val="FootnoteReference"/>
          <w:rFonts w:ascii="Athelas Regular" w:hAnsi="Athelas Regular" w:cs="Arial"/>
          <w:i/>
          <w:iCs/>
          <w:color w:val="666666"/>
          <w:sz w:val="24"/>
          <w:szCs w:val="24"/>
        </w:rPr>
        <w:footnoteReference w:id="6"/>
      </w:r>
      <w:r w:rsidRPr="0041615C">
        <w:rPr>
          <w:rFonts w:ascii="Athelas Regular" w:hAnsi="Athelas Regular" w:cs="Arial"/>
          <w:i/>
          <w:iCs/>
          <w:color w:val="666666"/>
          <w:sz w:val="24"/>
          <w:szCs w:val="24"/>
        </w:rPr>
        <w:t xml:space="preserve"> </w:t>
      </w:r>
    </w:p>
    <w:p w14:paraId="28165B18" w14:textId="509CEEEB" w:rsidR="009F579C" w:rsidRDefault="004C3631" w:rsidP="005D7D11">
      <w:pPr>
        <w:spacing w:line="360" w:lineRule="auto"/>
        <w:rPr>
          <w:rFonts w:ascii="Athelas Regular" w:hAnsi="Athelas Regular"/>
        </w:rPr>
      </w:pPr>
      <w:r>
        <w:rPr>
          <w:rFonts w:ascii="Athelas Regular" w:hAnsi="Athelas Regular"/>
        </w:rPr>
        <w:t>Britain in other words would go on enjoying tariff free access to EU markets, irrespective of the outcome of the referendum.  But</w:t>
      </w:r>
      <w:r w:rsidR="00836286">
        <w:rPr>
          <w:rFonts w:ascii="Athelas Regular" w:hAnsi="Athelas Regular"/>
        </w:rPr>
        <w:t xml:space="preserve"> as Gove almost certainly knew the focus on tariffs was quaintly anachronistic, a throw back to the early years of the integration process, rather than a point of great relevance in 2016.  </w:t>
      </w:r>
      <w:r w:rsidR="006C53D1">
        <w:rPr>
          <w:rFonts w:ascii="Athelas Regular" w:hAnsi="Athelas Regular"/>
        </w:rPr>
        <w:t xml:space="preserve"> This is because ever since the 1980s the main target of European liberalisation efforts have </w:t>
      </w:r>
      <w:r w:rsidR="006C53D1">
        <w:rPr>
          <w:rFonts w:ascii="Athelas Regular" w:hAnsi="Athelas Regular"/>
        </w:rPr>
        <w:lastRenderedPageBreak/>
        <w:t xml:space="preserve">not been intra-European tariffs – which had been largely eliminated in the 1960s – but instead the various regulatory and administrative obstacles that clogged up trade across European borders – the so-called ‘non-tariff barriers’.  It was the elimination of these last that had been at the core of the Single Market programme between 1985 and 1992 – an effort masterminded by Lord </w:t>
      </w:r>
      <w:proofErr w:type="spellStart"/>
      <w:r w:rsidR="006C53D1">
        <w:rPr>
          <w:rFonts w:ascii="Athelas Regular" w:hAnsi="Athelas Regular"/>
        </w:rPr>
        <w:t>Cockfi</w:t>
      </w:r>
      <w:r w:rsidR="0091509A">
        <w:rPr>
          <w:rFonts w:ascii="Athelas Regular" w:hAnsi="Athelas Regular"/>
        </w:rPr>
        <w:t>eld</w:t>
      </w:r>
      <w:proofErr w:type="spellEnd"/>
      <w:r w:rsidR="0091509A">
        <w:rPr>
          <w:rFonts w:ascii="Athelas Regular" w:hAnsi="Athelas Regular"/>
        </w:rPr>
        <w:t xml:space="preserve"> and strongly backed</w:t>
      </w:r>
      <w:r w:rsidR="006C53D1">
        <w:rPr>
          <w:rFonts w:ascii="Athelas Regular" w:hAnsi="Athelas Regular"/>
        </w:rPr>
        <w:t xml:space="preserve"> by Mrs Thatcher – and it was therefore the degree to which Britain maintained regulatory convergence with the EU that would do most to determine the country’s commercial access after Brexit rather than the question of tariff levels.</w:t>
      </w:r>
      <w:r w:rsidR="00733830">
        <w:rPr>
          <w:rStyle w:val="FootnoteReference"/>
          <w:rFonts w:ascii="Athelas Regular" w:hAnsi="Athelas Regular"/>
        </w:rPr>
        <w:footnoteReference w:id="7"/>
      </w:r>
      <w:r w:rsidR="006C53D1">
        <w:rPr>
          <w:rFonts w:ascii="Athelas Regular" w:hAnsi="Athelas Regular"/>
        </w:rPr>
        <w:t xml:space="preserve">  The prospect of pan-European free trade </w:t>
      </w:r>
      <w:r w:rsidR="00505AC0">
        <w:rPr>
          <w:rFonts w:ascii="Athelas Regular" w:hAnsi="Athelas Regular"/>
        </w:rPr>
        <w:t>was therefore of little assistance to any would-be exporter</w:t>
      </w:r>
      <w:r w:rsidR="00A341DB">
        <w:rPr>
          <w:rFonts w:ascii="Athelas Regular" w:hAnsi="Athelas Regular"/>
        </w:rPr>
        <w:t xml:space="preserve"> to the EU</w:t>
      </w:r>
      <w:r w:rsidR="00505AC0">
        <w:rPr>
          <w:rFonts w:ascii="Athelas Regular" w:hAnsi="Athelas Regular"/>
        </w:rPr>
        <w:t>, as useful as an umbrella offered to someone alarmed by rising flood water.  But remarkably – and revealingly – hardly anyone in either the press or even the Remain campaign took Gove to task for this misleading claim.  A few experts objected – I wrote an indignant blog piece</w:t>
      </w:r>
      <w:r w:rsidR="00733830">
        <w:rPr>
          <w:rStyle w:val="FootnoteReference"/>
          <w:rFonts w:ascii="Athelas Regular" w:hAnsi="Athelas Regular"/>
        </w:rPr>
        <w:footnoteReference w:id="8"/>
      </w:r>
      <w:r w:rsidR="00505AC0">
        <w:rPr>
          <w:rFonts w:ascii="Athelas Regular" w:hAnsi="Athelas Regular"/>
        </w:rPr>
        <w:t xml:space="preserve"> – but the vast majority of journalists and comment</w:t>
      </w:r>
      <w:r w:rsidR="0091509A">
        <w:rPr>
          <w:rFonts w:ascii="Athelas Regular" w:hAnsi="Athelas Regular"/>
        </w:rPr>
        <w:t>ators seem to have regarded Gove’s statement</w:t>
      </w:r>
      <w:r w:rsidR="00505AC0">
        <w:rPr>
          <w:rFonts w:ascii="Athelas Regular" w:hAnsi="Athelas Regular"/>
        </w:rPr>
        <w:t xml:space="preserve"> as</w:t>
      </w:r>
      <w:r w:rsidR="00245815">
        <w:rPr>
          <w:rFonts w:ascii="Athelas Regular" w:hAnsi="Athelas Regular"/>
        </w:rPr>
        <w:t xml:space="preserve"> a relevant and legitimate point</w:t>
      </w:r>
      <w:r w:rsidR="00505AC0">
        <w:rPr>
          <w:rFonts w:ascii="Athelas Regular" w:hAnsi="Athelas Regular"/>
        </w:rPr>
        <w:t>.  And this misguided fixation on tariff reduction or elimination rather than regulatory alignment continued within the Br</w:t>
      </w:r>
      <w:r w:rsidR="00A341DB">
        <w:rPr>
          <w:rFonts w:ascii="Athelas Regular" w:hAnsi="Athelas Regular"/>
        </w:rPr>
        <w:t>itish debate in the early stages</w:t>
      </w:r>
      <w:r w:rsidR="00505AC0">
        <w:rPr>
          <w:rFonts w:ascii="Athelas Regular" w:hAnsi="Athelas Regular"/>
        </w:rPr>
        <w:t xml:space="preserve"> of the Brexit talks themselves, hence in part the brief flurry of excitement over Liam Fox’s suggestion that </w:t>
      </w:r>
      <w:r w:rsidR="00A341DB">
        <w:rPr>
          <w:rFonts w:ascii="Athelas Regular" w:hAnsi="Athelas Regular"/>
        </w:rPr>
        <w:t xml:space="preserve">post-Brexit </w:t>
      </w:r>
      <w:r w:rsidR="00505AC0">
        <w:rPr>
          <w:rFonts w:ascii="Athelas Regular" w:hAnsi="Athelas Regular"/>
        </w:rPr>
        <w:t xml:space="preserve">Britain might join the </w:t>
      </w:r>
      <w:r w:rsidR="00A341DB">
        <w:rPr>
          <w:rFonts w:ascii="Athelas Regular" w:hAnsi="Athelas Regular"/>
        </w:rPr>
        <w:t>East Asian CPTPP</w:t>
      </w:r>
      <w:r w:rsidR="00505AC0">
        <w:rPr>
          <w:rFonts w:ascii="Athelas Regular" w:hAnsi="Athelas Regular"/>
        </w:rPr>
        <w:t>.</w:t>
      </w:r>
      <w:r w:rsidR="00733830">
        <w:rPr>
          <w:rStyle w:val="FootnoteReference"/>
          <w:rFonts w:ascii="Athelas Regular" w:hAnsi="Athelas Regular"/>
        </w:rPr>
        <w:footnoteReference w:id="9"/>
      </w:r>
      <w:r w:rsidR="00505AC0">
        <w:rPr>
          <w:rFonts w:ascii="Athelas Regular" w:hAnsi="Athelas Regular"/>
        </w:rPr>
        <w:t xml:space="preserve">  It i</w:t>
      </w:r>
      <w:r w:rsidR="0091509A">
        <w:rPr>
          <w:rFonts w:ascii="Athelas Regular" w:hAnsi="Athelas Regular"/>
        </w:rPr>
        <w:t>s only within the last year</w:t>
      </w:r>
      <w:r w:rsidR="00A341DB">
        <w:rPr>
          <w:rFonts w:ascii="Athelas Regular" w:hAnsi="Athelas Regular"/>
        </w:rPr>
        <w:t xml:space="preserve"> or so that the better portions of the press have begun systematically to seek to explain to their readers the differences between a free trade area, a customs union, and a single market</w:t>
      </w:r>
      <w:r w:rsidR="001B1C99">
        <w:rPr>
          <w:rFonts w:ascii="Athelas Regular" w:hAnsi="Athelas Regular"/>
        </w:rPr>
        <w:t>, not to mention assorted</w:t>
      </w:r>
      <w:r w:rsidR="00B4713D">
        <w:rPr>
          <w:rFonts w:ascii="Athelas Regular" w:hAnsi="Athelas Regular"/>
        </w:rPr>
        <w:t xml:space="preserve"> new Brexit-induced variations like a customs partnership and maximum facilitation</w:t>
      </w:r>
      <w:r w:rsidR="00A341DB">
        <w:rPr>
          <w:rFonts w:ascii="Athelas Regular" w:hAnsi="Athelas Regular"/>
        </w:rPr>
        <w:t xml:space="preserve"> – and in the process, one can’t help suspecting, have begun to fully understand these distinctions themselves.</w:t>
      </w:r>
      <w:r w:rsidR="00987BAE">
        <w:rPr>
          <w:rFonts w:ascii="Athelas Regular" w:hAnsi="Athelas Regular"/>
        </w:rPr>
        <w:t xml:space="preserve">  The British debate about what underpins its trade with the EU – and hence about what will change as Britain leaves the single market – has thus been characterised by a strikingly fragile awareness of how the EU’s internal market operates, despite the key historical role that the country played in pushing for and creating this very market.</w:t>
      </w:r>
      <w:r w:rsidR="0091509A">
        <w:rPr>
          <w:rFonts w:ascii="Athelas Regular" w:hAnsi="Athelas Regular"/>
        </w:rPr>
        <w:t xml:space="preserve">  We have forgotten – or unlearnt – what we once energetically championed.</w:t>
      </w:r>
    </w:p>
    <w:p w14:paraId="7CB174F7" w14:textId="2EE68B27" w:rsidR="00987BAE" w:rsidRDefault="0091509A" w:rsidP="005D7D11">
      <w:pPr>
        <w:spacing w:line="360" w:lineRule="auto"/>
        <w:rPr>
          <w:rFonts w:ascii="Athelas Regular" w:hAnsi="Athelas Regular"/>
        </w:rPr>
      </w:pPr>
      <w:r>
        <w:rPr>
          <w:rFonts w:ascii="Athelas Regular" w:hAnsi="Athelas Regular"/>
        </w:rPr>
        <w:tab/>
        <w:t xml:space="preserve">A second feature of the EU that we ought to have known about but have blithely failed to think through is the importance of timetables.  European </w:t>
      </w:r>
      <w:r>
        <w:rPr>
          <w:rFonts w:ascii="Athelas Regular" w:hAnsi="Athelas Regular"/>
        </w:rPr>
        <w:lastRenderedPageBreak/>
        <w:t xml:space="preserve">integration history is studded with the use of timetables and deadlines designed to compel </w:t>
      </w:r>
      <w:r w:rsidR="0017396D">
        <w:rPr>
          <w:rFonts w:ascii="Athelas Regular" w:hAnsi="Athelas Regular"/>
        </w:rPr>
        <w:t xml:space="preserve">member states to respect the obligations they have entered into and to bring about more or less simultaneously the administrative, commercial and legal changes that they have agreed to make.  A </w:t>
      </w:r>
      <w:r w:rsidR="00AE02C0">
        <w:rPr>
          <w:rFonts w:ascii="Athelas Regular" w:hAnsi="Athelas Regular"/>
        </w:rPr>
        <w:t>set of fixed dates for tariff dismantlement</w:t>
      </w:r>
      <w:r w:rsidR="0017396D">
        <w:rPr>
          <w:rFonts w:ascii="Athelas Regular" w:hAnsi="Athelas Regular"/>
        </w:rPr>
        <w:t xml:space="preserve"> stood at the heart of the original 1957 Treaty of Rome; much of the 1960s was dominated by an arm wrestle between France and its partners over the schedule for establishing a working Common Agricultural Policy; a similar timetable lay at the heart of the establishment of the Common Fisheries Policy in the 1970s; and the technique was famously reprised both in the 1980s and early 1990s with the building of the Single Market and in the</w:t>
      </w:r>
      <w:r w:rsidR="00AE02C0">
        <w:rPr>
          <w:rFonts w:ascii="Athelas Regular" w:hAnsi="Athelas Regular"/>
        </w:rPr>
        <w:t xml:space="preserve"> 1990s and the first</w:t>
      </w:r>
      <w:r w:rsidR="0017396D">
        <w:rPr>
          <w:rFonts w:ascii="Athelas Regular" w:hAnsi="Athelas Regular"/>
        </w:rPr>
        <w:t xml:space="preserve"> years of this century with the establishment of the Single Currency.</w:t>
      </w:r>
      <w:r w:rsidR="00733830">
        <w:rPr>
          <w:rStyle w:val="FootnoteReference"/>
          <w:rFonts w:ascii="Athelas Regular" w:hAnsi="Athelas Regular"/>
        </w:rPr>
        <w:footnoteReference w:id="10"/>
      </w:r>
      <w:r w:rsidR="0017396D">
        <w:rPr>
          <w:rFonts w:ascii="Athelas Regular" w:hAnsi="Athelas Regular"/>
        </w:rPr>
        <w:t xml:space="preserve">  As seasoned insiders, the British ought therefore to have taken seriously the </w:t>
      </w:r>
      <w:proofErr w:type="gramStart"/>
      <w:r w:rsidR="0017396D">
        <w:rPr>
          <w:rFonts w:ascii="Athelas Regular" w:hAnsi="Athelas Regular"/>
        </w:rPr>
        <w:t>two year</w:t>
      </w:r>
      <w:proofErr w:type="gramEnd"/>
      <w:r w:rsidR="0017396D">
        <w:rPr>
          <w:rFonts w:ascii="Athelas Regular" w:hAnsi="Athelas Regular"/>
        </w:rPr>
        <w:t xml:space="preserve"> timetable set out by article 50, the Treaty of Lisbon provision by which the country sought to leave the EU.  In so doing they should have realised a) that two years was a very short period of time to work out even the immediate modalities of extricating a longstanding member state from the EU, let alone deciding upon the longer term relationship between Britain and Europe, and b) that one of Britain’s strongest weapons in the forthcoming negotiations was the fact that it alone would determine when to invoke article 50 and hence to start the clock ticking.</w:t>
      </w:r>
      <w:r w:rsidR="002B1A24">
        <w:rPr>
          <w:rFonts w:ascii="Athelas Regular" w:hAnsi="Athelas Regular"/>
        </w:rPr>
        <w:t xml:space="preserve">  The sensible course would therefore have been to go as far as possible in determining what Britain wanted to get out of the negotiations as well as what was likely to be negotiable from an EU perspective, before allowing the countdown to begin.</w:t>
      </w:r>
      <w:r w:rsidR="0035326D">
        <w:rPr>
          <w:rFonts w:ascii="Athelas Regular" w:hAnsi="Athelas Regular"/>
        </w:rPr>
        <w:t xml:space="preserve">  Instead Theresa May invoked article 50 in March 2017 well before any clarity existed in the British debate about either point, and has been under severe timetable pressure ever since.</w:t>
      </w:r>
      <w:r w:rsidR="00424104">
        <w:rPr>
          <w:rFonts w:ascii="Athelas Regular" w:hAnsi="Athelas Regular"/>
        </w:rPr>
        <w:t xml:space="preserve">  By failing to think through the consequences of the article 50 timetable, the UK has thus seriously weakened its bargaining position.</w:t>
      </w:r>
    </w:p>
    <w:p w14:paraId="3EE13259" w14:textId="393CAC5E" w:rsidR="00424104" w:rsidRDefault="00AE02C0" w:rsidP="005D7D11">
      <w:pPr>
        <w:spacing w:line="360" w:lineRule="auto"/>
        <w:rPr>
          <w:rFonts w:ascii="Athelas Regular" w:hAnsi="Athelas Regular"/>
        </w:rPr>
      </w:pPr>
      <w:r>
        <w:rPr>
          <w:rFonts w:ascii="Athelas Regular" w:hAnsi="Athelas Regular"/>
        </w:rPr>
        <w:tab/>
        <w:t>Another avoidable error has been to underestimate the degree to which Ireland’s delicate and sensitive position with regard to the consequences of Brexit would become a central concern for the whole EU.  The British have been generally very slow to realise the potential importance of this 21</w:t>
      </w:r>
      <w:r w:rsidRPr="00AE02C0">
        <w:rPr>
          <w:rFonts w:ascii="Athelas Regular" w:hAnsi="Athelas Regular"/>
          <w:vertAlign w:val="superscript"/>
        </w:rPr>
        <w:t>st</w:t>
      </w:r>
      <w:r>
        <w:rPr>
          <w:rFonts w:ascii="Athelas Regular" w:hAnsi="Athelas Regular"/>
        </w:rPr>
        <w:t xml:space="preserve"> </w:t>
      </w:r>
      <w:r w:rsidR="00B6294B">
        <w:rPr>
          <w:rFonts w:ascii="Athelas Regular" w:hAnsi="Athelas Regular"/>
        </w:rPr>
        <w:t xml:space="preserve">century </w:t>
      </w:r>
      <w:r>
        <w:rPr>
          <w:rFonts w:ascii="Athelas Regular" w:hAnsi="Athelas Regular"/>
        </w:rPr>
        <w:t xml:space="preserve">manifestation of the Irish Question and even slower to anticipate how seriously this would be taken by the 27 as a whole, and not just the Dublin government.  But in so doing they have again been guilty of overlooking two further realities about the EU </w:t>
      </w:r>
      <w:r>
        <w:rPr>
          <w:rFonts w:ascii="Athelas Regular" w:hAnsi="Athelas Regular"/>
        </w:rPr>
        <w:lastRenderedPageBreak/>
        <w:t xml:space="preserve">that should have been more widely recognised in a member state of long standing.  The first is the fact that the EU has always been prone to support </w:t>
      </w:r>
      <w:r w:rsidR="007A0FB2">
        <w:rPr>
          <w:rFonts w:ascii="Athelas Regular" w:hAnsi="Athelas Regular"/>
        </w:rPr>
        <w:t>an insider in a tussle with an outsider almost irrespective of the merits of the insider’s case.  A good example of this would be the way in which nobody within the EU sought to undermine Greece’s obstinate refusal to accept the preferred name of the Former Yugoslav Republic of Macedonia despite the fact that the vast majority of observers in Brussels, Paris, Berlin or London believed that Athens was being ridiculously over-sensitive about the consequences of allowing the country to assume the name of Macedonia.</w:t>
      </w:r>
      <w:r w:rsidR="00FF2CCA">
        <w:rPr>
          <w:rStyle w:val="FootnoteReference"/>
          <w:rFonts w:ascii="Athelas Regular" w:hAnsi="Athelas Regular"/>
        </w:rPr>
        <w:footnoteReference w:id="11"/>
      </w:r>
      <w:r w:rsidR="007A0FB2">
        <w:rPr>
          <w:rFonts w:ascii="Athelas Regular" w:hAnsi="Athelas Regular"/>
        </w:rPr>
        <w:t xml:space="preserve">   Strong support from the 26 for Ireland’s much more reasonable anxieties about a hard border on the island of Ireland was hence always a near certainty.  And this is all the more so, to move onto the second factor overlooked within the British debate, given the way in which many of Ireland’s fears centred on the damage that a return to border controls in Ireland might do to the Good Friday Agreement, thereby undermining the EU’s own self-perception as a peace project. </w:t>
      </w:r>
      <w:r w:rsidR="00A11726">
        <w:rPr>
          <w:rFonts w:ascii="Athelas Regular" w:hAnsi="Athelas Regular"/>
        </w:rPr>
        <w:t xml:space="preserve"> The EU</w:t>
      </w:r>
      <w:r w:rsidR="007F7AB3">
        <w:rPr>
          <w:rFonts w:ascii="Athelas Regular" w:hAnsi="Athelas Regular"/>
        </w:rPr>
        <w:t xml:space="preserve"> has long liked to believe that it had played a useful role in </w:t>
      </w:r>
      <w:r w:rsidR="008F1052">
        <w:rPr>
          <w:rFonts w:ascii="Athelas Regular" w:hAnsi="Athelas Regular"/>
        </w:rPr>
        <w:t>overcoming the Northern Irish ‘troubles’ – and had been encouraged to think of itself in those terms by the governments of both John Major and Tony Blair as they sought EU money for the region –</w:t>
      </w:r>
      <w:r w:rsidR="0050540A">
        <w:rPr>
          <w:rFonts w:ascii="Athelas Regular" w:hAnsi="Athelas Regular"/>
        </w:rPr>
        <w:t xml:space="preserve"> and hence its </w:t>
      </w:r>
      <w:r w:rsidR="008F1052">
        <w:rPr>
          <w:rFonts w:ascii="Athelas Regular" w:hAnsi="Athelas Regular"/>
        </w:rPr>
        <w:t>dismay at any backwards step in the peace process and its readiness to back Dublin in its efforts to safeguard the progress made should have been easy to anticipate.</w:t>
      </w:r>
      <w:r w:rsidR="00FF2CCA">
        <w:rPr>
          <w:rStyle w:val="FootnoteReference"/>
          <w:rFonts w:ascii="Athelas Regular" w:hAnsi="Athelas Regular"/>
        </w:rPr>
        <w:footnoteReference w:id="12"/>
      </w:r>
      <w:r w:rsidR="008F1052">
        <w:rPr>
          <w:rFonts w:ascii="Athelas Regular" w:hAnsi="Athelas Regular"/>
        </w:rPr>
        <w:t xml:space="preserve">  Instead there has been general perplexity in much of the British debate during the negotiations about why the EU was seemingly putting the interests of a singl</w:t>
      </w:r>
      <w:r w:rsidR="00B4713D">
        <w:rPr>
          <w:rFonts w:ascii="Athelas Regular" w:hAnsi="Athelas Regular"/>
        </w:rPr>
        <w:t>e small member state above the b</w:t>
      </w:r>
      <w:r w:rsidR="008F1052">
        <w:rPr>
          <w:rFonts w:ascii="Athelas Regular" w:hAnsi="Athelas Regular"/>
        </w:rPr>
        <w:t>loc’s economic and political interest in a rapid settlement with the UK.</w:t>
      </w:r>
    </w:p>
    <w:p w14:paraId="60555BAB" w14:textId="444996AB" w:rsidR="00A11726" w:rsidRDefault="00A11726" w:rsidP="005D7D11">
      <w:pPr>
        <w:spacing w:line="360" w:lineRule="auto"/>
        <w:rPr>
          <w:rFonts w:ascii="Athelas Regular" w:hAnsi="Athelas Regular"/>
        </w:rPr>
      </w:pPr>
      <w:r>
        <w:rPr>
          <w:rFonts w:ascii="Athelas Regular" w:hAnsi="Athelas Regular"/>
        </w:rPr>
        <w:tab/>
        <w:t>A fourth lesson not learnt from Britain’s lengthy experience of dealing with the EU is about the limitations of bilateralism when dealing with a multi-national entity like the EU.</w:t>
      </w:r>
      <w:r w:rsidR="004C1AE5">
        <w:rPr>
          <w:rFonts w:ascii="Athelas Regular" w:hAnsi="Athelas Regular"/>
        </w:rPr>
        <w:t xml:space="preserve">  It is of course true that </w:t>
      </w:r>
      <w:proofErr w:type="gramStart"/>
      <w:r w:rsidR="004C1AE5">
        <w:rPr>
          <w:rFonts w:ascii="Athelas Regular" w:hAnsi="Athelas Regular"/>
        </w:rPr>
        <w:t>regular encounters with individual government counterparts is</w:t>
      </w:r>
      <w:proofErr w:type="gramEnd"/>
      <w:r w:rsidR="004C1AE5">
        <w:rPr>
          <w:rFonts w:ascii="Athelas Regular" w:hAnsi="Athelas Regular"/>
        </w:rPr>
        <w:t xml:space="preserve"> a tried and tested way of preparing for </w:t>
      </w:r>
      <w:r w:rsidR="00B6294B">
        <w:rPr>
          <w:rFonts w:ascii="Athelas Regular" w:hAnsi="Athelas Regular"/>
        </w:rPr>
        <w:t xml:space="preserve">internal </w:t>
      </w:r>
      <w:r w:rsidR="004C1AE5">
        <w:rPr>
          <w:rFonts w:ascii="Athelas Regular" w:hAnsi="Athelas Regular"/>
        </w:rPr>
        <w:t xml:space="preserve">EU negotiations.  This has been a method effectively employed by every single holder of the EC/EU’s rotating presidency over the decades, as well as by successive </w:t>
      </w:r>
      <w:r w:rsidR="004C1AE5">
        <w:rPr>
          <w:rFonts w:ascii="Athelas Regular" w:hAnsi="Athelas Regular"/>
        </w:rPr>
        <w:lastRenderedPageBreak/>
        <w:t>Commission Presidents and more recently Presidents of the European Council.</w:t>
      </w:r>
      <w:r w:rsidR="004010FF">
        <w:rPr>
          <w:rStyle w:val="FootnoteReference"/>
          <w:rFonts w:ascii="Athelas Regular" w:hAnsi="Athelas Regular"/>
        </w:rPr>
        <w:footnoteReference w:id="13"/>
      </w:r>
      <w:r w:rsidR="004C1AE5">
        <w:rPr>
          <w:rFonts w:ascii="Athelas Regular" w:hAnsi="Athelas Regular"/>
        </w:rPr>
        <w:t xml:space="preserve">  Such face-to-face encounters allow difficulties ahead to be identified and potential compromises pinpointed well before the multilateral discussions begin.  But such one-to-one dealings can rarely, if ever, be used to pre-empt collective discussions and decision-making, or to sew things up in advance so that what happens when all of the leaders or ministers gather is no more than a formality.  And yet the British have persisted in acting as if all that really needs to be done in order to ensure that an advantageous Brexit deal can be secured is to square Germany and perhaps France, and the rest will all follow.</w:t>
      </w:r>
      <w:r w:rsidR="00D30104">
        <w:rPr>
          <w:rFonts w:ascii="Athelas Regular" w:hAnsi="Athelas Regular"/>
        </w:rPr>
        <w:t xml:space="preserve">  Over-focusing on Merkel to the near exclusion of everyone else who mattered at European Council level was one of the many errors committed by David Cameron in the course of the renegotiation attempt prior to the 2016 referendum.</w:t>
      </w:r>
      <w:r w:rsidR="00FE1833">
        <w:rPr>
          <w:rStyle w:val="FootnoteReference"/>
          <w:rFonts w:ascii="Athelas Regular" w:hAnsi="Athelas Regular"/>
        </w:rPr>
        <w:footnoteReference w:id="14"/>
      </w:r>
      <w:r w:rsidR="00D30104">
        <w:rPr>
          <w:rFonts w:ascii="Athelas Regular" w:hAnsi="Athelas Regular"/>
        </w:rPr>
        <w:t xml:space="preserve">  But rathe</w:t>
      </w:r>
      <w:r w:rsidR="00B4713D">
        <w:rPr>
          <w:rFonts w:ascii="Athelas Regular" w:hAnsi="Athelas Regular"/>
        </w:rPr>
        <w:t xml:space="preserve">r than learning from this mistake </w:t>
      </w:r>
      <w:r w:rsidR="00D30104">
        <w:rPr>
          <w:rFonts w:ascii="Athelas Regular" w:hAnsi="Athelas Regular"/>
        </w:rPr>
        <w:t xml:space="preserve">and attempting to spread UK efforts more widely, May’s government has again directed a disproportionate amount of time and attention towards France and Germany in the </w:t>
      </w:r>
      <w:r w:rsidR="00FF2CCA">
        <w:rPr>
          <w:rFonts w:ascii="Athelas Regular" w:hAnsi="Athelas Regular"/>
        </w:rPr>
        <w:t xml:space="preserve">apparent </w:t>
      </w:r>
      <w:r w:rsidR="00D30104">
        <w:rPr>
          <w:rFonts w:ascii="Athelas Regular" w:hAnsi="Athelas Regular"/>
        </w:rPr>
        <w:t>belief that once won over to Britain’s si</w:t>
      </w:r>
      <w:r w:rsidR="005521F7">
        <w:rPr>
          <w:rFonts w:ascii="Athelas Regular" w:hAnsi="Athelas Regular"/>
        </w:rPr>
        <w:t>de, Europe’s two most powerful</w:t>
      </w:r>
      <w:r w:rsidR="00D30104">
        <w:rPr>
          <w:rFonts w:ascii="Athelas Regular" w:hAnsi="Athelas Regular"/>
        </w:rPr>
        <w:t xml:space="preserve"> states will be able to push the others in the direction that has been decided by the big three.  And yet this is seldom how the EC/EU has worked.  Even at the apogee of Franco-German pow</w:t>
      </w:r>
      <w:r w:rsidR="005521F7">
        <w:rPr>
          <w:rFonts w:ascii="Athelas Regular" w:hAnsi="Athelas Regular"/>
        </w:rPr>
        <w:t xml:space="preserve">er </w:t>
      </w:r>
      <w:r w:rsidR="00B4713D">
        <w:rPr>
          <w:rFonts w:ascii="Athelas Regular" w:hAnsi="Athelas Regular"/>
        </w:rPr>
        <w:t>in</w:t>
      </w:r>
      <w:r w:rsidR="0050540A">
        <w:rPr>
          <w:rFonts w:ascii="Athelas Regular" w:hAnsi="Athelas Regular"/>
        </w:rPr>
        <w:t xml:space="preserve"> the late 1980s and ear</w:t>
      </w:r>
      <w:r w:rsidR="00B4713D">
        <w:rPr>
          <w:rFonts w:ascii="Athelas Regular" w:hAnsi="Athelas Regular"/>
        </w:rPr>
        <w:t>ly 1990s</w:t>
      </w:r>
      <w:r w:rsidR="0050540A">
        <w:rPr>
          <w:rFonts w:ascii="Athelas Regular" w:hAnsi="Athelas Regular"/>
        </w:rPr>
        <w:t xml:space="preserve"> </w:t>
      </w:r>
      <w:r w:rsidR="005521F7">
        <w:rPr>
          <w:rFonts w:ascii="Athelas Regular" w:hAnsi="Athelas Regular"/>
        </w:rPr>
        <w:t>the two countries were rarely</w:t>
      </w:r>
      <w:r w:rsidR="00D30104">
        <w:rPr>
          <w:rFonts w:ascii="Athelas Regular" w:hAnsi="Athelas Regular"/>
        </w:rPr>
        <w:t xml:space="preserve"> able to impose their views on others, but instead had to work hard to coax and cajole others into taking their side.  Indeed the very effectiveness of the Franco-German axis centred on</w:t>
      </w:r>
      <w:r w:rsidR="00900C8F">
        <w:rPr>
          <w:rFonts w:ascii="Athelas Regular" w:hAnsi="Athelas Regular"/>
        </w:rPr>
        <w:t xml:space="preserve"> each country’s ability to </w:t>
      </w:r>
      <w:r w:rsidR="00D30104">
        <w:rPr>
          <w:rFonts w:ascii="Athelas Regular" w:hAnsi="Athelas Regular"/>
        </w:rPr>
        <w:t>persuade othe</w:t>
      </w:r>
      <w:r w:rsidR="00900C8F">
        <w:rPr>
          <w:rFonts w:ascii="Athelas Regular" w:hAnsi="Athelas Regular"/>
        </w:rPr>
        <w:t>rs that their efforts were being made in the i</w:t>
      </w:r>
      <w:r w:rsidR="00B4713D">
        <w:rPr>
          <w:rFonts w:ascii="Athelas Regular" w:hAnsi="Athelas Regular"/>
        </w:rPr>
        <w:t>nterests of all, and to encourage</w:t>
      </w:r>
      <w:r w:rsidR="00900C8F">
        <w:rPr>
          <w:rFonts w:ascii="Athelas Regular" w:hAnsi="Athelas Regular"/>
        </w:rPr>
        <w:t xml:space="preserve"> multiple smaller allies </w:t>
      </w:r>
      <w:r w:rsidR="005521F7">
        <w:rPr>
          <w:rFonts w:ascii="Athelas Regular" w:hAnsi="Athelas Regular"/>
        </w:rPr>
        <w:t xml:space="preserve">and the Community/Union institutions </w:t>
      </w:r>
      <w:r w:rsidR="00900C8F">
        <w:rPr>
          <w:rFonts w:ascii="Athelas Regular" w:hAnsi="Athelas Regular"/>
        </w:rPr>
        <w:t xml:space="preserve">into sharing their viewpoint.  On those occasions by contrast where the smaller member states felt that they had been presented with a </w:t>
      </w:r>
      <w:r w:rsidR="00900C8F">
        <w:rPr>
          <w:rFonts w:ascii="Athelas Regular" w:hAnsi="Athelas Regular"/>
          <w:i/>
        </w:rPr>
        <w:t>fait accompli</w:t>
      </w:r>
      <w:r w:rsidR="005521F7">
        <w:rPr>
          <w:rFonts w:ascii="Athelas Regular" w:hAnsi="Athelas Regular"/>
        </w:rPr>
        <w:t xml:space="preserve">, or a big </w:t>
      </w:r>
      <w:r w:rsidR="00900C8F">
        <w:rPr>
          <w:rFonts w:ascii="Athelas Regular" w:hAnsi="Athelas Regular"/>
        </w:rPr>
        <w:t>country stitch up, resentment flared and</w:t>
      </w:r>
      <w:r w:rsidR="005521F7">
        <w:rPr>
          <w:rFonts w:ascii="Athelas Regular" w:hAnsi="Athelas Regular"/>
        </w:rPr>
        <w:t xml:space="preserve"> agreement was delayed rather than promoted</w:t>
      </w:r>
      <w:r w:rsidR="00900C8F">
        <w:rPr>
          <w:rFonts w:ascii="Athelas Regular" w:hAnsi="Athelas Regular"/>
        </w:rPr>
        <w:t xml:space="preserve">.  All of which means that the chances of </w:t>
      </w:r>
      <w:r w:rsidR="005521F7">
        <w:rPr>
          <w:rFonts w:ascii="Athelas Regular" w:hAnsi="Athelas Regular"/>
        </w:rPr>
        <w:t>any package cooked up solely between the two largest remaining EU member states and a departing Britain being accepted and welcomed by the rest of the Union are truly slim.  And yet without unanimity amongst the 27 no deal</w:t>
      </w:r>
      <w:r w:rsidR="00FE1833">
        <w:rPr>
          <w:rFonts w:ascii="Athelas Regular" w:hAnsi="Athelas Regular"/>
        </w:rPr>
        <w:t xml:space="preserve"> can be done.  T</w:t>
      </w:r>
      <w:r w:rsidR="005521F7">
        <w:rPr>
          <w:rFonts w:ascii="Athelas Regular" w:hAnsi="Athelas Regular"/>
        </w:rPr>
        <w:t>he beguiling mirage of a deal struck merely with the one or two st</w:t>
      </w:r>
      <w:r w:rsidR="00FE1833">
        <w:rPr>
          <w:rFonts w:ascii="Athelas Regular" w:hAnsi="Athelas Regular"/>
        </w:rPr>
        <w:t xml:space="preserve">ates ‘that </w:t>
      </w:r>
      <w:r w:rsidR="00FE1833">
        <w:rPr>
          <w:rFonts w:ascii="Athelas Regular" w:hAnsi="Athelas Regular"/>
        </w:rPr>
        <w:lastRenderedPageBreak/>
        <w:t>really matter’ floated</w:t>
      </w:r>
      <w:r w:rsidR="005521F7">
        <w:rPr>
          <w:rFonts w:ascii="Athelas Regular" w:hAnsi="Athelas Regular"/>
        </w:rPr>
        <w:t xml:space="preserve"> above many UK discussions of the path ahead</w:t>
      </w:r>
      <w:r w:rsidR="00FE1833">
        <w:rPr>
          <w:rFonts w:ascii="Athelas Regular" w:hAnsi="Athelas Regular"/>
        </w:rPr>
        <w:t xml:space="preserve"> for far too long during the Brexit talks</w:t>
      </w:r>
      <w:r w:rsidR="005521F7">
        <w:rPr>
          <w:rFonts w:ascii="Athelas Regular" w:hAnsi="Athelas Regular"/>
        </w:rPr>
        <w:t>.</w:t>
      </w:r>
    </w:p>
    <w:p w14:paraId="45AA9912" w14:textId="2AC3234F" w:rsidR="005521F7" w:rsidRDefault="00404566" w:rsidP="005D7D11">
      <w:pPr>
        <w:spacing w:line="360" w:lineRule="auto"/>
        <w:rPr>
          <w:rFonts w:ascii="Athelas Regular" w:hAnsi="Athelas Regular"/>
        </w:rPr>
      </w:pPr>
      <w:r>
        <w:rPr>
          <w:rFonts w:ascii="Athelas Regular" w:hAnsi="Athelas Regular"/>
        </w:rPr>
        <w:tab/>
        <w:t>Finally, and pe</w:t>
      </w:r>
      <w:r w:rsidR="005C4E1D">
        <w:rPr>
          <w:rFonts w:ascii="Athelas Regular" w:hAnsi="Athelas Regular"/>
        </w:rPr>
        <w:t>rhaps most fundamentally, the British</w:t>
      </w:r>
      <w:r>
        <w:rPr>
          <w:rFonts w:ascii="Athelas Regular" w:hAnsi="Athelas Regular"/>
        </w:rPr>
        <w:t xml:space="preserve"> debate about what is likely to prove negotiable has faile</w:t>
      </w:r>
      <w:r w:rsidR="005C4E1D">
        <w:rPr>
          <w:rFonts w:ascii="Athelas Regular" w:hAnsi="Athelas Regular"/>
        </w:rPr>
        <w:t>d time and time again to take properly into account</w:t>
      </w:r>
      <w:r>
        <w:rPr>
          <w:rFonts w:ascii="Athelas Regular" w:hAnsi="Athelas Regular"/>
        </w:rPr>
        <w:t xml:space="preserve"> the political nature of the </w:t>
      </w:r>
      <w:r w:rsidR="005C4E1D">
        <w:rPr>
          <w:rFonts w:ascii="Athelas Regular" w:hAnsi="Athelas Regular"/>
        </w:rPr>
        <w:t>entity with which it is dealing, and the fact that it is the UK and not the EU that is asking for change.  The first of these realities is perhaps best illustrated with what might be called the Boris Johnson ‘</w:t>
      </w:r>
      <w:proofErr w:type="spellStart"/>
      <w:r w:rsidR="005C4E1D">
        <w:rPr>
          <w:rFonts w:ascii="Athelas Regular" w:hAnsi="Athelas Regular"/>
        </w:rPr>
        <w:t>Prosecco</w:t>
      </w:r>
      <w:proofErr w:type="spellEnd"/>
      <w:r w:rsidR="005C4E1D">
        <w:rPr>
          <w:rFonts w:ascii="Athelas Regular" w:hAnsi="Athelas Regular"/>
        </w:rPr>
        <w:t>’ argument – or the idea that the strength of Britain’s bargaining position in the negotiations springs from the commercial interest of many continental exporters in keeping access to the valuable UK market.</w:t>
      </w:r>
      <w:r w:rsidR="0070497B">
        <w:rPr>
          <w:rStyle w:val="FootnoteReference"/>
          <w:rFonts w:ascii="Athelas Regular" w:hAnsi="Athelas Regular"/>
        </w:rPr>
        <w:footnoteReference w:id="15"/>
      </w:r>
      <w:r w:rsidR="005C4E1D">
        <w:rPr>
          <w:rFonts w:ascii="Athelas Regular" w:hAnsi="Athelas Regular"/>
        </w:rPr>
        <w:t xml:space="preserve">  This is a notion that has been repeatedly aired both during the referendum campaign itself and in t</w:t>
      </w:r>
      <w:r w:rsidR="00A67D14">
        <w:rPr>
          <w:rFonts w:ascii="Athelas Regular" w:hAnsi="Athelas Regular"/>
        </w:rPr>
        <w:t xml:space="preserve">he course of the Brexit talks.  Unfortunately however it overlooks the extent to which virtually all of those with whom the British are negotiating regard a united and flourishing EU as even more valuable than the British market, whether economically or politically.  And yet giving UK the sort of exit terms which many </w:t>
      </w:r>
      <w:proofErr w:type="spellStart"/>
      <w:r w:rsidR="00A67D14">
        <w:rPr>
          <w:rFonts w:ascii="Athelas Regular" w:hAnsi="Athelas Regular"/>
        </w:rPr>
        <w:t>Brexiteers</w:t>
      </w:r>
      <w:proofErr w:type="spellEnd"/>
      <w:r w:rsidR="00A67D14">
        <w:rPr>
          <w:rFonts w:ascii="Athelas Regular" w:hAnsi="Athelas Regular"/>
        </w:rPr>
        <w:t xml:space="preserve"> seemed to regard as likely so as to avoid the loss of </w:t>
      </w:r>
      <w:r w:rsidR="00D10172">
        <w:rPr>
          <w:rFonts w:ascii="Athelas Regular" w:hAnsi="Athelas Regular"/>
        </w:rPr>
        <w:t>sales to Britain</w:t>
      </w:r>
      <w:r w:rsidR="00A67D14">
        <w:rPr>
          <w:rFonts w:ascii="Athelas Regular" w:hAnsi="Athelas Regular"/>
        </w:rPr>
        <w:t xml:space="preserve">, would be seriously to endanger EU unity and to incentivise others to follow the UK’s example and seek to leave, or renegotiate their EU membership.  The potential negative consequences of this would, politically and economically, far outweigh the loss of the British market, however prized.  This helps explain why the 27 opted immediately </w:t>
      </w:r>
      <w:r w:rsidR="00B4571F">
        <w:rPr>
          <w:rFonts w:ascii="Athelas Regular" w:hAnsi="Athelas Regular"/>
        </w:rPr>
        <w:t xml:space="preserve">after the referendum result </w:t>
      </w:r>
      <w:r w:rsidR="00A67D14">
        <w:rPr>
          <w:rFonts w:ascii="Athelas Regular" w:hAnsi="Athelas Regular"/>
        </w:rPr>
        <w:t>for a negotiating procedure which, by delegating the talks to a European Commission negotiator, operating under tight and</w:t>
      </w:r>
      <w:r w:rsidR="00D10172">
        <w:rPr>
          <w:rFonts w:ascii="Athelas Regular" w:hAnsi="Athelas Regular"/>
        </w:rPr>
        <w:t xml:space="preserve"> strict European Council oversight</w:t>
      </w:r>
      <w:r w:rsidR="00A67D14">
        <w:rPr>
          <w:rFonts w:ascii="Athelas Regular" w:hAnsi="Athelas Regular"/>
        </w:rPr>
        <w:t xml:space="preserve">, </w:t>
      </w:r>
      <w:r w:rsidR="00D10172">
        <w:rPr>
          <w:rFonts w:ascii="Athelas Regular" w:hAnsi="Athelas Regular"/>
        </w:rPr>
        <w:t xml:space="preserve">and ruling out direct negotiations with Theresa May at European Council meetings, </w:t>
      </w:r>
      <w:r w:rsidR="00A67D14">
        <w:rPr>
          <w:rFonts w:ascii="Athelas Regular" w:hAnsi="Athelas Regular"/>
        </w:rPr>
        <w:t>maximised the likelihood of their staying united</w:t>
      </w:r>
      <w:r w:rsidR="006D3E0E">
        <w:rPr>
          <w:rFonts w:ascii="Times New Roman" w:hAnsi="Times New Roman" w:cs="Times New Roman"/>
        </w:rPr>
        <w:t xml:space="preserve"> </w:t>
      </w:r>
      <w:r w:rsidR="00A67D14">
        <w:rPr>
          <w:rFonts w:ascii="Athelas Regular" w:hAnsi="Athelas Regular"/>
        </w:rPr>
        <w:t>and minimised the scope for the British to seek to divide and rule.</w:t>
      </w:r>
      <w:r w:rsidR="00CF058A">
        <w:rPr>
          <w:rFonts w:ascii="Athelas Regular" w:hAnsi="Athelas Regular"/>
        </w:rPr>
        <w:t xml:space="preserve">  </w:t>
      </w:r>
      <w:r w:rsidR="00CF058A">
        <w:rPr>
          <w:rFonts w:ascii="Athelas Regular" w:hAnsi="Athelas Regular"/>
        </w:rPr>
        <w:lastRenderedPageBreak/>
        <w:t>The 27’s whole approach to the talks, in other words, underlined how the politics of staying together trumped the potential value of trade with Britain.  Furthermore</w:t>
      </w:r>
      <w:r w:rsidR="00F87460">
        <w:rPr>
          <w:rFonts w:ascii="Athelas Regular" w:hAnsi="Athelas Regular"/>
        </w:rPr>
        <w:t xml:space="preserve">, the underlying dynamics of the negotiation were always going to be profoundly asymmetrical, not just because it pitted 27 against one, but more importantly because the EU could unite in the defence of a pre-agreed system – the </w:t>
      </w:r>
      <w:proofErr w:type="spellStart"/>
      <w:r w:rsidR="00F87460">
        <w:rPr>
          <w:rFonts w:ascii="Athelas Regular" w:hAnsi="Athelas Regular"/>
          <w:i/>
        </w:rPr>
        <w:t>acquis</w:t>
      </w:r>
      <w:proofErr w:type="spellEnd"/>
      <w:r w:rsidR="00F87460">
        <w:rPr>
          <w:rFonts w:ascii="Athelas Regular" w:hAnsi="Athelas Regular"/>
          <w:i/>
        </w:rPr>
        <w:t xml:space="preserve"> </w:t>
      </w:r>
      <w:proofErr w:type="spellStart"/>
      <w:r w:rsidR="00F87460">
        <w:rPr>
          <w:rFonts w:ascii="Athelas Regular" w:hAnsi="Athelas Regular"/>
          <w:i/>
        </w:rPr>
        <w:t>communautaire</w:t>
      </w:r>
      <w:proofErr w:type="spellEnd"/>
      <w:r w:rsidR="00F87460">
        <w:rPr>
          <w:rFonts w:ascii="Athelas Regular" w:hAnsi="Athelas Regular"/>
        </w:rPr>
        <w:t xml:space="preserve"> </w:t>
      </w:r>
      <w:r w:rsidR="0050540A">
        <w:rPr>
          <w:rFonts w:ascii="Athelas Regular" w:hAnsi="Athelas Regular"/>
        </w:rPr>
        <w:t xml:space="preserve">and the principles on which the EU is based </w:t>
      </w:r>
      <w:r w:rsidR="00F87460">
        <w:rPr>
          <w:rFonts w:ascii="Athelas Regular" w:hAnsi="Athelas Regular"/>
        </w:rPr>
        <w:t>– whereas the British had to devise its desiderata from scratch.  Mapping out what alternative commercial and political future Britain desired would always have been a challenging and time-consuming task</w:t>
      </w:r>
      <w:r w:rsidR="0070497B">
        <w:rPr>
          <w:rFonts w:ascii="Athelas Regular" w:hAnsi="Athelas Regular"/>
        </w:rPr>
        <w:t>, not least because those who campaigned for Leave held markedly divergent views on the question</w:t>
      </w:r>
      <w:r w:rsidR="00F87460">
        <w:rPr>
          <w:rFonts w:ascii="Athelas Regular" w:hAnsi="Athelas Regular"/>
        </w:rPr>
        <w:t>; it has been even more so in a deeply polarised country, still traumatised b</w:t>
      </w:r>
      <w:r w:rsidR="0070497B">
        <w:rPr>
          <w:rFonts w:ascii="Athelas Regular" w:hAnsi="Athelas Regular"/>
        </w:rPr>
        <w:t>y the referendum itself, and</w:t>
      </w:r>
      <w:r w:rsidR="00F87460">
        <w:rPr>
          <w:rFonts w:ascii="Athelas Regular" w:hAnsi="Athelas Regular"/>
        </w:rPr>
        <w:t xml:space="preserve"> led </w:t>
      </w:r>
      <w:r w:rsidR="0070497B">
        <w:rPr>
          <w:rFonts w:ascii="Athelas Regular" w:hAnsi="Athelas Regular"/>
        </w:rPr>
        <w:t xml:space="preserve">since 2017 </w:t>
      </w:r>
      <w:r w:rsidR="00F87460">
        <w:rPr>
          <w:rFonts w:ascii="Athelas Regular" w:hAnsi="Athelas Regular"/>
        </w:rPr>
        <w:t>by a</w:t>
      </w:r>
      <w:r w:rsidR="0070497B">
        <w:rPr>
          <w:rFonts w:ascii="Athelas Regular" w:hAnsi="Athelas Regular"/>
        </w:rPr>
        <w:t xml:space="preserve"> minority and profoundly split</w:t>
      </w:r>
      <w:r w:rsidR="00F87460">
        <w:rPr>
          <w:rFonts w:ascii="Athelas Regular" w:hAnsi="Athelas Regular"/>
        </w:rPr>
        <w:t xml:space="preserve"> government.</w:t>
      </w:r>
    </w:p>
    <w:p w14:paraId="3CBF1B3C" w14:textId="77777777" w:rsidR="00F87460" w:rsidRDefault="00F87460" w:rsidP="005D7D11">
      <w:pPr>
        <w:spacing w:line="360" w:lineRule="auto"/>
        <w:rPr>
          <w:rFonts w:ascii="Athelas Regular" w:hAnsi="Athelas Regular"/>
        </w:rPr>
      </w:pPr>
      <w:r>
        <w:rPr>
          <w:rFonts w:ascii="Athelas Regular" w:hAnsi="Athelas Regular"/>
        </w:rPr>
        <w:tab/>
        <w:t xml:space="preserve">Here too, though, an extraordinary number of those commenting on the negotiations failed totally to anticipate this reality and hence to prepare for it.  An interview given to the BBC by the former Governor of the Bank of England </w:t>
      </w:r>
      <w:proofErr w:type="spellStart"/>
      <w:r>
        <w:rPr>
          <w:rFonts w:ascii="Athelas Regular" w:hAnsi="Athelas Regular"/>
        </w:rPr>
        <w:t>Mervyn</w:t>
      </w:r>
      <w:proofErr w:type="spellEnd"/>
      <w:r>
        <w:rPr>
          <w:rFonts w:ascii="Athelas Regular" w:hAnsi="Athelas Regular"/>
        </w:rPr>
        <w:t xml:space="preserve"> King illustrated this point well, since while his main intent was to criticise May’s performance and to lament the way in which the negotiations had been conducted, he sought to add emphasis to his critique by highlighting how tilted in Britain’s favour he believed the initial playing field to have been.  </w:t>
      </w:r>
    </w:p>
    <w:p w14:paraId="0A84A285" w14:textId="77777777" w:rsidR="00F87460" w:rsidRDefault="00F87460" w:rsidP="005D7D11">
      <w:pPr>
        <w:spacing w:line="360" w:lineRule="auto"/>
      </w:pPr>
    </w:p>
    <w:p w14:paraId="1D5B7401" w14:textId="3B0CF310" w:rsidR="00F87460" w:rsidRPr="0041615C" w:rsidRDefault="00F87460" w:rsidP="005D7D11">
      <w:pPr>
        <w:spacing w:line="360" w:lineRule="auto"/>
        <w:rPr>
          <w:rFonts w:ascii="Athelas Regular" w:hAnsi="Athelas Regular"/>
          <w:i/>
        </w:rPr>
      </w:pPr>
      <w:r w:rsidRPr="0041615C">
        <w:rPr>
          <w:rFonts w:ascii="Athelas Regular" w:hAnsi="Athelas Regular"/>
          <w:i/>
        </w:rPr>
        <w:t>Put yourself in the position of someone in Brussels on the morning after the British referendum.  They must have been really worried that they had 27 countries to try to corral, how could they have a united negotiating position, they were dealing with a country that was one country that had made a clear decision</w:t>
      </w:r>
      <w:r w:rsidR="00A41D7B" w:rsidRPr="0041615C">
        <w:rPr>
          <w:rFonts w:ascii="Athelas Regular" w:hAnsi="Athelas Regular"/>
          <w:i/>
        </w:rPr>
        <w:t>,</w:t>
      </w:r>
      <w:r w:rsidRPr="0041615C">
        <w:rPr>
          <w:rFonts w:ascii="Athelas Regular" w:hAnsi="Athelas Regular"/>
          <w:i/>
        </w:rPr>
        <w:t xml:space="preserve"> had voted to leave</w:t>
      </w:r>
      <w:r w:rsidR="00A41D7B" w:rsidRPr="0041615C">
        <w:rPr>
          <w:rFonts w:ascii="Athelas Regular" w:hAnsi="Athelas Regular"/>
          <w:i/>
        </w:rPr>
        <w:t>,</w:t>
      </w:r>
      <w:r w:rsidRPr="0041615C">
        <w:rPr>
          <w:rFonts w:ascii="Athelas Regular" w:hAnsi="Athelas Regular"/>
          <w:i/>
        </w:rPr>
        <w:t xml:space="preserve"> it knew what it wanted to do, how on earth could the European Union manage to negotiate against this one decisive group on the other side of the channel?  Well the reality has been completely the opposite.  The European Union has been united, it has been clear, it has been patient and it is the UK that has been divided, without any clear strategy at all.</w:t>
      </w:r>
      <w:r w:rsidR="0070497B" w:rsidRPr="0041615C">
        <w:rPr>
          <w:rStyle w:val="FootnoteReference"/>
          <w:rFonts w:ascii="Athelas Regular" w:hAnsi="Athelas Regular"/>
          <w:i/>
        </w:rPr>
        <w:footnoteReference w:id="16"/>
      </w:r>
    </w:p>
    <w:p w14:paraId="587DF9DE" w14:textId="77777777" w:rsidR="00C75CBB" w:rsidRDefault="00C75CBB" w:rsidP="005D7D11">
      <w:pPr>
        <w:spacing w:line="360" w:lineRule="auto"/>
      </w:pPr>
    </w:p>
    <w:p w14:paraId="73E799A1" w14:textId="67405497" w:rsidR="00C75CBB" w:rsidRPr="00A641EC" w:rsidRDefault="00C75CBB" w:rsidP="005D7D11">
      <w:pPr>
        <w:spacing w:line="360" w:lineRule="auto"/>
        <w:rPr>
          <w:rFonts w:ascii="Athelas Regular" w:hAnsi="Athelas Regular"/>
        </w:rPr>
      </w:pPr>
      <w:r w:rsidRPr="00A641EC">
        <w:rPr>
          <w:rFonts w:ascii="Athelas Regular" w:hAnsi="Athelas Regular"/>
        </w:rPr>
        <w:t xml:space="preserve">This should not have been </w:t>
      </w:r>
      <w:r w:rsidR="0050540A" w:rsidRPr="00A641EC">
        <w:rPr>
          <w:rFonts w:ascii="Athelas Regular" w:hAnsi="Athelas Regular"/>
        </w:rPr>
        <w:t xml:space="preserve">at all </w:t>
      </w:r>
      <w:r w:rsidRPr="00A641EC">
        <w:rPr>
          <w:rFonts w:ascii="Athelas Regular" w:hAnsi="Athelas Regular"/>
        </w:rPr>
        <w:t xml:space="preserve">surprising however since, as argued at the very start of this piece, uniting around a pre-agreed position, and maximising internal coherence even at the expense of external rigidity, has been the EC/EU’s default </w:t>
      </w:r>
      <w:r w:rsidRPr="00A641EC">
        <w:rPr>
          <w:rFonts w:ascii="Athelas Regular" w:hAnsi="Athelas Regular"/>
        </w:rPr>
        <w:lastRenderedPageBreak/>
        <w:t xml:space="preserve">approach to negotiation ever since it was </w:t>
      </w:r>
      <w:r w:rsidR="0050540A" w:rsidRPr="00A641EC">
        <w:rPr>
          <w:rFonts w:ascii="Athelas Regular" w:hAnsi="Athelas Regular"/>
        </w:rPr>
        <w:t xml:space="preserve">first </w:t>
      </w:r>
      <w:r w:rsidRPr="00A641EC">
        <w:rPr>
          <w:rFonts w:ascii="Athelas Regular" w:hAnsi="Athelas Regular"/>
        </w:rPr>
        <w:t>created.  The Community had behaved thus when Britain first applied, obliging the then British government to learn, painfully and slowly that it was they and not the Six who would have to make the bulk of the concessions.</w:t>
      </w:r>
      <w:r w:rsidR="0070497B">
        <w:rPr>
          <w:rStyle w:val="FootnoteReference"/>
          <w:rFonts w:ascii="Athelas Regular" w:hAnsi="Athelas Regular"/>
        </w:rPr>
        <w:footnoteReference w:id="17"/>
      </w:r>
      <w:r w:rsidRPr="00A641EC">
        <w:rPr>
          <w:rFonts w:ascii="Athelas Regular" w:hAnsi="Athelas Regular"/>
        </w:rPr>
        <w:t xml:space="preserve">  It has behaved in similar fashion in countless negotiations during the time when the British had been part of the system.</w:t>
      </w:r>
      <w:r w:rsidR="0070497B">
        <w:rPr>
          <w:rStyle w:val="FootnoteReference"/>
          <w:rFonts w:ascii="Athelas Regular" w:hAnsi="Athelas Regular"/>
        </w:rPr>
        <w:footnoteReference w:id="18"/>
      </w:r>
      <w:r w:rsidRPr="00A641EC">
        <w:rPr>
          <w:rFonts w:ascii="Athelas Regular" w:hAnsi="Athelas Regular"/>
        </w:rPr>
        <w:t xml:space="preserve">  And yet once outside (or at least on their way out and treated as already having left in terms of how the Brexit talks have been organised) the British have reacted in h</w:t>
      </w:r>
      <w:r w:rsidR="0050540A" w:rsidRPr="00A641EC">
        <w:rPr>
          <w:rFonts w:ascii="Athelas Regular" w:hAnsi="Athelas Regular"/>
        </w:rPr>
        <w:t>orror and surprise at this deep-</w:t>
      </w:r>
      <w:r w:rsidRPr="00A641EC">
        <w:rPr>
          <w:rFonts w:ascii="Athelas Regular" w:hAnsi="Athelas Regular"/>
        </w:rPr>
        <w:t>rooted – and hence entirely predictable - characteristic.</w:t>
      </w:r>
    </w:p>
    <w:p w14:paraId="16FDA97B" w14:textId="77777777" w:rsidR="00361818" w:rsidRPr="00A641EC" w:rsidRDefault="00361818" w:rsidP="005D7D11">
      <w:pPr>
        <w:spacing w:line="360" w:lineRule="auto"/>
        <w:rPr>
          <w:rFonts w:ascii="Athelas Regular" w:hAnsi="Athelas Regular"/>
        </w:rPr>
      </w:pPr>
    </w:p>
    <w:p w14:paraId="1C5B8E0E" w14:textId="780E2601" w:rsidR="00361818" w:rsidRDefault="00361818" w:rsidP="005D7D11">
      <w:pPr>
        <w:spacing w:line="360" w:lineRule="auto"/>
        <w:rPr>
          <w:rFonts w:ascii="Athelas Regular" w:hAnsi="Athelas Regular"/>
        </w:rPr>
      </w:pPr>
      <w:r w:rsidRPr="00A641EC">
        <w:rPr>
          <w:rFonts w:ascii="Athelas Regular" w:hAnsi="Athelas Regular"/>
        </w:rPr>
        <w:t>All told, therefore, the manner in which the British have allowed themselves to be taken aback by the realities of negotiating with the EU says much more about our own shallow understanding of the system than it does about European vindictiveness or spite.  A tiny of minority of UK officials and politicians did correctly predict the likely course of negotiations from the outset – most famously Ivan Rogers</w:t>
      </w:r>
      <w:r w:rsidR="00D10172" w:rsidRPr="00A641EC">
        <w:rPr>
          <w:rFonts w:ascii="Athelas Regular" w:hAnsi="Athelas Regular"/>
        </w:rPr>
        <w:t xml:space="preserve"> who resigned precisely because most of his political masters did not want to hear the message he was conveying</w:t>
      </w:r>
      <w:r w:rsidRPr="00A641EC">
        <w:rPr>
          <w:rFonts w:ascii="Athelas Regular" w:hAnsi="Athelas Regular"/>
        </w:rPr>
        <w:t>.</w:t>
      </w:r>
      <w:r w:rsidR="008177CC">
        <w:rPr>
          <w:rStyle w:val="FootnoteReference"/>
          <w:rFonts w:ascii="Athelas Regular" w:hAnsi="Athelas Regular"/>
        </w:rPr>
        <w:footnoteReference w:id="19"/>
      </w:r>
      <w:r w:rsidR="008177CC">
        <w:rPr>
          <w:rFonts w:ascii="Athelas Regular" w:hAnsi="Athelas Regular"/>
        </w:rPr>
        <w:t xml:space="preserve">   Others, like </w:t>
      </w:r>
      <w:proofErr w:type="spellStart"/>
      <w:r w:rsidR="008177CC">
        <w:rPr>
          <w:rFonts w:ascii="Athelas Regular" w:hAnsi="Athelas Regular"/>
        </w:rPr>
        <w:t>Olly</w:t>
      </w:r>
      <w:proofErr w:type="spellEnd"/>
      <w:r w:rsidR="008177CC">
        <w:rPr>
          <w:rFonts w:ascii="Athelas Regular" w:hAnsi="Athelas Regular"/>
        </w:rPr>
        <w:t xml:space="preserve"> Robbins </w:t>
      </w:r>
      <w:r w:rsidRPr="00A641EC">
        <w:rPr>
          <w:rFonts w:ascii="Athelas Regular" w:hAnsi="Athelas Regular"/>
        </w:rPr>
        <w:t>appear to have gone through the disconcerting and uncomfortable process of learning on the</w:t>
      </w:r>
      <w:r w:rsidR="008177CC">
        <w:rPr>
          <w:rFonts w:ascii="Athelas Regular" w:hAnsi="Athelas Regular"/>
        </w:rPr>
        <w:t xml:space="preserve"> job.</w:t>
      </w:r>
      <w:r w:rsidR="00720FDF">
        <w:rPr>
          <w:rStyle w:val="FootnoteReference"/>
          <w:rFonts w:ascii="Athelas Regular" w:hAnsi="Athelas Regular"/>
        </w:rPr>
        <w:footnoteReference w:id="20"/>
      </w:r>
      <w:r w:rsidR="008177CC">
        <w:rPr>
          <w:rFonts w:ascii="Athelas Regular" w:hAnsi="Athelas Regular"/>
        </w:rPr>
        <w:t xml:space="preserve">  But even those who </w:t>
      </w:r>
      <w:r w:rsidR="0041615C">
        <w:rPr>
          <w:rFonts w:ascii="Athelas Regular" w:hAnsi="Athelas Regular"/>
        </w:rPr>
        <w:t xml:space="preserve">have gradually discerned </w:t>
      </w:r>
      <w:r w:rsidRPr="00A641EC">
        <w:rPr>
          <w:rFonts w:ascii="Athelas Regular" w:hAnsi="Athelas Regular"/>
        </w:rPr>
        <w:t>more clearly the profoundly une</w:t>
      </w:r>
      <w:r w:rsidR="00D10172" w:rsidRPr="00A641EC">
        <w:rPr>
          <w:rFonts w:ascii="Athelas Regular" w:hAnsi="Athelas Regular"/>
        </w:rPr>
        <w:t>ven nature of the playing field</w:t>
      </w:r>
      <w:r w:rsidRPr="00A641EC">
        <w:rPr>
          <w:rFonts w:ascii="Athelas Regular" w:hAnsi="Athelas Regular"/>
        </w:rPr>
        <w:t xml:space="preserve"> </w:t>
      </w:r>
      <w:r w:rsidR="008177CC">
        <w:rPr>
          <w:rFonts w:ascii="Athelas Regular" w:hAnsi="Athelas Regular"/>
        </w:rPr>
        <w:t xml:space="preserve">have </w:t>
      </w:r>
      <w:r w:rsidRPr="00A641EC">
        <w:rPr>
          <w:rFonts w:ascii="Athelas Regular" w:hAnsi="Athelas Regular"/>
        </w:rPr>
        <w:t>struggle</w:t>
      </w:r>
      <w:r w:rsidR="008177CC">
        <w:rPr>
          <w:rFonts w:ascii="Athelas Regular" w:hAnsi="Athelas Regular"/>
        </w:rPr>
        <w:t>d</w:t>
      </w:r>
      <w:r w:rsidRPr="00A641EC">
        <w:rPr>
          <w:rFonts w:ascii="Athelas Regular" w:hAnsi="Athelas Regular"/>
        </w:rPr>
        <w:t xml:space="preserve"> to defend the UK concessions that they have belatedly realised are needed, in the face of many amongst the political elite, the press and the general public who remain as profoundly ill-informed, not to say deluded, about the nature of </w:t>
      </w:r>
      <w:r w:rsidR="0050540A" w:rsidRPr="00A641EC">
        <w:rPr>
          <w:rFonts w:ascii="Athelas Regular" w:hAnsi="Athelas Regular"/>
        </w:rPr>
        <w:t xml:space="preserve">the EU as ever. </w:t>
      </w:r>
      <w:r w:rsidR="008177CC">
        <w:rPr>
          <w:rFonts w:ascii="Athelas Regular" w:hAnsi="Athelas Regular"/>
        </w:rPr>
        <w:t xml:space="preserve"> What this means for the eventual outcome of the negotiations will be clearer once this piece appears than it is at the time of writing.  One lesson, however, is already wholly apparent.</w:t>
      </w:r>
      <w:r w:rsidR="0050540A" w:rsidRPr="00A641EC">
        <w:rPr>
          <w:rFonts w:ascii="Athelas Regular" w:hAnsi="Athelas Regular"/>
        </w:rPr>
        <w:t xml:space="preserve"> We have been ‘in Europe’ for over four </w:t>
      </w:r>
      <w:r w:rsidR="0050540A" w:rsidRPr="00A641EC">
        <w:rPr>
          <w:rFonts w:ascii="Athelas Regular" w:hAnsi="Athelas Regular"/>
        </w:rPr>
        <w:lastRenderedPageBreak/>
        <w:t>decades, but</w:t>
      </w:r>
      <w:r w:rsidR="008177CC">
        <w:rPr>
          <w:rFonts w:ascii="Athelas Regular" w:hAnsi="Athelas Regular"/>
        </w:rPr>
        <w:t xml:space="preserve"> </w:t>
      </w:r>
      <w:r w:rsidR="0041615C">
        <w:rPr>
          <w:rFonts w:ascii="Athelas Regular" w:hAnsi="Athelas Regular"/>
        </w:rPr>
        <w:t xml:space="preserve">as </w:t>
      </w:r>
      <w:r w:rsidR="008177CC">
        <w:rPr>
          <w:rFonts w:ascii="Athelas Regular" w:hAnsi="Athelas Regular"/>
        </w:rPr>
        <w:t>the whole</w:t>
      </w:r>
      <w:r w:rsidR="009C7313" w:rsidRPr="00A641EC">
        <w:rPr>
          <w:rFonts w:ascii="Athelas Regular" w:hAnsi="Athelas Regular"/>
        </w:rPr>
        <w:t xml:space="preserve"> depressing spectacle of the Brexit talks </w:t>
      </w:r>
      <w:r w:rsidR="0041615C">
        <w:rPr>
          <w:rFonts w:ascii="Athelas Regular" w:hAnsi="Athelas Regular"/>
        </w:rPr>
        <w:t>amply demonstrate,</w:t>
      </w:r>
      <w:r w:rsidR="0050540A" w:rsidRPr="00A641EC">
        <w:rPr>
          <w:rFonts w:ascii="Athelas Regular" w:hAnsi="Athelas Regular"/>
        </w:rPr>
        <w:t xml:space="preserve"> few of us have ever really understood what this means.</w:t>
      </w:r>
    </w:p>
    <w:p w14:paraId="49AA1CF1" w14:textId="77777777" w:rsidR="006D3E0E" w:rsidRDefault="006D3E0E" w:rsidP="005D7D11">
      <w:pPr>
        <w:spacing w:line="360" w:lineRule="auto"/>
        <w:rPr>
          <w:rFonts w:ascii="Athelas Regular" w:hAnsi="Athelas Regular"/>
        </w:rPr>
      </w:pPr>
    </w:p>
    <w:p w14:paraId="1E2521E5" w14:textId="2BF1B0CA" w:rsidR="006D3E0E" w:rsidRDefault="006D3E0E" w:rsidP="006D3E0E">
      <w:pPr>
        <w:spacing w:line="360" w:lineRule="auto"/>
        <w:jc w:val="right"/>
        <w:rPr>
          <w:rFonts w:ascii="Athelas Regular" w:hAnsi="Athelas Regular"/>
        </w:rPr>
      </w:pPr>
      <w:r>
        <w:rPr>
          <w:rFonts w:ascii="Athelas Regular" w:hAnsi="Athelas Regular"/>
        </w:rPr>
        <w:t>Piers Ludlow, LSE</w:t>
      </w:r>
    </w:p>
    <w:p w14:paraId="1192130E" w14:textId="6D1CF785" w:rsidR="006D3E0E" w:rsidRPr="00A641EC" w:rsidRDefault="0041615C" w:rsidP="006D3E0E">
      <w:pPr>
        <w:spacing w:line="360" w:lineRule="auto"/>
        <w:jc w:val="right"/>
        <w:rPr>
          <w:rFonts w:ascii="Athelas Regular" w:hAnsi="Athelas Regular"/>
        </w:rPr>
      </w:pPr>
      <w:r>
        <w:rPr>
          <w:rFonts w:ascii="Athelas Regular" w:hAnsi="Athelas Regular"/>
        </w:rPr>
        <w:t>November 12</w:t>
      </w:r>
      <w:r w:rsidR="006D3E0E">
        <w:rPr>
          <w:rFonts w:ascii="Athelas Regular" w:hAnsi="Athelas Regular"/>
        </w:rPr>
        <w:t>, 2018</w:t>
      </w:r>
    </w:p>
    <w:p w14:paraId="7F6575AA" w14:textId="77777777" w:rsidR="00F87460" w:rsidRPr="00A641EC" w:rsidRDefault="00F87460" w:rsidP="005D7D11">
      <w:pPr>
        <w:spacing w:line="360" w:lineRule="auto"/>
        <w:rPr>
          <w:rFonts w:ascii="Athelas Regular" w:hAnsi="Athelas Regular"/>
        </w:rPr>
      </w:pPr>
    </w:p>
    <w:p w14:paraId="725FFF01" w14:textId="77777777" w:rsidR="00F87460" w:rsidRPr="00A641EC" w:rsidRDefault="00F87460" w:rsidP="005D7D11">
      <w:pPr>
        <w:spacing w:line="360" w:lineRule="auto"/>
        <w:rPr>
          <w:rFonts w:ascii="Athelas Regular" w:hAnsi="Athelas Regular"/>
        </w:rPr>
      </w:pPr>
    </w:p>
    <w:p w14:paraId="67C6BA21" w14:textId="77777777" w:rsidR="00B45F98" w:rsidRPr="00A641EC" w:rsidRDefault="00B45F98" w:rsidP="005D7D11">
      <w:pPr>
        <w:spacing w:line="360" w:lineRule="auto"/>
        <w:rPr>
          <w:rFonts w:ascii="Athelas Regular" w:hAnsi="Athelas Regular"/>
        </w:rPr>
      </w:pPr>
    </w:p>
    <w:sectPr w:rsidR="00B45F98" w:rsidRPr="00A641EC" w:rsidSect="00175D91">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66AF6" w14:textId="77777777" w:rsidR="008876C0" w:rsidRDefault="008876C0" w:rsidP="006D3E0E">
      <w:r>
        <w:separator/>
      </w:r>
    </w:p>
  </w:endnote>
  <w:endnote w:type="continuationSeparator" w:id="0">
    <w:p w14:paraId="5039CE8A" w14:textId="77777777" w:rsidR="008876C0" w:rsidRDefault="008876C0" w:rsidP="006D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thelas Regular">
    <w:panose1 w:val="02000503000000020003"/>
    <w:charset w:val="00"/>
    <w:family w:val="auto"/>
    <w:pitch w:val="variable"/>
    <w:sig w:usb0="A00000AF" w:usb1="5000205B"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29573C1" w14:textId="77777777" w:rsidR="008876C0" w:rsidRDefault="008876C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2F7AB0E" w14:textId="77777777" w:rsidR="008876C0" w:rsidRDefault="008876C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1579F28" w14:textId="77777777" w:rsidR="008876C0" w:rsidRDefault="008876C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834A4" w14:textId="77777777" w:rsidR="008876C0" w:rsidRDefault="008876C0" w:rsidP="006D3E0E">
      <w:r>
        <w:separator/>
      </w:r>
    </w:p>
  </w:footnote>
  <w:footnote w:type="continuationSeparator" w:id="0">
    <w:p w14:paraId="31AFACB3" w14:textId="77777777" w:rsidR="008876C0" w:rsidRDefault="008876C0" w:rsidP="006D3E0E">
      <w:r>
        <w:continuationSeparator/>
      </w:r>
    </w:p>
  </w:footnote>
  <w:footnote w:id="1">
    <w:p w14:paraId="52F72656" w14:textId="79B9530B" w:rsidR="008876C0" w:rsidRPr="0041615C" w:rsidRDefault="008876C0">
      <w:pPr>
        <w:pStyle w:val="FootnoteText"/>
        <w:rPr>
          <w:sz w:val="20"/>
          <w:szCs w:val="20"/>
          <w:lang w:val="en-US"/>
        </w:rPr>
      </w:pPr>
      <w:r w:rsidRPr="0041615C">
        <w:rPr>
          <w:rStyle w:val="FootnoteReference"/>
          <w:sz w:val="20"/>
          <w:szCs w:val="20"/>
        </w:rPr>
        <w:footnoteRef/>
      </w:r>
      <w:r w:rsidRPr="0041615C">
        <w:rPr>
          <w:sz w:val="20"/>
          <w:szCs w:val="20"/>
        </w:rPr>
        <w:t xml:space="preserve"> </w:t>
      </w:r>
      <w:r w:rsidRPr="0041615C">
        <w:rPr>
          <w:sz w:val="20"/>
          <w:szCs w:val="20"/>
        </w:rPr>
        <w:fldChar w:fldCharType="begin"/>
      </w:r>
      <w:r w:rsidRPr="0041615C">
        <w:rPr>
          <w:sz w:val="20"/>
          <w:szCs w:val="20"/>
        </w:rPr>
        <w:instrText xml:space="preserve"> ADDIN ZOTERO_ITEM CSL_CITATION {"citationID":"b3fKV4Nt","properties":{"formattedCitation":"Thomas W Zeiler, {\\i{}American Trade and Power in the 1960\\uc0\\u8217{}s} (New York: Columbia University Press, 1992); Con O\\uc0\\u8217{}Neill, {\\i{}Britain\\uc0\\u8217{}s Entry into the European Community: Report by Sir Con O\\uc0\\u8217{}Neill on the Negotiations of 1970-1972}, Foreign and Commonwealth Office (FCO) Publications (London: Whitehall History Publishing in association with Frank Cass, 2000).","plainCitation":"Thomas W Zeiler, American Trade and Power in the 1960’s (New York: Columbia University Press, 1992); Con O’Neill, Britain’s Entry into the European Community: Report by Sir Con O’Neill on the Negotiations of 1970-1972, Foreign and Commonwealth Office (FCO) Publications (London: Whitehall History Publishing in association with Frank Cass, 2000).","noteIndex":1},"citationItems":[{"id":1307,"uris":["http://zotero.org/users/492376/items/VSPXSKZC"],"uri":["http://zotero.org/users/492376/items/VSPXSKZC"],"itemData":{"id":1307,"type":"book","title":"American trade and power in the 1960's","publisher":"Columbia University Press","publisher-place":"New York","source":"Open WorldCat","event-place":"New York","abstract":"American Trade and Power in the 1960s is a timely examination of the success and failure of United States trade policy under presidents Kennedy and Johnson. Assessing a critical decade in postwar economic relations, Thomas W. Zeiler shows trade policy to be the decisive factor hastening America's economic decline vis-a-vis Western Europe and Japan. By the early 1960s, the international commercial might of the U.S. had begun to diminish as a result of the increased strength of the six-member European Economic Community and a persistent balance-of-payments deficit. Believing that America must either \"trade or fade,\" Kennedy proposed a visionary foreign trade bill as a way to reinvigorate the U.S. economy and maintain the Western alliance against the Soviet. With an astute reading of previously unused documents, Zeiler provides a fascinating description of how Kennedy skillfully juggled powerful protectionist interests with his own more liberal trade sentiments to win passage of the bill. Illustrating the harsh realities faced by the U.S. in a world where its economic dominance was no longer assured, Zeiler also presents a masterful compendium of the GATT talks known as the Kennedy Round. In a narrative noteworthy for its clarity, theoretical sophistication, and scrupulous attention to detail, Zeiler shows how U.S. trade policy was thwarted by rising EEC integration and Gaullist obstructionism. The GATT talks conclusively demonstrated that \"American hegemony had ended.\" American Trade and Power in the 1960s brilliantly illuminates the roots of America's economic decline.","ISBN":"0-231-07930-3","language":"English","author":[{"family":"Zeiler","given":"Thomas W"}],"issued":{"date-parts":[["1992"]]}},"label":"page"},{"id":439,"uris":["http://zotero.org/users/492376/items/KAA4685G"],"uri":["http://zotero.org/users/492376/items/KAA4685G"],"itemData":{"id":439,"type":"book","title":"Britain's Entry into the European Community: Report by Sir Con O'Neill on the Negotiations of 1970-1972","collection-title":"Foreign and Commonwealth Office (FCO) publications","publisher":"Whitehall History Publishing in association with Frank Cass","publisher-place":"London","number-of-pages":"464","source":"ul-newton.lib.cam.ac.uk Library Catalog","event-place":"London","ISBN":"0-7146-5117-6","shortTitle":"Britain's Entry into the European Community","author":[{"family":"O'Neill","given":"Con"}],"issued":{"date-parts":[["2000"]]}},"label":"page"}],"schema":"https://github.com/citation-style-language/schema/raw/master/csl-citation.json"} </w:instrText>
      </w:r>
      <w:r w:rsidRPr="0041615C">
        <w:rPr>
          <w:sz w:val="20"/>
          <w:szCs w:val="20"/>
        </w:rPr>
        <w:fldChar w:fldCharType="separate"/>
      </w:r>
      <w:r w:rsidRPr="0041615C">
        <w:rPr>
          <w:sz w:val="20"/>
          <w:szCs w:val="20"/>
          <w:lang w:val="en-US"/>
        </w:rPr>
        <w:t xml:space="preserve">Thomas W </w:t>
      </w:r>
      <w:proofErr w:type="spellStart"/>
      <w:r w:rsidRPr="0041615C">
        <w:rPr>
          <w:sz w:val="20"/>
          <w:szCs w:val="20"/>
          <w:lang w:val="en-US"/>
        </w:rPr>
        <w:t>Zeiler</w:t>
      </w:r>
      <w:proofErr w:type="spellEnd"/>
      <w:r w:rsidRPr="0041615C">
        <w:rPr>
          <w:sz w:val="20"/>
          <w:szCs w:val="20"/>
          <w:lang w:val="en-US"/>
        </w:rPr>
        <w:t xml:space="preserve">, </w:t>
      </w:r>
      <w:r w:rsidRPr="0041615C">
        <w:rPr>
          <w:i/>
          <w:iCs/>
          <w:sz w:val="20"/>
          <w:szCs w:val="20"/>
          <w:lang w:val="en-US"/>
        </w:rPr>
        <w:t>American Trade and Power in the 1960’s</w:t>
      </w:r>
      <w:r w:rsidR="008D5031">
        <w:rPr>
          <w:sz w:val="20"/>
          <w:szCs w:val="20"/>
          <w:lang w:val="en-US"/>
        </w:rPr>
        <w:t xml:space="preserve"> (New York: Columbia University </w:t>
      </w:r>
      <w:r w:rsidRPr="0041615C">
        <w:rPr>
          <w:sz w:val="20"/>
          <w:szCs w:val="20"/>
          <w:lang w:val="en-US"/>
        </w:rPr>
        <w:t xml:space="preserve">Press, 1992); Con O’Neill, </w:t>
      </w:r>
      <w:r w:rsidRPr="0041615C">
        <w:rPr>
          <w:i/>
          <w:iCs/>
          <w:sz w:val="20"/>
          <w:szCs w:val="20"/>
          <w:lang w:val="en-US"/>
        </w:rPr>
        <w:t>Britain’s Entry into the European Community: Report by Sir Con O’Neill on the Negotiations of 1970-1972</w:t>
      </w:r>
      <w:r w:rsidRPr="0041615C">
        <w:rPr>
          <w:sz w:val="20"/>
          <w:szCs w:val="20"/>
          <w:lang w:val="en-US"/>
        </w:rPr>
        <w:t>, Foreign and Commonwealth Office (FCO) Publications (London: Whitehall History Publishing in association with Frank Cass, 2000).</w:t>
      </w:r>
      <w:r w:rsidRPr="0041615C">
        <w:rPr>
          <w:sz w:val="20"/>
          <w:szCs w:val="20"/>
        </w:rPr>
        <w:fldChar w:fldCharType="end"/>
      </w:r>
    </w:p>
  </w:footnote>
  <w:footnote w:id="2">
    <w:p w14:paraId="44D1EE65" w14:textId="0009F2B6" w:rsidR="008876C0" w:rsidRPr="0041615C" w:rsidRDefault="008876C0">
      <w:pPr>
        <w:pStyle w:val="FootnoteText"/>
        <w:rPr>
          <w:sz w:val="20"/>
          <w:szCs w:val="20"/>
          <w:lang w:val="en-US"/>
        </w:rPr>
      </w:pPr>
      <w:r w:rsidRPr="0041615C">
        <w:rPr>
          <w:rStyle w:val="FootnoteReference"/>
          <w:sz w:val="20"/>
          <w:szCs w:val="20"/>
        </w:rPr>
        <w:footnoteRef/>
      </w:r>
      <w:r w:rsidRPr="0041615C">
        <w:rPr>
          <w:sz w:val="20"/>
          <w:szCs w:val="20"/>
        </w:rPr>
        <w:t xml:space="preserve"> </w:t>
      </w:r>
      <w:r w:rsidRPr="0041615C">
        <w:rPr>
          <w:sz w:val="20"/>
          <w:szCs w:val="20"/>
          <w:lang w:val="en-US"/>
        </w:rPr>
        <w:t xml:space="preserve">This was the core argument of my first book: </w:t>
      </w:r>
      <w:r w:rsidRPr="0041615C">
        <w:rPr>
          <w:sz w:val="20"/>
          <w:szCs w:val="20"/>
          <w:lang w:val="en-US"/>
        </w:rPr>
        <w:fldChar w:fldCharType="begin"/>
      </w:r>
      <w:r w:rsidRPr="0041615C">
        <w:rPr>
          <w:sz w:val="20"/>
          <w:szCs w:val="20"/>
          <w:lang w:val="en-US"/>
        </w:rPr>
        <w:instrText xml:space="preserve"> ADDIN ZOTERO_ITEM CSL_CITATION {"citationID":"BbdmLIGZ","properties":{"formattedCitation":"N. Piers Ludlow, {\\i{}Dealing with Britain: The Six and the First UK Application to the EEC}, Cambridge Studies in International Relations 56 (Cambridge: Cambridge University Press, 1997).","plainCitation":"N. Piers Ludlow, Dealing with Britain: The Six and the First UK Application to the EEC, Cambridge Studies in International Relations 56 (Cambridge: Cambridge University Press, 1997).","noteIndex":2},"citationItems":[{"id":35,"uris":["http://zotero.org/users/492376/items/3DNHIQDQ"],"uri":["http://zotero.org/users/492376/items/3DNHIQDQ"],"itemData":{"id":35,"type":"book","title":"Dealing with Britain: The Six and the First UK Application to the EEC","collection-title":"Cambridge studies in international relations","collection-number":"56","publisher":"Cambridge University Press","publisher-place":"Cambridge","number-of-pages":"282","source":"ul-newton.lib.cam.ac.uk Library Catalog","event-place":"Cambridge","ISBN":"0-521-59242-9","shortTitle":"Dealing with Britain","author":[{"family":"Ludlow","given":"N. Piers"}],"issued":{"date-parts":[["1997"]]}}}],"schema":"https://github.com/citation-style-language/schema/raw/master/csl-citation.json"} </w:instrText>
      </w:r>
      <w:r w:rsidRPr="0041615C">
        <w:rPr>
          <w:sz w:val="20"/>
          <w:szCs w:val="20"/>
          <w:lang w:val="en-US"/>
        </w:rPr>
        <w:fldChar w:fldCharType="separate"/>
      </w:r>
      <w:r w:rsidRPr="0041615C">
        <w:rPr>
          <w:sz w:val="20"/>
          <w:szCs w:val="20"/>
          <w:lang w:val="en-US"/>
        </w:rPr>
        <w:t xml:space="preserve">N. Piers Ludlow, </w:t>
      </w:r>
      <w:r w:rsidRPr="0041615C">
        <w:rPr>
          <w:i/>
          <w:iCs/>
          <w:sz w:val="20"/>
          <w:szCs w:val="20"/>
          <w:lang w:val="en-US"/>
        </w:rPr>
        <w:t>Dealing with Britain: The Six and the First UK Application to the EEC</w:t>
      </w:r>
      <w:r w:rsidRPr="0041615C">
        <w:rPr>
          <w:sz w:val="20"/>
          <w:szCs w:val="20"/>
          <w:lang w:val="en-US"/>
        </w:rPr>
        <w:t>, Cambridge Studies in International Relations 56 (Cambridge: Cambridge University Press, 1997).</w:t>
      </w:r>
      <w:r w:rsidRPr="0041615C">
        <w:rPr>
          <w:sz w:val="20"/>
          <w:szCs w:val="20"/>
          <w:lang w:val="en-US"/>
        </w:rPr>
        <w:fldChar w:fldCharType="end"/>
      </w:r>
    </w:p>
  </w:footnote>
  <w:footnote w:id="3">
    <w:p w14:paraId="4FB5D4C8" w14:textId="10B113A0" w:rsidR="008876C0" w:rsidRPr="0041615C" w:rsidRDefault="008876C0">
      <w:pPr>
        <w:pStyle w:val="FootnoteText"/>
        <w:rPr>
          <w:sz w:val="20"/>
          <w:szCs w:val="20"/>
          <w:lang w:val="en-US"/>
        </w:rPr>
      </w:pPr>
      <w:r w:rsidRPr="0041615C">
        <w:rPr>
          <w:rStyle w:val="FootnoteReference"/>
          <w:sz w:val="20"/>
          <w:szCs w:val="20"/>
        </w:rPr>
        <w:footnoteRef/>
      </w:r>
      <w:r w:rsidRPr="0041615C">
        <w:rPr>
          <w:sz w:val="20"/>
          <w:szCs w:val="20"/>
        </w:rPr>
        <w:t xml:space="preserve"> </w:t>
      </w:r>
      <w:r w:rsidRPr="0041615C">
        <w:rPr>
          <w:sz w:val="20"/>
          <w:szCs w:val="20"/>
          <w:lang w:val="en-US"/>
        </w:rPr>
        <w:t xml:space="preserve">Martin </w:t>
      </w:r>
      <w:proofErr w:type="spellStart"/>
      <w:r w:rsidRPr="0041615C">
        <w:rPr>
          <w:sz w:val="20"/>
          <w:szCs w:val="20"/>
          <w:lang w:val="en-US"/>
        </w:rPr>
        <w:t>Herzer</w:t>
      </w:r>
      <w:proofErr w:type="spellEnd"/>
      <w:r w:rsidRPr="0041615C">
        <w:rPr>
          <w:sz w:val="20"/>
          <w:szCs w:val="20"/>
          <w:lang w:val="en-US"/>
        </w:rPr>
        <w:t xml:space="preserve"> successfully demonstrates that some of the British press was deeply involved in what he terms the rise of a largely pro-European ‘Euro-journalism’.  </w:t>
      </w:r>
      <w:r w:rsidRPr="0041615C">
        <w:rPr>
          <w:sz w:val="20"/>
          <w:szCs w:val="20"/>
          <w:lang w:val="en-US"/>
        </w:rPr>
        <w:fldChar w:fldCharType="begin"/>
      </w:r>
      <w:r w:rsidRPr="0041615C">
        <w:rPr>
          <w:sz w:val="20"/>
          <w:szCs w:val="20"/>
          <w:lang w:val="en-US"/>
        </w:rPr>
        <w:instrText xml:space="preserve"> ADDIN ZOTERO_ITEM CSL_CITATION {"citationID":"jgengnQw","properties":{"formattedCitation":"Martin Herzer, \\uc0\\u8216{}The Rise of Euro-Journalism: The Media and the European Communities, 1950s-1970s\\uc0\\u8217{} (PhD, European University Institute, 2017).","plainCitation":"Martin Herzer, ‘The Rise of Euro-Journalism: The Media and the European Communities, 1950s-1970s’ (PhD, European University Institute, 2017).","noteIndex":3},"citationItems":[{"id":1693,"uris":["http://zotero.org/users/492376/items/NEPE2JC2"],"uri":["http://zotero.org/users/492376/items/NEPE2JC2"],"itemData":{"id":1693,"type":"thesis","title":"The rise of Euro-journalism: the media and the European Communities, 1950s-1970s","publisher":"European University Institute","publisher-place":"Florence","genre":"PhD","event-place":"Florence","author":[{"family":"Herzer","given":"Martin"}],"issued":{"date-parts":[["2017"]]}}}],"schema":"https://github.com/citation-style-language/schema/raw/master/csl-citation.json"} </w:instrText>
      </w:r>
      <w:r w:rsidRPr="0041615C">
        <w:rPr>
          <w:sz w:val="20"/>
          <w:szCs w:val="20"/>
          <w:lang w:val="en-US"/>
        </w:rPr>
        <w:fldChar w:fldCharType="separate"/>
      </w:r>
      <w:r w:rsidRPr="0041615C">
        <w:rPr>
          <w:sz w:val="20"/>
          <w:szCs w:val="20"/>
          <w:lang w:val="en-US"/>
        </w:rPr>
        <w:t xml:space="preserve">Martin </w:t>
      </w:r>
      <w:proofErr w:type="spellStart"/>
      <w:r w:rsidRPr="0041615C">
        <w:rPr>
          <w:sz w:val="20"/>
          <w:szCs w:val="20"/>
          <w:lang w:val="en-US"/>
        </w:rPr>
        <w:t>Herzer</w:t>
      </w:r>
      <w:proofErr w:type="spellEnd"/>
      <w:r w:rsidRPr="0041615C">
        <w:rPr>
          <w:sz w:val="20"/>
          <w:szCs w:val="20"/>
          <w:lang w:val="en-US"/>
        </w:rPr>
        <w:t>, ‘The Rise of Euro-Journalism: The Media and the European Communities, 1950s-1970s’ (PhD, European University Institute, 2017).</w:t>
      </w:r>
      <w:r w:rsidRPr="0041615C">
        <w:rPr>
          <w:sz w:val="20"/>
          <w:szCs w:val="20"/>
          <w:lang w:val="en-US"/>
        </w:rPr>
        <w:fldChar w:fldCharType="end"/>
      </w:r>
      <w:r w:rsidRPr="0041615C">
        <w:rPr>
          <w:sz w:val="20"/>
          <w:szCs w:val="20"/>
          <w:lang w:val="en-US"/>
        </w:rPr>
        <w:t xml:space="preserve">  But the character of British coverage changed radically from the early 1980s onwards, becoming much more sceptical.  </w:t>
      </w:r>
      <w:r w:rsidRPr="0041615C">
        <w:rPr>
          <w:sz w:val="20"/>
          <w:szCs w:val="20"/>
          <w:lang w:val="en-US"/>
        </w:rPr>
        <w:fldChar w:fldCharType="begin"/>
      </w:r>
      <w:r w:rsidRPr="0041615C">
        <w:rPr>
          <w:sz w:val="20"/>
          <w:szCs w:val="20"/>
          <w:lang w:val="en-US"/>
        </w:rPr>
        <w:instrText xml:space="preserve"> ADDIN ZOTERO_ITEM CSL_CITATION {"citationID":"PEqiFZfM","properties":{"formattedCitation":"Oliver Daddow, \\uc0\\u8216{}The UK Media and \\uc0\\u8220{}Europe\\uc0\\u8221{}: From Permissive Consensus to Destructive Dissent\\uc0\\u8217{}, {\\i{}International Affairs} 88, no. 6 (1 November 2012): 1219\\uc0\\u8211{}36, https://doi.org/10.1111/j.1468-2346.2012.01129.x.","plainCitation":"Oliver Daddow, ‘The UK Media and “Europe”: From Permissive Consensus to Destructive Dissent’, International Affairs 88, no. 6 (1 November 2012): 1219–36, https://doi.org/10.1111/j.1468-2346.2012.01129.x.","noteIndex":3},"citationItems":[{"id":1317,"uris":["http://zotero.org/users/492376/items/MH6CT4FK"],"uri":["http://zotero.org/users/492376/items/MH6CT4FK"],"itemData":{"id":1317,"type":"article-journal","title":"The UK media and ‘Europe’: from permissive consensus to destructive dissent","container-title":"International Affairs","page":"1219-1236","volume":"88","issue":"6","source":"Wiley Online Library","abstract":"This article examines the nature and impact of changing media coverage of European integration in Britain from accession to the European Economic Community in 1973 to the present day. It does so through a consideration of the causes behind the collapse of the ‘permissive consensus’ on European affairs, which since the time of the 1975 referendum has given way to a form of ‘destructive dissent’ across vast swaths of the written and broadcast media, particularly noticeable in the UK tabloids. The collapse in media support for the EU project has been expressed in a number of ways, some of them bordering on the nationalist and/or xenophobic, and opportunities for the expression of such views have merely been increased by the EU's own efforts to deepen integration in the face of widespread popular distrust of both national politicians and supranational constitution-building. The article alights on the ‘Rupert Murdoch effect’ as a core explanation for this general shift in attitudes, as market leader on Euroscepticism expressed in agenda-setting outlets such as the Sun, The Times and The Sunday Times. The newspaper mogul's commercial interests in promoting deregulated media markets have kept him closely watchful of European affairs in Britain, and he has proved particularly willing to back leaders and parties he believes will be most conducive to the furtherance of these interests. The article suggests that Murdoch led the way in creating a climate of fear around European matters that severely tested the leadership qualities of even notionally pro-European prime ministers on this vexed question in British politics. Newspapers might not be able to tell people what to think, but they can affect what they think about, and News International, with willing support from ideological Eurosceptics across the top-selling UK tabloid and broadsheets, has proved effective at keeping the British public in a permanent state of ‘war’ with the EU since the 1980s.","DOI":"10.1111/j.1468-2346.2012.01129.x","ISSN":"1468-2346","shortTitle":"The UK media and ‘Europe’","language":"en","author":[{"family":"Daddow","given":"Oliver"}],"issued":{"date-parts":[["2012",11,1]]}}}],"schema":"https://github.com/citation-style-language/schema/raw/master/csl-citation.json"} </w:instrText>
      </w:r>
      <w:r w:rsidRPr="0041615C">
        <w:rPr>
          <w:sz w:val="20"/>
          <w:szCs w:val="20"/>
          <w:lang w:val="en-US"/>
        </w:rPr>
        <w:fldChar w:fldCharType="separate"/>
      </w:r>
      <w:r w:rsidRPr="0041615C">
        <w:rPr>
          <w:sz w:val="20"/>
          <w:szCs w:val="20"/>
          <w:lang w:val="en-US"/>
        </w:rPr>
        <w:t xml:space="preserve">Oliver </w:t>
      </w:r>
      <w:proofErr w:type="spellStart"/>
      <w:r w:rsidRPr="0041615C">
        <w:rPr>
          <w:sz w:val="20"/>
          <w:szCs w:val="20"/>
          <w:lang w:val="en-US"/>
        </w:rPr>
        <w:t>Daddow</w:t>
      </w:r>
      <w:proofErr w:type="spellEnd"/>
      <w:r w:rsidRPr="0041615C">
        <w:rPr>
          <w:sz w:val="20"/>
          <w:szCs w:val="20"/>
          <w:lang w:val="en-US"/>
        </w:rPr>
        <w:t xml:space="preserve">, ‘The UK Media and “Europe”: From Permissive Consensus to Destructive Dissent’, </w:t>
      </w:r>
      <w:r w:rsidRPr="0041615C">
        <w:rPr>
          <w:i/>
          <w:iCs/>
          <w:sz w:val="20"/>
          <w:szCs w:val="20"/>
          <w:lang w:val="en-US"/>
        </w:rPr>
        <w:t>International Affairs</w:t>
      </w:r>
      <w:r w:rsidRPr="0041615C">
        <w:rPr>
          <w:sz w:val="20"/>
          <w:szCs w:val="20"/>
          <w:lang w:val="en-US"/>
        </w:rPr>
        <w:t xml:space="preserve"> 88, no. 6 (1 November 2012): 1219–36, https://doi.org/10.1111/j.1468-2346.2012.01129.x.</w:t>
      </w:r>
      <w:r w:rsidRPr="0041615C">
        <w:rPr>
          <w:sz w:val="20"/>
          <w:szCs w:val="20"/>
          <w:lang w:val="en-US"/>
        </w:rPr>
        <w:fldChar w:fldCharType="end"/>
      </w:r>
    </w:p>
  </w:footnote>
  <w:footnote w:id="4">
    <w:p w14:paraId="20A6E559" w14:textId="05B307B4" w:rsidR="008876C0" w:rsidRPr="0041615C" w:rsidRDefault="008876C0">
      <w:pPr>
        <w:pStyle w:val="FootnoteText"/>
        <w:rPr>
          <w:sz w:val="20"/>
          <w:szCs w:val="20"/>
          <w:lang w:val="en-US"/>
        </w:rPr>
      </w:pPr>
      <w:r w:rsidRPr="0041615C">
        <w:rPr>
          <w:rStyle w:val="FootnoteReference"/>
          <w:sz w:val="20"/>
          <w:szCs w:val="20"/>
        </w:rPr>
        <w:footnoteRef/>
      </w:r>
      <w:r w:rsidRPr="0041615C">
        <w:rPr>
          <w:sz w:val="20"/>
          <w:szCs w:val="20"/>
        </w:rPr>
        <w:t xml:space="preserve"> </w:t>
      </w:r>
      <w:proofErr w:type="gramStart"/>
      <w:r w:rsidRPr="0041615C">
        <w:rPr>
          <w:sz w:val="20"/>
          <w:szCs w:val="20"/>
          <w:lang w:val="en-US"/>
        </w:rPr>
        <w:t xml:space="preserve">None more so than the controversial figure of Alan S. </w:t>
      </w:r>
      <w:proofErr w:type="spellStart"/>
      <w:r w:rsidRPr="0041615C">
        <w:rPr>
          <w:sz w:val="20"/>
          <w:szCs w:val="20"/>
          <w:lang w:val="en-US"/>
        </w:rPr>
        <w:t>Milward</w:t>
      </w:r>
      <w:proofErr w:type="spellEnd"/>
      <w:r w:rsidRPr="0041615C">
        <w:rPr>
          <w:sz w:val="20"/>
          <w:szCs w:val="20"/>
          <w:lang w:val="en-US"/>
        </w:rPr>
        <w:t>.</w:t>
      </w:r>
      <w:proofErr w:type="gramEnd"/>
      <w:r w:rsidR="008D5031">
        <w:rPr>
          <w:sz w:val="20"/>
          <w:szCs w:val="20"/>
          <w:lang w:val="en-US"/>
        </w:rPr>
        <w:t xml:space="preserve">  To understand his impact see </w:t>
      </w:r>
      <w:r w:rsidR="008D5031">
        <w:rPr>
          <w:sz w:val="20"/>
          <w:szCs w:val="20"/>
          <w:lang w:val="en-US"/>
        </w:rPr>
        <w:fldChar w:fldCharType="begin"/>
      </w:r>
      <w:r w:rsidR="008D5031">
        <w:rPr>
          <w:sz w:val="20"/>
          <w:szCs w:val="20"/>
          <w:lang w:val="en-US"/>
        </w:rPr>
        <w:instrText xml:space="preserve"> ADDIN ZOTERO_ITEM CSL_CITATION {"citationID":"u7wj716z","properties":{"formattedCitation":"Wolfram Kaiser and Antonio Varsori, eds., {\\i{}European Union History: Themes and Debates} (Basingstoke: Palgrave Macmillan, 2010), 85\\uc0\\u8211{}108.","plainCitation":"Wolfram Kaiser and Antonio Varsori, eds., European Union History: Themes and Debates (Basingstoke: Palgrave Macmillan, 2010), 85–108.","noteIndex":4},"citationItems":[{"id":451,"uris":["http://zotero.org/users/492376/items/KV7WDDIN"],"uri":["http://zotero.org/users/492376/items/KV7WDDIN"],"itemData":{"id":451,"type":"book","title":"European Union History: Themes and Debates","publisher":"Palgrave Macmillan","publisher-place":"Basingstoke","number-of-pages":"268","source":"ul-newton.lib.cam.ac.uk Library Catalog","event-place":"Basingstoke","ISBN":"978-0-230-23269-3","call-number":"JN30 .E94168 2010","shortTitle":"European Union History","editor":[{"family":"Kaiser","given":"Wolfram"},{"family":"Varsori","given":"Antonio"}],"issued":{"date-parts":[["2010"]]}},"locator":"85-108","label":"page"}],"schema":"https://github.com/citation-style-language/schema/raw/master/csl-citation.json"} </w:instrText>
      </w:r>
      <w:r w:rsidR="008D5031">
        <w:rPr>
          <w:sz w:val="20"/>
          <w:szCs w:val="20"/>
          <w:lang w:val="en-US"/>
        </w:rPr>
        <w:fldChar w:fldCharType="separate"/>
      </w:r>
      <w:r w:rsidR="008D5031" w:rsidRPr="008D5031">
        <w:rPr>
          <w:rFonts w:ascii="Cambria"/>
          <w:sz w:val="20"/>
          <w:lang w:val="en-US"/>
        </w:rPr>
        <w:t xml:space="preserve">Wolfram Kaiser and Antonio </w:t>
      </w:r>
      <w:proofErr w:type="spellStart"/>
      <w:r w:rsidR="008D5031" w:rsidRPr="008D5031">
        <w:rPr>
          <w:rFonts w:ascii="Cambria"/>
          <w:sz w:val="20"/>
          <w:lang w:val="en-US"/>
        </w:rPr>
        <w:t>Varsori</w:t>
      </w:r>
      <w:proofErr w:type="spellEnd"/>
      <w:r w:rsidR="008D5031" w:rsidRPr="008D5031">
        <w:rPr>
          <w:rFonts w:ascii="Cambria"/>
          <w:sz w:val="20"/>
          <w:lang w:val="en-US"/>
        </w:rPr>
        <w:t xml:space="preserve">, eds., </w:t>
      </w:r>
      <w:r w:rsidR="008D5031" w:rsidRPr="008D5031">
        <w:rPr>
          <w:rFonts w:ascii="Cambria"/>
          <w:i/>
          <w:iCs/>
          <w:sz w:val="20"/>
          <w:lang w:val="en-US"/>
        </w:rPr>
        <w:t>European Union History: Themes and Debates</w:t>
      </w:r>
      <w:r w:rsidR="008D5031" w:rsidRPr="008D5031">
        <w:rPr>
          <w:rFonts w:ascii="Cambria"/>
          <w:sz w:val="20"/>
          <w:lang w:val="en-US"/>
        </w:rPr>
        <w:t xml:space="preserve"> (Basingstoke: Palgrave Macmillan, 2010), 85–108.</w:t>
      </w:r>
      <w:r w:rsidR="008D5031">
        <w:rPr>
          <w:sz w:val="20"/>
          <w:szCs w:val="20"/>
          <w:lang w:val="en-US"/>
        </w:rPr>
        <w:fldChar w:fldCharType="end"/>
      </w:r>
    </w:p>
  </w:footnote>
  <w:footnote w:id="5">
    <w:p w14:paraId="3A3EC3BC" w14:textId="1DC6A3A9" w:rsidR="008876C0" w:rsidRPr="0041615C" w:rsidRDefault="008876C0">
      <w:pPr>
        <w:pStyle w:val="FootnoteText"/>
        <w:rPr>
          <w:sz w:val="20"/>
          <w:szCs w:val="20"/>
          <w:lang w:val="en-US"/>
        </w:rPr>
      </w:pPr>
      <w:r w:rsidRPr="0041615C">
        <w:rPr>
          <w:rStyle w:val="FootnoteReference"/>
          <w:sz w:val="20"/>
          <w:szCs w:val="20"/>
        </w:rPr>
        <w:footnoteRef/>
      </w:r>
      <w:r w:rsidRPr="0041615C">
        <w:rPr>
          <w:sz w:val="20"/>
          <w:szCs w:val="20"/>
        </w:rPr>
        <w:t xml:space="preserve"> </w:t>
      </w:r>
      <w:r w:rsidRPr="0041615C">
        <w:rPr>
          <w:sz w:val="20"/>
          <w:szCs w:val="20"/>
          <w:lang w:val="en-US"/>
        </w:rPr>
        <w:t xml:space="preserve">Testimonies given at ‘The </w:t>
      </w:r>
      <w:proofErr w:type="spellStart"/>
      <w:r w:rsidRPr="0041615C">
        <w:rPr>
          <w:sz w:val="20"/>
          <w:szCs w:val="20"/>
          <w:lang w:val="en-US"/>
        </w:rPr>
        <w:t>Delors</w:t>
      </w:r>
      <w:proofErr w:type="spellEnd"/>
      <w:r w:rsidRPr="0041615C">
        <w:rPr>
          <w:sz w:val="20"/>
          <w:szCs w:val="20"/>
          <w:lang w:val="en-US"/>
        </w:rPr>
        <w:t xml:space="preserve"> experience revisited: Building Europe’s single market with Lord </w:t>
      </w:r>
      <w:proofErr w:type="spellStart"/>
      <w:r w:rsidRPr="0041615C">
        <w:rPr>
          <w:sz w:val="20"/>
          <w:szCs w:val="20"/>
          <w:lang w:val="en-US"/>
        </w:rPr>
        <w:t>Cockfield</w:t>
      </w:r>
      <w:proofErr w:type="spellEnd"/>
      <w:r w:rsidRPr="0041615C">
        <w:rPr>
          <w:sz w:val="20"/>
          <w:szCs w:val="20"/>
          <w:lang w:val="en-US"/>
        </w:rPr>
        <w:t xml:space="preserve"> in the 1980s’, The European Union in Practice seminar, LSE, 23 February, 2018</w:t>
      </w:r>
    </w:p>
  </w:footnote>
  <w:footnote w:id="6">
    <w:p w14:paraId="68BA0AFB" w14:textId="22D0AE03" w:rsidR="008876C0" w:rsidRPr="0041615C" w:rsidRDefault="008876C0">
      <w:pPr>
        <w:pStyle w:val="FootnoteText"/>
        <w:rPr>
          <w:sz w:val="20"/>
          <w:szCs w:val="20"/>
          <w:lang w:val="en-US"/>
        </w:rPr>
      </w:pPr>
      <w:r w:rsidRPr="0041615C">
        <w:rPr>
          <w:rStyle w:val="FootnoteReference"/>
          <w:sz w:val="20"/>
          <w:szCs w:val="20"/>
        </w:rPr>
        <w:footnoteRef/>
      </w:r>
      <w:r w:rsidRPr="0041615C">
        <w:rPr>
          <w:sz w:val="20"/>
          <w:szCs w:val="20"/>
        </w:rPr>
        <w:t xml:space="preserve"> </w:t>
      </w:r>
      <w:hyperlink r:id="rId1" w:history="1">
        <w:r w:rsidRPr="0041615C">
          <w:rPr>
            <w:rStyle w:val="Hyperlink"/>
            <w:sz w:val="20"/>
            <w:szCs w:val="20"/>
          </w:rPr>
          <w:t>http://www.conservativehome.com/parliament/2016/04/goves-eu-speech-key-extracts.html</w:t>
        </w:r>
      </w:hyperlink>
      <w:r w:rsidRPr="0041615C">
        <w:rPr>
          <w:sz w:val="20"/>
          <w:szCs w:val="20"/>
        </w:rPr>
        <w:t xml:space="preserve"> (accessed 12.11.2018)</w:t>
      </w:r>
    </w:p>
  </w:footnote>
  <w:footnote w:id="7">
    <w:p w14:paraId="24D818A9" w14:textId="42BCEED8" w:rsidR="008876C0" w:rsidRPr="0041615C" w:rsidRDefault="008876C0">
      <w:pPr>
        <w:pStyle w:val="FootnoteText"/>
        <w:rPr>
          <w:sz w:val="20"/>
          <w:szCs w:val="20"/>
          <w:lang w:val="en-US"/>
        </w:rPr>
      </w:pPr>
      <w:r w:rsidRPr="0041615C">
        <w:rPr>
          <w:rStyle w:val="FootnoteReference"/>
          <w:sz w:val="20"/>
          <w:szCs w:val="20"/>
        </w:rPr>
        <w:footnoteRef/>
      </w:r>
      <w:r w:rsidRPr="0041615C">
        <w:rPr>
          <w:sz w:val="20"/>
          <w:szCs w:val="20"/>
        </w:rPr>
        <w:t xml:space="preserve"> </w:t>
      </w:r>
      <w:r w:rsidRPr="0041615C">
        <w:rPr>
          <w:sz w:val="20"/>
          <w:szCs w:val="20"/>
          <w:lang w:val="en-US"/>
        </w:rPr>
        <w:t xml:space="preserve">For the making of the Single Market see </w:t>
      </w:r>
      <w:r w:rsidRPr="0041615C">
        <w:rPr>
          <w:sz w:val="20"/>
          <w:szCs w:val="20"/>
          <w:lang w:val="en-US"/>
        </w:rPr>
        <w:fldChar w:fldCharType="begin"/>
      </w:r>
      <w:r w:rsidR="008D5031">
        <w:rPr>
          <w:sz w:val="20"/>
          <w:szCs w:val="20"/>
          <w:lang w:val="en-US"/>
        </w:rPr>
        <w:instrText xml:space="preserve"> ADDIN ZOTERO_ITEM CSL_CITATION {"citationID":"S6oESosk","properties":{"formattedCitation":"Nicolas Jabko, {\\i{}Playing the Market: A Political Strategy for Uniting Europe, 1985-2005} (Ithaca: Cornell University Press, 2006).","plainCitation":"Nicolas Jabko, Playing the Market: A Political Strategy for Uniting Europe, 1985-2005 (Ithaca: Cornell University Press, 2006).","noteIndex":7},"citationItems":[{"id":226,"uris":["http://zotero.org/users/492376/items/BARUES6W"],"uri":["http://zotero.org/users/492376/items/BARUES6W"],"itemData":{"id":226,"type":"book","title":"Playing the market: a political strategy for uniting Europe, 1985-2005","publisher":"Cornell University Press","publisher-place":"Ithaca","number-of-pages":"236","source":"Google Books","event-place":"Ithaca","abstract":"In the 1980s and 1990s, Nicolas Jabko suggests, the character of European integration altered radically, from slow growth to what he terms a \"quiet revolution.\" In this book he traces the political strategy that underlay the move from the Single Market of","ISBN":"978-0-8014-4463-0","shortTitle":"Playing the market","language":"en","author":[{"family":"Jabko","given":"Nicolas"}],"issued":{"date-parts":[["2006",8,1]]}}}],"schema":"https://github.com/citation-style-language/schema/raw/master/csl-citation.json"} </w:instrText>
      </w:r>
      <w:r w:rsidRPr="0041615C">
        <w:rPr>
          <w:sz w:val="20"/>
          <w:szCs w:val="20"/>
          <w:lang w:val="en-US"/>
        </w:rPr>
        <w:fldChar w:fldCharType="separate"/>
      </w:r>
      <w:r w:rsidRPr="0041615C">
        <w:rPr>
          <w:sz w:val="20"/>
          <w:szCs w:val="20"/>
          <w:lang w:val="en-US"/>
        </w:rPr>
        <w:t xml:space="preserve">Nicolas </w:t>
      </w:r>
      <w:proofErr w:type="spellStart"/>
      <w:r w:rsidRPr="0041615C">
        <w:rPr>
          <w:sz w:val="20"/>
          <w:szCs w:val="20"/>
          <w:lang w:val="en-US"/>
        </w:rPr>
        <w:t>Jabko</w:t>
      </w:r>
      <w:proofErr w:type="spellEnd"/>
      <w:r w:rsidRPr="0041615C">
        <w:rPr>
          <w:sz w:val="20"/>
          <w:szCs w:val="20"/>
          <w:lang w:val="en-US"/>
        </w:rPr>
        <w:t xml:space="preserve">, </w:t>
      </w:r>
      <w:r w:rsidRPr="0041615C">
        <w:rPr>
          <w:i/>
          <w:iCs/>
          <w:sz w:val="20"/>
          <w:szCs w:val="20"/>
          <w:lang w:val="en-US"/>
        </w:rPr>
        <w:t>Playing the Market: A Political Strategy for Uniting Europe, 1985-2005</w:t>
      </w:r>
      <w:r w:rsidRPr="0041615C">
        <w:rPr>
          <w:sz w:val="20"/>
          <w:szCs w:val="20"/>
          <w:lang w:val="en-US"/>
        </w:rPr>
        <w:t xml:space="preserve"> (Ithaca: Cornell University Press, 2006).</w:t>
      </w:r>
      <w:r w:rsidRPr="0041615C">
        <w:rPr>
          <w:sz w:val="20"/>
          <w:szCs w:val="20"/>
          <w:lang w:val="en-US"/>
        </w:rPr>
        <w:fldChar w:fldCharType="end"/>
      </w:r>
    </w:p>
  </w:footnote>
  <w:footnote w:id="8">
    <w:p w14:paraId="32D9FE8E" w14:textId="5AED072C" w:rsidR="008876C0" w:rsidRPr="0041615C" w:rsidRDefault="008876C0">
      <w:pPr>
        <w:pStyle w:val="FootnoteText"/>
        <w:rPr>
          <w:sz w:val="20"/>
          <w:szCs w:val="20"/>
          <w:lang w:val="en-US"/>
        </w:rPr>
      </w:pPr>
      <w:r w:rsidRPr="0041615C">
        <w:rPr>
          <w:rStyle w:val="FootnoteReference"/>
          <w:sz w:val="20"/>
          <w:szCs w:val="20"/>
        </w:rPr>
        <w:footnoteRef/>
      </w:r>
      <w:r w:rsidRPr="0041615C">
        <w:rPr>
          <w:sz w:val="20"/>
          <w:szCs w:val="20"/>
        </w:rPr>
        <w:t xml:space="preserve"> </w:t>
      </w:r>
      <w:hyperlink r:id="rId2" w:history="1">
        <w:r w:rsidRPr="0041615C">
          <w:rPr>
            <w:rStyle w:val="Hyperlink"/>
            <w:sz w:val="20"/>
            <w:szCs w:val="20"/>
          </w:rPr>
          <w:t>http://blogs.lse.ac.uk/brexit/2016/04/21/michael-goves-problem-is-that-a-single-market-is-more-than-just-a-tariff-free-zone/</w:t>
        </w:r>
      </w:hyperlink>
      <w:r w:rsidRPr="0041615C">
        <w:rPr>
          <w:sz w:val="20"/>
          <w:szCs w:val="20"/>
        </w:rPr>
        <w:t xml:space="preserve">  (last accessed 12.11.2018)</w:t>
      </w:r>
    </w:p>
  </w:footnote>
  <w:footnote w:id="9">
    <w:p w14:paraId="2F867C46" w14:textId="2032E0F6" w:rsidR="008876C0" w:rsidRPr="0041615C" w:rsidRDefault="008876C0">
      <w:pPr>
        <w:pStyle w:val="FootnoteText"/>
        <w:rPr>
          <w:sz w:val="20"/>
          <w:szCs w:val="20"/>
          <w:lang w:val="en-US"/>
        </w:rPr>
      </w:pPr>
      <w:r w:rsidRPr="0041615C">
        <w:rPr>
          <w:rStyle w:val="FootnoteReference"/>
          <w:sz w:val="20"/>
          <w:szCs w:val="20"/>
        </w:rPr>
        <w:footnoteRef/>
      </w:r>
      <w:r w:rsidRPr="0041615C">
        <w:rPr>
          <w:sz w:val="20"/>
          <w:szCs w:val="20"/>
        </w:rPr>
        <w:t xml:space="preserve"> </w:t>
      </w:r>
      <w:hyperlink r:id="rId3" w:history="1">
        <w:r w:rsidRPr="0041615C">
          <w:rPr>
            <w:rStyle w:val="Hyperlink"/>
            <w:sz w:val="20"/>
            <w:szCs w:val="20"/>
          </w:rPr>
          <w:t>https://www.gov.uk/government/news/japan-will-spare-no-effort-to-support-the-uk-in-joining-the-cptpp</w:t>
        </w:r>
      </w:hyperlink>
      <w:r w:rsidRPr="0041615C">
        <w:rPr>
          <w:sz w:val="20"/>
          <w:szCs w:val="20"/>
        </w:rPr>
        <w:t xml:space="preserve"> (last accessed 12.11.2018)</w:t>
      </w:r>
    </w:p>
  </w:footnote>
  <w:footnote w:id="10">
    <w:p w14:paraId="5D752ED5" w14:textId="589EE754" w:rsidR="008876C0" w:rsidRPr="0041615C" w:rsidRDefault="008876C0">
      <w:pPr>
        <w:pStyle w:val="FootnoteText"/>
        <w:rPr>
          <w:sz w:val="20"/>
          <w:szCs w:val="20"/>
          <w:lang w:val="en-US"/>
        </w:rPr>
      </w:pPr>
      <w:r w:rsidRPr="0041615C">
        <w:rPr>
          <w:rStyle w:val="FootnoteReference"/>
          <w:sz w:val="20"/>
          <w:szCs w:val="20"/>
        </w:rPr>
        <w:footnoteRef/>
      </w:r>
      <w:r w:rsidRPr="0041615C">
        <w:rPr>
          <w:sz w:val="20"/>
          <w:szCs w:val="20"/>
        </w:rPr>
        <w:t xml:space="preserve"> </w:t>
      </w:r>
      <w:r w:rsidRPr="0041615C">
        <w:rPr>
          <w:sz w:val="20"/>
          <w:szCs w:val="20"/>
          <w:lang w:val="en-US"/>
        </w:rPr>
        <w:fldChar w:fldCharType="begin"/>
      </w:r>
      <w:r w:rsidR="008D5031">
        <w:rPr>
          <w:sz w:val="20"/>
          <w:szCs w:val="20"/>
          <w:lang w:val="en-US"/>
        </w:rPr>
        <w:instrText xml:space="preserve"> ADDIN ZOTERO_ITEM CSL_CITATION {"citationID":"0ga4n6nw","properties":{"formattedCitation":"Mark Gilbert, {\\i{}European Integration: A Concise History} (Lanham, Md.: Rowman &amp; Littlefield Publishers, 2012).","plainCitation":"Mark Gilbert, European Integration: A Concise History (Lanham, Md.: Rowman &amp; Littlefield Publishers, 2012).","noteIndex":10},"citationItems":[{"id":1439,"uris":["http://zotero.org/users/492376/items/AMJQ5R9E"],"uri":["http://zotero.org/users/492376/items/AMJQ5R9E"],"itemData":{"id":1439,"type":"book","title":"European integration: a concise history","publisher":"Rowman &amp; Littlefield Publishers","publisher-place":"Lanham, Md.","source":"Open WorldCat","event-place":"Lanham, Md.","abstract":"This is the standard for concise histories of the European Union. The author offers a clear and balanced narrative of European integration since its inception to the present, set in the wider history of the post-war period. Imperial decline and decolonization, the threat and then fall of communism, the impact of American policy, and the democratization of the Mediterranean and central European countries are just some of the contemporaneous historical developments whose intersecting stories have been woven into this book's fabric. The European Union remains a remarkable experiment in regional cooperation, but the aura of success that has enveloped the process of integration for much of the period since the 1950s is dissipating in the wake of dire economic collapses and heated immigration debates. Gilbert concludes by examining the mood of crisis that has taken hold in the EU since 2005 and considers the Union's future.","ISBN":"978-0-7425-6663-7","note":"OCLC: 744302352","shortTitle":"European integration","language":"English","author":[{"family":"Gilbert","given":"Mark"}],"issued":{"date-parts":[["2012"]]}}}],"schema":"https://github.com/citation-style-language/schema/raw/master/csl-citation.json"} </w:instrText>
      </w:r>
      <w:r w:rsidRPr="0041615C">
        <w:rPr>
          <w:sz w:val="20"/>
          <w:szCs w:val="20"/>
          <w:lang w:val="en-US"/>
        </w:rPr>
        <w:fldChar w:fldCharType="separate"/>
      </w:r>
      <w:r w:rsidRPr="0041615C">
        <w:rPr>
          <w:sz w:val="20"/>
          <w:szCs w:val="20"/>
          <w:lang w:val="en-US"/>
        </w:rPr>
        <w:t xml:space="preserve">Mark Gilbert, </w:t>
      </w:r>
      <w:r w:rsidRPr="0041615C">
        <w:rPr>
          <w:i/>
          <w:iCs/>
          <w:sz w:val="20"/>
          <w:szCs w:val="20"/>
          <w:lang w:val="en-US"/>
        </w:rPr>
        <w:t>European Integration: A Concise History</w:t>
      </w:r>
      <w:r w:rsidRPr="0041615C">
        <w:rPr>
          <w:sz w:val="20"/>
          <w:szCs w:val="20"/>
          <w:lang w:val="en-US"/>
        </w:rPr>
        <w:t xml:space="preserve"> (Lanham, Md.: </w:t>
      </w:r>
      <w:proofErr w:type="spellStart"/>
      <w:r w:rsidRPr="0041615C">
        <w:rPr>
          <w:sz w:val="20"/>
          <w:szCs w:val="20"/>
          <w:lang w:val="en-US"/>
        </w:rPr>
        <w:t>Rowman</w:t>
      </w:r>
      <w:proofErr w:type="spellEnd"/>
      <w:r w:rsidRPr="0041615C">
        <w:rPr>
          <w:sz w:val="20"/>
          <w:szCs w:val="20"/>
          <w:lang w:val="en-US"/>
        </w:rPr>
        <w:t xml:space="preserve"> &amp; Littlefield Publishers, 2012).</w:t>
      </w:r>
      <w:r w:rsidRPr="0041615C">
        <w:rPr>
          <w:sz w:val="20"/>
          <w:szCs w:val="20"/>
          <w:lang w:val="en-US"/>
        </w:rPr>
        <w:fldChar w:fldCharType="end"/>
      </w:r>
    </w:p>
  </w:footnote>
  <w:footnote w:id="11">
    <w:p w14:paraId="0066FF52" w14:textId="12D160D0" w:rsidR="008876C0" w:rsidRPr="0041615C" w:rsidRDefault="008876C0">
      <w:pPr>
        <w:pStyle w:val="FootnoteText"/>
        <w:rPr>
          <w:sz w:val="20"/>
          <w:szCs w:val="20"/>
          <w:lang w:val="en-US"/>
        </w:rPr>
      </w:pPr>
      <w:r w:rsidRPr="0041615C">
        <w:rPr>
          <w:rStyle w:val="FootnoteReference"/>
          <w:sz w:val="20"/>
          <w:szCs w:val="20"/>
        </w:rPr>
        <w:footnoteRef/>
      </w:r>
      <w:r w:rsidRPr="0041615C">
        <w:rPr>
          <w:sz w:val="20"/>
          <w:szCs w:val="20"/>
        </w:rPr>
        <w:t xml:space="preserve"> </w:t>
      </w:r>
      <w:r w:rsidRPr="0041615C">
        <w:rPr>
          <w:sz w:val="20"/>
          <w:szCs w:val="20"/>
          <w:lang w:val="en-US"/>
        </w:rPr>
        <w:t xml:space="preserve">For press coverage of the end of the dispute, see ‘Macedonia changes its name ending bitter dispute with Greece’, </w:t>
      </w:r>
      <w:r w:rsidRPr="0041615C">
        <w:rPr>
          <w:i/>
          <w:sz w:val="20"/>
          <w:szCs w:val="20"/>
          <w:lang w:val="en-US"/>
        </w:rPr>
        <w:t xml:space="preserve">The Guardian, </w:t>
      </w:r>
      <w:r w:rsidRPr="0041615C">
        <w:rPr>
          <w:sz w:val="20"/>
          <w:szCs w:val="20"/>
          <w:lang w:val="en-US"/>
        </w:rPr>
        <w:t xml:space="preserve">17.6.2018 </w:t>
      </w:r>
      <w:hyperlink r:id="rId4" w:history="1">
        <w:r w:rsidRPr="0041615C">
          <w:rPr>
            <w:rStyle w:val="Hyperlink"/>
            <w:sz w:val="20"/>
            <w:szCs w:val="20"/>
            <w:lang w:val="en-US"/>
          </w:rPr>
          <w:t>https://www.theguardian.com/world/2018/jun/17/macedonia-greece-dispute-name-accord-prespa</w:t>
        </w:r>
      </w:hyperlink>
      <w:r w:rsidRPr="0041615C">
        <w:rPr>
          <w:sz w:val="20"/>
          <w:szCs w:val="20"/>
          <w:lang w:val="en-US"/>
        </w:rPr>
        <w:t xml:space="preserve"> (last accessed 12.11.2018)</w:t>
      </w:r>
    </w:p>
  </w:footnote>
  <w:footnote w:id="12">
    <w:p w14:paraId="67AD6864" w14:textId="74CE8BF1" w:rsidR="008876C0" w:rsidRPr="0041615C" w:rsidRDefault="008876C0">
      <w:pPr>
        <w:pStyle w:val="FootnoteText"/>
        <w:rPr>
          <w:sz w:val="20"/>
          <w:szCs w:val="20"/>
          <w:lang w:val="en-US"/>
        </w:rPr>
      </w:pPr>
      <w:r w:rsidRPr="0041615C">
        <w:rPr>
          <w:rStyle w:val="FootnoteReference"/>
          <w:sz w:val="20"/>
          <w:szCs w:val="20"/>
        </w:rPr>
        <w:footnoteRef/>
      </w:r>
      <w:r w:rsidRPr="0041615C">
        <w:rPr>
          <w:sz w:val="20"/>
          <w:szCs w:val="20"/>
        </w:rPr>
        <w:t xml:space="preserve"> </w:t>
      </w:r>
      <w:r w:rsidRPr="0041615C">
        <w:rPr>
          <w:sz w:val="20"/>
          <w:szCs w:val="20"/>
          <w:lang w:val="en-US"/>
        </w:rPr>
        <w:t xml:space="preserve">For a discussion of the EU role in the peace process, including the gratitude shown by Major and Blair, see N. Piers Ludlow, ‘The PEACE programme in Northern Ireland’ in Vincent </w:t>
      </w:r>
      <w:proofErr w:type="spellStart"/>
      <w:r w:rsidRPr="0041615C">
        <w:rPr>
          <w:sz w:val="20"/>
          <w:szCs w:val="20"/>
          <w:lang w:val="en-US"/>
        </w:rPr>
        <w:t>Dujardin</w:t>
      </w:r>
      <w:proofErr w:type="spellEnd"/>
      <w:r w:rsidRPr="0041615C">
        <w:rPr>
          <w:sz w:val="20"/>
          <w:szCs w:val="20"/>
          <w:lang w:val="en-US"/>
        </w:rPr>
        <w:t xml:space="preserve"> et al, </w:t>
      </w:r>
      <w:r w:rsidRPr="0041615C">
        <w:rPr>
          <w:i/>
          <w:sz w:val="20"/>
          <w:szCs w:val="20"/>
          <w:lang w:val="en-US"/>
        </w:rPr>
        <w:t>The European Commission 1986-2000: Histories and Memories of an Institution</w:t>
      </w:r>
      <w:r w:rsidRPr="0041615C">
        <w:rPr>
          <w:sz w:val="20"/>
          <w:szCs w:val="20"/>
          <w:lang w:val="en-US"/>
        </w:rPr>
        <w:t xml:space="preserve"> (Luxembourg: European Commission, 2019 forthcoming)</w:t>
      </w:r>
    </w:p>
  </w:footnote>
  <w:footnote w:id="13">
    <w:p w14:paraId="5625EEF8" w14:textId="7C6E2C26" w:rsidR="008876C0" w:rsidRPr="00720FDF" w:rsidRDefault="008876C0">
      <w:pPr>
        <w:pStyle w:val="FootnoteText"/>
        <w:rPr>
          <w:sz w:val="20"/>
          <w:szCs w:val="20"/>
          <w:lang w:val="en-US"/>
        </w:rPr>
      </w:pPr>
      <w:r w:rsidRPr="00720FDF">
        <w:rPr>
          <w:rStyle w:val="FootnoteReference"/>
          <w:sz w:val="20"/>
          <w:szCs w:val="20"/>
        </w:rPr>
        <w:footnoteRef/>
      </w:r>
      <w:r w:rsidRPr="00720FDF">
        <w:rPr>
          <w:sz w:val="20"/>
          <w:szCs w:val="20"/>
        </w:rPr>
        <w:t xml:space="preserve"> </w:t>
      </w:r>
      <w:r w:rsidRPr="00720FDF">
        <w:rPr>
          <w:sz w:val="20"/>
          <w:szCs w:val="20"/>
          <w:lang w:val="en-US"/>
        </w:rPr>
        <w:t xml:space="preserve">The many </w:t>
      </w:r>
      <w:proofErr w:type="spellStart"/>
      <w:r w:rsidRPr="00720FDF">
        <w:rPr>
          <w:sz w:val="20"/>
          <w:szCs w:val="20"/>
          <w:lang w:val="en-US"/>
        </w:rPr>
        <w:t>bilaterals</w:t>
      </w:r>
      <w:proofErr w:type="spellEnd"/>
      <w:r w:rsidRPr="00720FDF">
        <w:rPr>
          <w:sz w:val="20"/>
          <w:szCs w:val="20"/>
          <w:lang w:val="en-US"/>
        </w:rPr>
        <w:t xml:space="preserve"> conducted by Roy Jenkins as President of the Commission feature prominently in </w:t>
      </w:r>
      <w:r w:rsidRPr="00720FDF">
        <w:rPr>
          <w:sz w:val="20"/>
          <w:szCs w:val="20"/>
          <w:lang w:val="en-US"/>
        </w:rPr>
        <w:fldChar w:fldCharType="begin"/>
      </w:r>
      <w:r w:rsidRPr="00720FDF">
        <w:rPr>
          <w:sz w:val="20"/>
          <w:szCs w:val="20"/>
          <w:lang w:val="en-US"/>
        </w:rPr>
        <w:instrText xml:space="preserve"> ADDIN ZOTERO_ITEM CSL_CITATION {"citationID":"a6AE0bWL","properties":{"formattedCitation":"N. Piers Ludlow, {\\i{}Roy Jenkins and the European Commission Presidency 1976-1980: At the Heart of Europe.} (Basingstoke: Palgrave Macmillan, 2016).","plainCitation":"N. Piers Ludlow, Roy Jenkins and the European Commission Presidency 1976-1980: At the Heart of Europe. (Basingstoke: Palgrave Macmillan, 2016).","noteIndex":13},"citationItems":[{"id":1358,"uris":["http://zotero.org/users/492376/items/4JBWJ6SI"],"uri":["http://zotero.org/users/492376/items/4JBWJ6SI"],"itemData":{"id":1358,"type":"book","title":"Roy Jenkins and the European Commission Presidency 1976-1980: at the Heart of Europe.","publisher":"Palgrave Macmillan","publisher-place":"Basingstoke","source":"Open WorldCat","event-place":"Basingstoke","ISBN":"1-137-51529-5","shortTitle":"Roy Jenkins and the European Commission Presidency","language":"English","author":[{"family":"Ludlow","given":"N. Piers"}],"issued":{"date-parts":[["2016"]]}}}],"schema":"https://github.com/citation-style-language/schema/raw/master/csl-citation.json"} </w:instrText>
      </w:r>
      <w:r w:rsidRPr="00720FDF">
        <w:rPr>
          <w:sz w:val="20"/>
          <w:szCs w:val="20"/>
          <w:lang w:val="en-US"/>
        </w:rPr>
        <w:fldChar w:fldCharType="separate"/>
      </w:r>
      <w:r w:rsidRPr="00720FDF">
        <w:rPr>
          <w:rFonts w:ascii="Cambria"/>
          <w:sz w:val="20"/>
          <w:szCs w:val="20"/>
          <w:lang w:val="en-US"/>
        </w:rPr>
        <w:t xml:space="preserve">N. Piers Ludlow, </w:t>
      </w:r>
      <w:r w:rsidRPr="00720FDF">
        <w:rPr>
          <w:rFonts w:ascii="Cambria"/>
          <w:i/>
          <w:iCs/>
          <w:sz w:val="20"/>
          <w:szCs w:val="20"/>
          <w:lang w:val="en-US"/>
        </w:rPr>
        <w:t>Roy Jenkins and the European Commission Presidency 1976-1980: At the Heart of Europe.</w:t>
      </w:r>
      <w:r w:rsidRPr="00720FDF">
        <w:rPr>
          <w:rFonts w:ascii="Cambria"/>
          <w:sz w:val="20"/>
          <w:szCs w:val="20"/>
          <w:lang w:val="en-US"/>
        </w:rPr>
        <w:t xml:space="preserve"> (Basingstoke: Palgrave Macmillan, 2016).</w:t>
      </w:r>
      <w:r w:rsidRPr="00720FDF">
        <w:rPr>
          <w:sz w:val="20"/>
          <w:szCs w:val="20"/>
          <w:lang w:val="en-US"/>
        </w:rPr>
        <w:fldChar w:fldCharType="end"/>
      </w:r>
    </w:p>
  </w:footnote>
  <w:footnote w:id="14">
    <w:p w14:paraId="4A5B5D51" w14:textId="7402619B" w:rsidR="008876C0" w:rsidRPr="0041615C" w:rsidRDefault="008876C0">
      <w:pPr>
        <w:pStyle w:val="FootnoteText"/>
        <w:rPr>
          <w:sz w:val="20"/>
          <w:szCs w:val="20"/>
          <w:lang w:val="en-US"/>
        </w:rPr>
      </w:pPr>
      <w:r w:rsidRPr="0041615C">
        <w:rPr>
          <w:rStyle w:val="FootnoteReference"/>
          <w:sz w:val="20"/>
          <w:szCs w:val="20"/>
        </w:rPr>
        <w:footnoteRef/>
      </w:r>
      <w:r w:rsidRPr="0041615C">
        <w:rPr>
          <w:sz w:val="20"/>
          <w:szCs w:val="20"/>
        </w:rPr>
        <w:t xml:space="preserve"> ‘How David Cameron lose his battle for Britain’, </w:t>
      </w:r>
      <w:r w:rsidRPr="0041615C">
        <w:rPr>
          <w:i/>
          <w:sz w:val="20"/>
          <w:szCs w:val="20"/>
        </w:rPr>
        <w:t>Financial Times</w:t>
      </w:r>
      <w:r w:rsidRPr="0041615C">
        <w:rPr>
          <w:sz w:val="20"/>
          <w:szCs w:val="20"/>
        </w:rPr>
        <w:t xml:space="preserve">, 18.12.2016 </w:t>
      </w:r>
      <w:hyperlink r:id="rId5" w:history="1">
        <w:r w:rsidRPr="0041615C">
          <w:rPr>
            <w:rStyle w:val="Hyperlink"/>
            <w:sz w:val="20"/>
            <w:szCs w:val="20"/>
          </w:rPr>
          <w:t>https://www.ft.com/content/3482b434-c37d-11e6-81c2-f57d90f6741a</w:t>
        </w:r>
      </w:hyperlink>
      <w:r w:rsidRPr="0041615C">
        <w:rPr>
          <w:sz w:val="20"/>
          <w:szCs w:val="20"/>
        </w:rPr>
        <w:t xml:space="preserve"> </w:t>
      </w:r>
    </w:p>
  </w:footnote>
  <w:footnote w:id="15">
    <w:p w14:paraId="7901D30E" w14:textId="019CAA84" w:rsidR="008876C0" w:rsidRPr="0041615C" w:rsidRDefault="008876C0">
      <w:pPr>
        <w:pStyle w:val="FootnoteText"/>
        <w:rPr>
          <w:sz w:val="20"/>
          <w:szCs w:val="20"/>
          <w:lang w:val="en-US"/>
        </w:rPr>
      </w:pPr>
      <w:r w:rsidRPr="0041615C">
        <w:rPr>
          <w:rStyle w:val="FootnoteReference"/>
          <w:sz w:val="20"/>
          <w:szCs w:val="20"/>
        </w:rPr>
        <w:footnoteRef/>
      </w:r>
      <w:r w:rsidRPr="0041615C">
        <w:rPr>
          <w:sz w:val="20"/>
          <w:szCs w:val="20"/>
        </w:rPr>
        <w:t xml:space="preserve"> </w:t>
      </w:r>
      <w:r w:rsidRPr="0041615C">
        <w:rPr>
          <w:sz w:val="20"/>
          <w:szCs w:val="20"/>
          <w:lang w:val="en-US"/>
        </w:rPr>
        <w:t>For the source of the name, see ‘Boris Johnson attacked over ‘</w:t>
      </w:r>
      <w:proofErr w:type="spellStart"/>
      <w:r w:rsidRPr="0041615C">
        <w:rPr>
          <w:sz w:val="20"/>
          <w:szCs w:val="20"/>
          <w:lang w:val="en-US"/>
        </w:rPr>
        <w:t>Prosecco</w:t>
      </w:r>
      <w:proofErr w:type="spellEnd"/>
      <w:r w:rsidRPr="0041615C">
        <w:rPr>
          <w:sz w:val="20"/>
          <w:szCs w:val="20"/>
          <w:lang w:val="en-US"/>
        </w:rPr>
        <w:t xml:space="preserve"> Insult’’, BBC, 16.11.2016, </w:t>
      </w:r>
      <w:hyperlink r:id="rId6" w:history="1">
        <w:r w:rsidRPr="0041615C">
          <w:rPr>
            <w:rStyle w:val="Hyperlink"/>
            <w:sz w:val="20"/>
            <w:szCs w:val="20"/>
            <w:lang w:val="en-US"/>
          </w:rPr>
          <w:t>https://www.bbc.co.uk/news/uk-37995606</w:t>
        </w:r>
      </w:hyperlink>
      <w:r w:rsidRPr="0041615C">
        <w:rPr>
          <w:sz w:val="20"/>
          <w:szCs w:val="20"/>
          <w:lang w:val="en-US"/>
        </w:rPr>
        <w:t xml:space="preserve"> (last accessed 12.11.2018)</w:t>
      </w:r>
    </w:p>
  </w:footnote>
  <w:footnote w:id="16">
    <w:p w14:paraId="7A8C11C3" w14:textId="5F741821" w:rsidR="008876C0" w:rsidRPr="0041615C" w:rsidRDefault="008876C0">
      <w:pPr>
        <w:pStyle w:val="FootnoteText"/>
        <w:rPr>
          <w:sz w:val="20"/>
          <w:szCs w:val="20"/>
          <w:lang w:val="en-US"/>
        </w:rPr>
      </w:pPr>
      <w:r w:rsidRPr="0041615C">
        <w:rPr>
          <w:rStyle w:val="FootnoteReference"/>
          <w:sz w:val="20"/>
          <w:szCs w:val="20"/>
        </w:rPr>
        <w:footnoteRef/>
      </w:r>
      <w:r w:rsidRPr="0041615C">
        <w:rPr>
          <w:sz w:val="20"/>
          <w:szCs w:val="20"/>
        </w:rPr>
        <w:t xml:space="preserve"> </w:t>
      </w:r>
      <w:proofErr w:type="spellStart"/>
      <w:r w:rsidRPr="0041615C">
        <w:rPr>
          <w:sz w:val="20"/>
          <w:szCs w:val="20"/>
          <w:lang w:val="en-US"/>
        </w:rPr>
        <w:t>Mervyn</w:t>
      </w:r>
      <w:proofErr w:type="spellEnd"/>
      <w:r w:rsidRPr="0041615C">
        <w:rPr>
          <w:sz w:val="20"/>
          <w:szCs w:val="20"/>
          <w:lang w:val="en-US"/>
        </w:rPr>
        <w:t xml:space="preserve"> King on </w:t>
      </w:r>
      <w:r w:rsidRPr="0041615C">
        <w:rPr>
          <w:i/>
          <w:sz w:val="20"/>
          <w:szCs w:val="20"/>
          <w:lang w:val="en-US"/>
        </w:rPr>
        <w:t>Today</w:t>
      </w:r>
      <w:r w:rsidRPr="0041615C">
        <w:rPr>
          <w:sz w:val="20"/>
          <w:szCs w:val="20"/>
          <w:lang w:val="en-US"/>
        </w:rPr>
        <w:t>, 5.9.2018</w:t>
      </w:r>
    </w:p>
  </w:footnote>
  <w:footnote w:id="17">
    <w:p w14:paraId="347C67A5" w14:textId="2D9E8666" w:rsidR="008876C0" w:rsidRPr="0041615C" w:rsidRDefault="008876C0">
      <w:pPr>
        <w:pStyle w:val="FootnoteText"/>
        <w:rPr>
          <w:sz w:val="20"/>
          <w:szCs w:val="20"/>
          <w:lang w:val="en-US"/>
        </w:rPr>
      </w:pPr>
      <w:r w:rsidRPr="0041615C">
        <w:rPr>
          <w:rStyle w:val="FootnoteReference"/>
          <w:sz w:val="20"/>
          <w:szCs w:val="20"/>
        </w:rPr>
        <w:footnoteRef/>
      </w:r>
      <w:r w:rsidRPr="0041615C">
        <w:rPr>
          <w:sz w:val="20"/>
          <w:szCs w:val="20"/>
        </w:rPr>
        <w:t xml:space="preserve"> </w:t>
      </w:r>
      <w:hyperlink r:id="rId7" w:history="1">
        <w:r w:rsidRPr="0041615C">
          <w:rPr>
            <w:rStyle w:val="Hyperlink"/>
            <w:sz w:val="20"/>
            <w:szCs w:val="20"/>
          </w:rPr>
          <w:t>http://blogs.lse.ac.uk/brexit/2017/11/09/swallow-the-lot-and-swallow-it-now-britain-is-and-was-deluded-about-its-negotiating-power-with-the-eu/</w:t>
        </w:r>
      </w:hyperlink>
      <w:r w:rsidRPr="0041615C">
        <w:rPr>
          <w:sz w:val="20"/>
          <w:szCs w:val="20"/>
        </w:rPr>
        <w:t xml:space="preserve"> </w:t>
      </w:r>
    </w:p>
  </w:footnote>
  <w:footnote w:id="18">
    <w:p w14:paraId="29FA0DE8" w14:textId="18DEE27C" w:rsidR="008876C0" w:rsidRPr="0041615C" w:rsidRDefault="008876C0">
      <w:pPr>
        <w:pStyle w:val="FootnoteText"/>
        <w:rPr>
          <w:sz w:val="20"/>
          <w:szCs w:val="20"/>
          <w:lang w:val="en-US"/>
        </w:rPr>
      </w:pPr>
      <w:r w:rsidRPr="0041615C">
        <w:rPr>
          <w:rStyle w:val="FootnoteReference"/>
          <w:sz w:val="20"/>
          <w:szCs w:val="20"/>
        </w:rPr>
        <w:footnoteRef/>
      </w:r>
      <w:r w:rsidRPr="0041615C">
        <w:rPr>
          <w:sz w:val="20"/>
          <w:szCs w:val="20"/>
        </w:rPr>
        <w:t xml:space="preserve"> </w:t>
      </w:r>
      <w:r w:rsidRPr="0041615C">
        <w:rPr>
          <w:sz w:val="20"/>
          <w:szCs w:val="20"/>
          <w:lang w:val="en-US"/>
        </w:rPr>
        <w:t xml:space="preserve">For an overview of multiple enlargement negotiations where this characteristic has been much in evidence, see </w:t>
      </w:r>
      <w:r w:rsidRPr="0041615C">
        <w:rPr>
          <w:sz w:val="20"/>
          <w:szCs w:val="20"/>
          <w:lang w:val="en-US"/>
        </w:rPr>
        <w:fldChar w:fldCharType="begin"/>
      </w:r>
      <w:r>
        <w:rPr>
          <w:sz w:val="20"/>
          <w:szCs w:val="20"/>
          <w:lang w:val="en-US"/>
        </w:rPr>
        <w:instrText xml:space="preserve"> ADDIN ZOTERO_ITEM CSL_CITATION {"citationID":"ZWKIG9eH","properties":{"formattedCitation":"Aur\\uc0\\u233{}lie Andry, Rebekka Byberg, and Haakon A. Ikonomou, eds., {\\i{}European Enlargement across Rounds and beyond Borders} (Abingdon: Routledge, 2017).","plainCitation":"Aurélie Andry, Rebekka Byberg, and Haakon A. Ikonomou, eds., European Enlargement across Rounds and beyond Borders (Abingdon: Routledge, 2017).","noteIndex":18},"citationItems":[{"id":1695,"uris":["http://zotero.org/users/492376/items/JEYJVEL2"],"uri":["http://zotero.org/users/492376/items/JEYJVEL2"],"itemData":{"id":1695,"type":"book","title":"European enlargement across rounds and beyond borders","publisher":"Routledge","publisher-place":"Abingdon","event-place":"Abingdon","editor":[{"family":"Andry","given":"Aurélie"},{"family":"Byberg","given":"Rebekka"},{"family":"Ikonomou","given":"Haakon A."}],"issued":{"date-parts":[["2017"]]}}}],"schema":"https://github.com/citation-style-language/schema/raw/master/csl-citation.json"} </w:instrText>
      </w:r>
      <w:r w:rsidRPr="0041615C">
        <w:rPr>
          <w:sz w:val="20"/>
          <w:szCs w:val="20"/>
          <w:lang w:val="en-US"/>
        </w:rPr>
        <w:fldChar w:fldCharType="separate"/>
      </w:r>
      <w:proofErr w:type="spellStart"/>
      <w:r w:rsidRPr="0041615C">
        <w:rPr>
          <w:sz w:val="20"/>
          <w:szCs w:val="20"/>
          <w:lang w:val="en-US"/>
        </w:rPr>
        <w:t>Aurélie</w:t>
      </w:r>
      <w:proofErr w:type="spellEnd"/>
      <w:r w:rsidRPr="0041615C">
        <w:rPr>
          <w:sz w:val="20"/>
          <w:szCs w:val="20"/>
          <w:lang w:val="en-US"/>
        </w:rPr>
        <w:t xml:space="preserve"> </w:t>
      </w:r>
      <w:proofErr w:type="spellStart"/>
      <w:r w:rsidRPr="0041615C">
        <w:rPr>
          <w:sz w:val="20"/>
          <w:szCs w:val="20"/>
          <w:lang w:val="en-US"/>
        </w:rPr>
        <w:t>Andry</w:t>
      </w:r>
      <w:proofErr w:type="spellEnd"/>
      <w:r w:rsidRPr="0041615C">
        <w:rPr>
          <w:sz w:val="20"/>
          <w:szCs w:val="20"/>
          <w:lang w:val="en-US"/>
        </w:rPr>
        <w:t xml:space="preserve">, </w:t>
      </w:r>
      <w:proofErr w:type="spellStart"/>
      <w:r w:rsidRPr="0041615C">
        <w:rPr>
          <w:sz w:val="20"/>
          <w:szCs w:val="20"/>
          <w:lang w:val="en-US"/>
        </w:rPr>
        <w:t>Rebekka</w:t>
      </w:r>
      <w:proofErr w:type="spellEnd"/>
      <w:r w:rsidRPr="0041615C">
        <w:rPr>
          <w:sz w:val="20"/>
          <w:szCs w:val="20"/>
          <w:lang w:val="en-US"/>
        </w:rPr>
        <w:t xml:space="preserve"> </w:t>
      </w:r>
      <w:proofErr w:type="spellStart"/>
      <w:r w:rsidRPr="0041615C">
        <w:rPr>
          <w:sz w:val="20"/>
          <w:szCs w:val="20"/>
          <w:lang w:val="en-US"/>
        </w:rPr>
        <w:t>Byberg</w:t>
      </w:r>
      <w:proofErr w:type="spellEnd"/>
      <w:r w:rsidRPr="0041615C">
        <w:rPr>
          <w:sz w:val="20"/>
          <w:szCs w:val="20"/>
          <w:lang w:val="en-US"/>
        </w:rPr>
        <w:t xml:space="preserve">, and Haakon A. </w:t>
      </w:r>
      <w:proofErr w:type="spellStart"/>
      <w:r w:rsidRPr="0041615C">
        <w:rPr>
          <w:sz w:val="20"/>
          <w:szCs w:val="20"/>
          <w:lang w:val="en-US"/>
        </w:rPr>
        <w:t>Ikonomou</w:t>
      </w:r>
      <w:proofErr w:type="spellEnd"/>
      <w:r w:rsidRPr="0041615C">
        <w:rPr>
          <w:sz w:val="20"/>
          <w:szCs w:val="20"/>
          <w:lang w:val="en-US"/>
        </w:rPr>
        <w:t xml:space="preserve">, eds., </w:t>
      </w:r>
      <w:r w:rsidRPr="0041615C">
        <w:rPr>
          <w:i/>
          <w:iCs/>
          <w:sz w:val="20"/>
          <w:szCs w:val="20"/>
          <w:lang w:val="en-US"/>
        </w:rPr>
        <w:t>European Enlargement across Rounds and beyond Borders</w:t>
      </w:r>
      <w:r w:rsidRPr="0041615C">
        <w:rPr>
          <w:sz w:val="20"/>
          <w:szCs w:val="20"/>
          <w:lang w:val="en-US"/>
        </w:rPr>
        <w:t xml:space="preserve"> (Abingdon: </w:t>
      </w:r>
      <w:proofErr w:type="spellStart"/>
      <w:r w:rsidRPr="0041615C">
        <w:rPr>
          <w:sz w:val="20"/>
          <w:szCs w:val="20"/>
          <w:lang w:val="en-US"/>
        </w:rPr>
        <w:t>Routledge</w:t>
      </w:r>
      <w:proofErr w:type="spellEnd"/>
      <w:r w:rsidRPr="0041615C">
        <w:rPr>
          <w:sz w:val="20"/>
          <w:szCs w:val="20"/>
          <w:lang w:val="en-US"/>
        </w:rPr>
        <w:t>, 2017).</w:t>
      </w:r>
      <w:r w:rsidRPr="0041615C">
        <w:rPr>
          <w:sz w:val="20"/>
          <w:szCs w:val="20"/>
          <w:lang w:val="en-US"/>
        </w:rPr>
        <w:fldChar w:fldCharType="end"/>
      </w:r>
    </w:p>
  </w:footnote>
  <w:footnote w:id="19">
    <w:p w14:paraId="589228DF" w14:textId="61DB0A8D" w:rsidR="008876C0" w:rsidRPr="0041615C" w:rsidRDefault="008876C0">
      <w:pPr>
        <w:pStyle w:val="FootnoteText"/>
        <w:rPr>
          <w:sz w:val="20"/>
          <w:szCs w:val="20"/>
          <w:lang w:val="en-US"/>
        </w:rPr>
      </w:pPr>
      <w:r w:rsidRPr="0041615C">
        <w:rPr>
          <w:rStyle w:val="FootnoteReference"/>
          <w:sz w:val="20"/>
          <w:szCs w:val="20"/>
        </w:rPr>
        <w:footnoteRef/>
      </w:r>
      <w:r w:rsidRPr="0041615C">
        <w:rPr>
          <w:sz w:val="20"/>
          <w:szCs w:val="20"/>
        </w:rPr>
        <w:t xml:space="preserve"> </w:t>
      </w:r>
      <w:r w:rsidRPr="0041615C">
        <w:rPr>
          <w:sz w:val="20"/>
          <w:szCs w:val="20"/>
          <w:lang w:val="en-US"/>
        </w:rPr>
        <w:t xml:space="preserve">‘Ivan Rogers’ letter to staff in full’, </w:t>
      </w:r>
      <w:r w:rsidRPr="0041615C">
        <w:rPr>
          <w:i/>
          <w:sz w:val="20"/>
          <w:szCs w:val="20"/>
          <w:lang w:val="en-US"/>
        </w:rPr>
        <w:t>BBC</w:t>
      </w:r>
      <w:r w:rsidRPr="0041615C">
        <w:rPr>
          <w:sz w:val="20"/>
          <w:szCs w:val="20"/>
          <w:lang w:val="en-US"/>
        </w:rPr>
        <w:t xml:space="preserve">, 4.1.2017, </w:t>
      </w:r>
      <w:hyperlink r:id="rId8" w:history="1">
        <w:r w:rsidRPr="0041615C">
          <w:rPr>
            <w:rStyle w:val="Hyperlink"/>
            <w:sz w:val="20"/>
            <w:szCs w:val="20"/>
            <w:lang w:val="en-US"/>
          </w:rPr>
          <w:t>https://www.bbc.co.uk/news/uk-politics-38503504</w:t>
        </w:r>
      </w:hyperlink>
      <w:r w:rsidRPr="0041615C">
        <w:rPr>
          <w:sz w:val="20"/>
          <w:szCs w:val="20"/>
          <w:lang w:val="en-US"/>
        </w:rPr>
        <w:t xml:space="preserve"> (last accessed 12.11.2018)</w:t>
      </w:r>
    </w:p>
  </w:footnote>
  <w:footnote w:id="20">
    <w:p w14:paraId="51D4DD30" w14:textId="49CCDE45" w:rsidR="008876C0" w:rsidRPr="00720FDF" w:rsidRDefault="008876C0">
      <w:pPr>
        <w:pStyle w:val="FootnoteText"/>
        <w:rPr>
          <w:sz w:val="20"/>
          <w:szCs w:val="20"/>
          <w:lang w:val="en-US"/>
        </w:rPr>
      </w:pPr>
      <w:r w:rsidRPr="00720FDF">
        <w:rPr>
          <w:rStyle w:val="FootnoteReference"/>
          <w:sz w:val="20"/>
          <w:szCs w:val="20"/>
        </w:rPr>
        <w:footnoteRef/>
      </w:r>
      <w:r w:rsidRPr="00720FDF">
        <w:rPr>
          <w:sz w:val="20"/>
          <w:szCs w:val="20"/>
        </w:rPr>
        <w:t xml:space="preserve"> </w:t>
      </w:r>
      <w:r w:rsidRPr="00720FDF">
        <w:rPr>
          <w:sz w:val="20"/>
          <w:szCs w:val="20"/>
          <w:lang w:val="en-US"/>
        </w:rPr>
        <w:t xml:space="preserve">‘Meet Britain’s real Brexit broker’, </w:t>
      </w:r>
      <w:r w:rsidRPr="00720FDF">
        <w:rPr>
          <w:i/>
          <w:sz w:val="20"/>
          <w:szCs w:val="20"/>
          <w:lang w:val="en-US"/>
        </w:rPr>
        <w:t xml:space="preserve">Financial Times, </w:t>
      </w:r>
      <w:r w:rsidRPr="00720FDF">
        <w:rPr>
          <w:sz w:val="20"/>
          <w:szCs w:val="20"/>
          <w:lang w:val="en-US"/>
        </w:rPr>
        <w:t xml:space="preserve">10.10.2018, </w:t>
      </w:r>
      <w:hyperlink r:id="rId9" w:history="1">
        <w:r w:rsidRPr="00720FDF">
          <w:rPr>
            <w:rStyle w:val="Hyperlink"/>
            <w:sz w:val="20"/>
            <w:szCs w:val="20"/>
            <w:lang w:val="en-US"/>
          </w:rPr>
          <w:t>https://www.ft.com/content/a7298efa-cc1c-11e8-b276-b9069bde0956</w:t>
        </w:r>
      </w:hyperlink>
      <w:r w:rsidRPr="00720FDF">
        <w:rPr>
          <w:sz w:val="20"/>
          <w:szCs w:val="20"/>
          <w:lang w:val="en-US"/>
        </w:rPr>
        <w:t xml:space="preserve"> (last accessed 12.11.2018)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B89FAA6" w14:textId="27B35453" w:rsidR="008876C0" w:rsidRDefault="008876C0">
    <w:pPr>
      <w:pStyle w:val="Header"/>
    </w:pPr>
    <w:r>
      <w:rPr>
        <w:noProof/>
      </w:rPr>
      <w:pict w14:anchorId="2898793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1in;height:1in;z-index:251661312"/>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980122" w14:textId="78CE9191" w:rsidR="008876C0" w:rsidRDefault="008876C0">
    <w:pPr>
      <w:pStyle w:val="Header"/>
    </w:pPr>
    <w:r>
      <w:rPr>
        <w:noProof/>
      </w:rPr>
      <w:pict w14:anchorId="0A12DC9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1in;height:1in;z-index:251659264"/>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0E43648" w14:textId="25B6B651" w:rsidR="008876C0" w:rsidRDefault="008876C0">
    <w:pPr>
      <w:pStyle w:val="Header"/>
    </w:pPr>
    <w:r>
      <w:rPr>
        <w:noProof/>
      </w:rPr>
      <w:pict w14:anchorId="5B4BB33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1in;height:1in;z-index:251663360"/>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proofState w:spelling="clean" w:grammar="clean"/>
  <w:defaultTabStop w:val="720"/>
  <w:characterSpacingControl w:val="doNotCompress"/>
  <w:savePreviewPicture/>
  <w:hdrShapeDefaults>
    <o:shapedefaults v:ext="edit" spidmax="1033"/>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7B5"/>
    <w:rsid w:val="00047B1C"/>
    <w:rsid w:val="000701D4"/>
    <w:rsid w:val="0017396D"/>
    <w:rsid w:val="00175D91"/>
    <w:rsid w:val="001B1C99"/>
    <w:rsid w:val="00245815"/>
    <w:rsid w:val="002A0281"/>
    <w:rsid w:val="002A267E"/>
    <w:rsid w:val="002B1A24"/>
    <w:rsid w:val="0035326D"/>
    <w:rsid w:val="00361818"/>
    <w:rsid w:val="003D2671"/>
    <w:rsid w:val="003E0630"/>
    <w:rsid w:val="003E418A"/>
    <w:rsid w:val="004010FF"/>
    <w:rsid w:val="00404566"/>
    <w:rsid w:val="0041615C"/>
    <w:rsid w:val="00424104"/>
    <w:rsid w:val="004567B5"/>
    <w:rsid w:val="004A110A"/>
    <w:rsid w:val="004C1AE5"/>
    <w:rsid w:val="004C3631"/>
    <w:rsid w:val="00501B48"/>
    <w:rsid w:val="0050540A"/>
    <w:rsid w:val="00505AC0"/>
    <w:rsid w:val="005521F7"/>
    <w:rsid w:val="005C4E1D"/>
    <w:rsid w:val="005D7D11"/>
    <w:rsid w:val="006C53D1"/>
    <w:rsid w:val="006D0879"/>
    <w:rsid w:val="006D3E0E"/>
    <w:rsid w:val="0070497B"/>
    <w:rsid w:val="00720FDF"/>
    <w:rsid w:val="00733830"/>
    <w:rsid w:val="007A0FB2"/>
    <w:rsid w:val="007F7AB3"/>
    <w:rsid w:val="008177CC"/>
    <w:rsid w:val="00836286"/>
    <w:rsid w:val="008876C0"/>
    <w:rsid w:val="008D5031"/>
    <w:rsid w:val="008F1052"/>
    <w:rsid w:val="00900C8F"/>
    <w:rsid w:val="0090504F"/>
    <w:rsid w:val="0091509A"/>
    <w:rsid w:val="00984BFC"/>
    <w:rsid w:val="00987BAE"/>
    <w:rsid w:val="009C7313"/>
    <w:rsid w:val="009F579C"/>
    <w:rsid w:val="00A11726"/>
    <w:rsid w:val="00A341DB"/>
    <w:rsid w:val="00A41D7B"/>
    <w:rsid w:val="00A641EC"/>
    <w:rsid w:val="00A67D14"/>
    <w:rsid w:val="00AE02C0"/>
    <w:rsid w:val="00AF6BDB"/>
    <w:rsid w:val="00B02656"/>
    <w:rsid w:val="00B05229"/>
    <w:rsid w:val="00B4571F"/>
    <w:rsid w:val="00B45F98"/>
    <w:rsid w:val="00B4713D"/>
    <w:rsid w:val="00B6294B"/>
    <w:rsid w:val="00BF54C7"/>
    <w:rsid w:val="00C75CBB"/>
    <w:rsid w:val="00CF058A"/>
    <w:rsid w:val="00D10172"/>
    <w:rsid w:val="00D30104"/>
    <w:rsid w:val="00DC1618"/>
    <w:rsid w:val="00E40517"/>
    <w:rsid w:val="00E9121A"/>
    <w:rsid w:val="00F87460"/>
    <w:rsid w:val="00FE1833"/>
    <w:rsid w:val="00FF2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4187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579C"/>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6D3E0E"/>
    <w:pPr>
      <w:tabs>
        <w:tab w:val="center" w:pos="4320"/>
        <w:tab w:val="right" w:pos="8640"/>
      </w:tabs>
    </w:pPr>
  </w:style>
  <w:style w:type="character" w:customStyle="1" w:styleId="HeaderChar">
    <w:name w:val="Header Char"/>
    <w:basedOn w:val="DefaultParagraphFont"/>
    <w:link w:val="Header"/>
    <w:uiPriority w:val="99"/>
    <w:rsid w:val="006D3E0E"/>
    <w:rPr>
      <w:lang w:val="en-GB"/>
    </w:rPr>
  </w:style>
  <w:style w:type="paragraph" w:styleId="Footer">
    <w:name w:val="footer"/>
    <w:basedOn w:val="Normal"/>
    <w:link w:val="FooterChar"/>
    <w:uiPriority w:val="99"/>
    <w:unhideWhenUsed/>
    <w:rsid w:val="006D3E0E"/>
    <w:pPr>
      <w:tabs>
        <w:tab w:val="center" w:pos="4320"/>
        <w:tab w:val="right" w:pos="8640"/>
      </w:tabs>
    </w:pPr>
  </w:style>
  <w:style w:type="character" w:customStyle="1" w:styleId="FooterChar">
    <w:name w:val="Footer Char"/>
    <w:basedOn w:val="DefaultParagraphFont"/>
    <w:link w:val="Footer"/>
    <w:uiPriority w:val="99"/>
    <w:rsid w:val="006D3E0E"/>
    <w:rPr>
      <w:lang w:val="en-GB"/>
    </w:rPr>
  </w:style>
  <w:style w:type="paragraph" w:styleId="FootnoteText">
    <w:name w:val="footnote text"/>
    <w:basedOn w:val="Normal"/>
    <w:link w:val="FootnoteTextChar"/>
    <w:uiPriority w:val="99"/>
    <w:unhideWhenUsed/>
    <w:rsid w:val="000701D4"/>
  </w:style>
  <w:style w:type="character" w:customStyle="1" w:styleId="FootnoteTextChar">
    <w:name w:val="Footnote Text Char"/>
    <w:basedOn w:val="DefaultParagraphFont"/>
    <w:link w:val="FootnoteText"/>
    <w:uiPriority w:val="99"/>
    <w:rsid w:val="000701D4"/>
    <w:rPr>
      <w:lang w:val="en-GB"/>
    </w:rPr>
  </w:style>
  <w:style w:type="character" w:styleId="FootnoteReference">
    <w:name w:val="footnote reference"/>
    <w:basedOn w:val="DefaultParagraphFont"/>
    <w:uiPriority w:val="99"/>
    <w:unhideWhenUsed/>
    <w:rsid w:val="000701D4"/>
    <w:rPr>
      <w:vertAlign w:val="superscript"/>
    </w:rPr>
  </w:style>
  <w:style w:type="character" w:styleId="Hyperlink">
    <w:name w:val="Hyperlink"/>
    <w:basedOn w:val="DefaultParagraphFont"/>
    <w:uiPriority w:val="99"/>
    <w:unhideWhenUsed/>
    <w:rsid w:val="0073383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579C"/>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6D3E0E"/>
    <w:pPr>
      <w:tabs>
        <w:tab w:val="center" w:pos="4320"/>
        <w:tab w:val="right" w:pos="8640"/>
      </w:tabs>
    </w:pPr>
  </w:style>
  <w:style w:type="character" w:customStyle="1" w:styleId="HeaderChar">
    <w:name w:val="Header Char"/>
    <w:basedOn w:val="DefaultParagraphFont"/>
    <w:link w:val="Header"/>
    <w:uiPriority w:val="99"/>
    <w:rsid w:val="006D3E0E"/>
    <w:rPr>
      <w:lang w:val="en-GB"/>
    </w:rPr>
  </w:style>
  <w:style w:type="paragraph" w:styleId="Footer">
    <w:name w:val="footer"/>
    <w:basedOn w:val="Normal"/>
    <w:link w:val="FooterChar"/>
    <w:uiPriority w:val="99"/>
    <w:unhideWhenUsed/>
    <w:rsid w:val="006D3E0E"/>
    <w:pPr>
      <w:tabs>
        <w:tab w:val="center" w:pos="4320"/>
        <w:tab w:val="right" w:pos="8640"/>
      </w:tabs>
    </w:pPr>
  </w:style>
  <w:style w:type="character" w:customStyle="1" w:styleId="FooterChar">
    <w:name w:val="Footer Char"/>
    <w:basedOn w:val="DefaultParagraphFont"/>
    <w:link w:val="Footer"/>
    <w:uiPriority w:val="99"/>
    <w:rsid w:val="006D3E0E"/>
    <w:rPr>
      <w:lang w:val="en-GB"/>
    </w:rPr>
  </w:style>
  <w:style w:type="paragraph" w:styleId="FootnoteText">
    <w:name w:val="footnote text"/>
    <w:basedOn w:val="Normal"/>
    <w:link w:val="FootnoteTextChar"/>
    <w:uiPriority w:val="99"/>
    <w:unhideWhenUsed/>
    <w:rsid w:val="000701D4"/>
  </w:style>
  <w:style w:type="character" w:customStyle="1" w:styleId="FootnoteTextChar">
    <w:name w:val="Footnote Text Char"/>
    <w:basedOn w:val="DefaultParagraphFont"/>
    <w:link w:val="FootnoteText"/>
    <w:uiPriority w:val="99"/>
    <w:rsid w:val="000701D4"/>
    <w:rPr>
      <w:lang w:val="en-GB"/>
    </w:rPr>
  </w:style>
  <w:style w:type="character" w:styleId="FootnoteReference">
    <w:name w:val="footnote reference"/>
    <w:basedOn w:val="DefaultParagraphFont"/>
    <w:uiPriority w:val="99"/>
    <w:unhideWhenUsed/>
    <w:rsid w:val="000701D4"/>
    <w:rPr>
      <w:vertAlign w:val="superscript"/>
    </w:rPr>
  </w:style>
  <w:style w:type="character" w:styleId="Hyperlink">
    <w:name w:val="Hyperlink"/>
    <w:basedOn w:val="DefaultParagraphFont"/>
    <w:uiPriority w:val="99"/>
    <w:unhideWhenUsed/>
    <w:rsid w:val="007338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186856">
      <w:bodyDiv w:val="1"/>
      <w:marLeft w:val="0"/>
      <w:marRight w:val="0"/>
      <w:marTop w:val="0"/>
      <w:marBottom w:val="0"/>
      <w:divBdr>
        <w:top w:val="none" w:sz="0" w:space="0" w:color="auto"/>
        <w:left w:val="none" w:sz="0" w:space="0" w:color="auto"/>
        <w:bottom w:val="none" w:sz="0" w:space="0" w:color="auto"/>
        <w:right w:val="none" w:sz="0" w:space="0" w:color="auto"/>
      </w:divBdr>
      <w:divsChild>
        <w:div w:id="1170802141">
          <w:marLeft w:val="0"/>
          <w:marRight w:val="0"/>
          <w:marTop w:val="0"/>
          <w:marBottom w:val="0"/>
          <w:divBdr>
            <w:top w:val="none" w:sz="0" w:space="0" w:color="auto"/>
            <w:left w:val="none" w:sz="0" w:space="0" w:color="auto"/>
            <w:bottom w:val="none" w:sz="0" w:space="0" w:color="auto"/>
            <w:right w:val="none" w:sz="0" w:space="0" w:color="auto"/>
          </w:divBdr>
          <w:divsChild>
            <w:div w:id="914900218">
              <w:marLeft w:val="0"/>
              <w:marRight w:val="0"/>
              <w:marTop w:val="0"/>
              <w:marBottom w:val="0"/>
              <w:divBdr>
                <w:top w:val="none" w:sz="0" w:space="0" w:color="auto"/>
                <w:left w:val="none" w:sz="0" w:space="0" w:color="auto"/>
                <w:bottom w:val="none" w:sz="0" w:space="0" w:color="auto"/>
                <w:right w:val="none" w:sz="0" w:space="0" w:color="auto"/>
              </w:divBdr>
              <w:divsChild>
                <w:div w:id="1197428863">
                  <w:marLeft w:val="0"/>
                  <w:marRight w:val="0"/>
                  <w:marTop w:val="0"/>
                  <w:marBottom w:val="0"/>
                  <w:divBdr>
                    <w:top w:val="none" w:sz="0" w:space="0" w:color="auto"/>
                    <w:left w:val="none" w:sz="0" w:space="0" w:color="auto"/>
                    <w:bottom w:val="none" w:sz="0" w:space="0" w:color="auto"/>
                    <w:right w:val="none" w:sz="0" w:space="0" w:color="auto"/>
                  </w:divBdr>
                  <w:divsChild>
                    <w:div w:id="21347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news/japan-will-spare-no-effort-to-support-the-uk-in-joining-the-cptpp" TargetMode="External"/><Relationship Id="rId4" Type="http://schemas.openxmlformats.org/officeDocument/2006/relationships/hyperlink" Target="https://www.theguardian.com/world/2018/jun/17/macedonia-greece-dispute-name-accord-prespa" TargetMode="External"/><Relationship Id="rId5" Type="http://schemas.openxmlformats.org/officeDocument/2006/relationships/hyperlink" Target="https://www.ft.com/content/3482b434-c37d-11e6-81c2-f57d90f6741a" TargetMode="External"/><Relationship Id="rId6" Type="http://schemas.openxmlformats.org/officeDocument/2006/relationships/hyperlink" Target="https://www.bbc.co.uk/news/uk-37995606" TargetMode="External"/><Relationship Id="rId7" Type="http://schemas.openxmlformats.org/officeDocument/2006/relationships/hyperlink" Target="http://blogs.lse.ac.uk/brexit/2017/11/09/swallow-the-lot-and-swallow-it-now-britain-is-and-was-deluded-about-its-negotiating-power-with-the-eu/" TargetMode="External"/><Relationship Id="rId8" Type="http://schemas.openxmlformats.org/officeDocument/2006/relationships/hyperlink" Target="https://www.bbc.co.uk/news/uk-politics-38503504" TargetMode="External"/><Relationship Id="rId9" Type="http://schemas.openxmlformats.org/officeDocument/2006/relationships/hyperlink" Target="https://www.ft.com/content/a7298efa-cc1c-11e8-b276-b9069bde0956" TargetMode="External"/><Relationship Id="rId1" Type="http://schemas.openxmlformats.org/officeDocument/2006/relationships/hyperlink" Target="http://www.conservativehome.com/parliament/2016/04/goves-eu-speech-key-extracts.html" TargetMode="External"/><Relationship Id="rId2" Type="http://schemas.openxmlformats.org/officeDocument/2006/relationships/hyperlink" Target="http://blogs.lse.ac.uk/brexit/2016/04/21/michael-goves-problem-is-that-a-single-market-is-more-than-just-a-tariff-free-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539</TotalTime>
  <Pages>10</Pages>
  <Words>3851</Words>
  <Characters>19180</Characters>
  <Application>Microsoft Macintosh Word</Application>
  <DocSecurity>0</DocSecurity>
  <Lines>304</Lines>
  <Paragraphs>22</Paragraphs>
  <ScaleCrop>false</ScaleCrop>
  <Company>London School of Economics &amp; Political Science</Company>
  <LinksUpToDate>false</LinksUpToDate>
  <CharactersWithSpaces>23009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Piers Ludlow</dc:creator>
  <cp:keywords/>
  <dc:description/>
  <cp:lastModifiedBy>Piers Ludlow</cp:lastModifiedBy>
  <cp:revision>13</cp:revision>
  <dcterms:created xsi:type="dcterms:W3CDTF">2018-09-05T13:10:00Z</dcterms:created>
  <dcterms:modified xsi:type="dcterms:W3CDTF">2018-11-12T17:19:00Z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id="IWL6uFyE"/&gt;&lt;style id="http://www.zotero.org/styles/chicago-fullnote-bibliography" locale="en-GB" hasBibliography="1" bibliographyStyleHasBeenSet="0"/&gt;&lt;prefs&gt;&lt;pref name="fieldType" value="Field"/&gt;</vt:lpwstr>
  </property>
  <property fmtid="{D5CDD505-2E9C-101B-9397-08002B2CF9AE}" pid="3" name="ZOTERO_PREF_2">
    <vt:lpwstr>&lt;pref name="automaticJournalAbbreviations" value="true"/&gt;&lt;pref name="noteType" value="1"/&gt;&lt;/prefs&gt;&lt;/data&gt;</vt:lpwstr>
  </property>
</Properties>
</file>