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2658C" w14:textId="77777777" w:rsidR="005F104B" w:rsidRDefault="005F104B" w:rsidP="005F104B">
      <w:pPr>
        <w:spacing w:before="100" w:beforeAutospacing="1" w:after="100" w:afterAutospacing="1" w:line="480" w:lineRule="auto"/>
        <w:jc w:val="both"/>
        <w:rPr>
          <w:rFonts w:ascii="Arial" w:eastAsia="Calibri" w:hAnsi="Arial" w:cs="Arial"/>
          <w:b/>
          <w:bCs/>
          <w:lang w:val="en-US"/>
        </w:rPr>
      </w:pPr>
      <w:r w:rsidRPr="0088353A">
        <w:rPr>
          <w:rFonts w:ascii="Arial" w:eastAsia="Calibri" w:hAnsi="Arial" w:cs="Arial"/>
          <w:b/>
          <w:bCs/>
          <w:lang w:val="en-US"/>
        </w:rPr>
        <w:t xml:space="preserve">Cost-effectiveness of antidepressants versus </w:t>
      </w:r>
      <w:r>
        <w:rPr>
          <w:rFonts w:ascii="Arial" w:eastAsia="Calibri" w:hAnsi="Arial" w:cs="Arial"/>
          <w:b/>
          <w:bCs/>
          <w:lang w:val="en-US"/>
        </w:rPr>
        <w:t>a</w:t>
      </w:r>
      <w:r w:rsidRPr="00F5081B">
        <w:rPr>
          <w:rFonts w:ascii="Arial" w:eastAsia="Calibri" w:hAnsi="Arial" w:cs="Arial"/>
          <w:b/>
          <w:bCs/>
          <w:lang w:val="en-GB"/>
        </w:rPr>
        <w:t xml:space="preserve">ctive </w:t>
      </w:r>
      <w:r>
        <w:rPr>
          <w:rFonts w:ascii="Arial" w:eastAsia="Calibri" w:hAnsi="Arial" w:cs="Arial"/>
          <w:b/>
          <w:bCs/>
          <w:lang w:val="en-GB"/>
        </w:rPr>
        <w:t>m</w:t>
      </w:r>
      <w:r w:rsidRPr="00F5081B">
        <w:rPr>
          <w:rFonts w:ascii="Arial" w:eastAsia="Calibri" w:hAnsi="Arial" w:cs="Arial"/>
          <w:b/>
          <w:bCs/>
          <w:lang w:val="en-GB"/>
        </w:rPr>
        <w:t>onitoring</w:t>
      </w:r>
      <w:r w:rsidRPr="00F5081B">
        <w:rPr>
          <w:rFonts w:ascii="Arial" w:eastAsia="Calibri" w:hAnsi="Arial" w:cs="Arial"/>
          <w:b/>
          <w:bCs/>
          <w:lang w:val="en-US"/>
        </w:rPr>
        <w:t xml:space="preserve"> </w:t>
      </w:r>
      <w:r w:rsidRPr="0088353A">
        <w:rPr>
          <w:rFonts w:ascii="Arial" w:eastAsia="Calibri" w:hAnsi="Arial" w:cs="Arial"/>
          <w:b/>
          <w:bCs/>
          <w:lang w:val="en-US"/>
        </w:rPr>
        <w:t>for mild-to-moderate major depressive disorder: a multisite non-randomized controlled trial in primary care (INFAP study)</w:t>
      </w:r>
    </w:p>
    <w:p w14:paraId="7D4E73B6" w14:textId="77777777" w:rsidR="005F104B" w:rsidRPr="00D74449" w:rsidRDefault="005F104B" w:rsidP="005F104B">
      <w:pPr>
        <w:spacing w:after="200" w:line="480" w:lineRule="auto"/>
        <w:jc w:val="both"/>
        <w:rPr>
          <w:rFonts w:ascii="Arial" w:eastAsia="Calibri" w:hAnsi="Arial" w:cs="Arial"/>
          <w:b/>
          <w:sz w:val="20"/>
          <w:lang w:val="it-IT"/>
        </w:rPr>
      </w:pPr>
      <w:r w:rsidRPr="0088353A">
        <w:rPr>
          <w:rFonts w:ascii="Arial" w:eastAsia="Calibri" w:hAnsi="Arial" w:cs="Arial"/>
          <w:b/>
          <w:sz w:val="20"/>
        </w:rPr>
        <w:t>Maria Rubio-Valera</w:t>
      </w:r>
      <w:r>
        <w:rPr>
          <w:rFonts w:ascii="Arial" w:eastAsia="Calibri" w:hAnsi="Arial" w:cs="Arial"/>
          <w:b/>
          <w:sz w:val="20"/>
          <w:vertAlign w:val="superscript"/>
        </w:rPr>
        <w:t>a,b,c,*</w:t>
      </w:r>
      <w:r>
        <w:rPr>
          <w:rFonts w:ascii="Arial" w:eastAsia="Calibri" w:hAnsi="Arial" w:cs="Arial"/>
          <w:b/>
          <w:sz w:val="20"/>
        </w:rPr>
        <w:t xml:space="preserve">, </w:t>
      </w:r>
      <w:r w:rsidRPr="0088353A">
        <w:rPr>
          <w:rFonts w:ascii="Arial" w:eastAsia="Calibri" w:hAnsi="Arial" w:cs="Arial"/>
          <w:b/>
          <w:sz w:val="20"/>
        </w:rPr>
        <w:t>María Teresa Peñarrubia-María</w:t>
      </w:r>
      <w:r>
        <w:rPr>
          <w:rFonts w:ascii="Arial" w:eastAsia="Calibri" w:hAnsi="Arial" w:cs="Arial"/>
          <w:b/>
          <w:sz w:val="20"/>
          <w:vertAlign w:val="superscript"/>
        </w:rPr>
        <w:t>d</w:t>
      </w:r>
      <w:r>
        <w:rPr>
          <w:rFonts w:ascii="Arial" w:eastAsia="Calibri" w:hAnsi="Arial" w:cs="Arial"/>
          <w:b/>
          <w:sz w:val="20"/>
        </w:rPr>
        <w:t>,</w:t>
      </w:r>
      <w:r w:rsidRPr="00D74449">
        <w:rPr>
          <w:rFonts w:ascii="Arial" w:eastAsia="Calibri" w:hAnsi="Arial" w:cs="Arial"/>
          <w:b/>
          <w:sz w:val="20"/>
          <w:lang w:val="it-IT"/>
        </w:rPr>
        <w:t xml:space="preserve"> </w:t>
      </w:r>
      <w:r w:rsidRPr="0088353A">
        <w:rPr>
          <w:rFonts w:ascii="Arial" w:eastAsia="Calibri" w:hAnsi="Arial" w:cs="Arial"/>
          <w:b/>
          <w:sz w:val="20"/>
          <w:lang w:val="it-IT"/>
        </w:rPr>
        <w:t>Maria Iglesias-González</w:t>
      </w:r>
      <w:r>
        <w:rPr>
          <w:rFonts w:ascii="Arial" w:eastAsia="Calibri" w:hAnsi="Arial" w:cs="Arial"/>
          <w:b/>
          <w:sz w:val="20"/>
          <w:vertAlign w:val="superscript"/>
          <w:lang w:val="it-IT"/>
        </w:rPr>
        <w:t>e</w:t>
      </w:r>
      <w:r>
        <w:rPr>
          <w:rFonts w:ascii="Arial" w:eastAsia="Calibri" w:hAnsi="Arial" w:cs="Arial"/>
          <w:b/>
          <w:sz w:val="20"/>
          <w:lang w:val="it-IT"/>
        </w:rPr>
        <w:t xml:space="preserve">, </w:t>
      </w:r>
      <w:r w:rsidRPr="0088353A">
        <w:rPr>
          <w:rFonts w:ascii="Arial" w:eastAsia="Calibri" w:hAnsi="Arial" w:cs="Arial"/>
          <w:b/>
          <w:sz w:val="20"/>
          <w:lang w:val="fr-FR"/>
        </w:rPr>
        <w:t>Martin Knapp</w:t>
      </w:r>
      <w:r w:rsidRPr="00D74449">
        <w:rPr>
          <w:rFonts w:ascii="Arial" w:eastAsia="Calibri" w:hAnsi="Arial" w:cs="Arial"/>
          <w:b/>
          <w:sz w:val="20"/>
          <w:vertAlign w:val="superscript"/>
          <w:lang w:val="fr-FR"/>
        </w:rPr>
        <w:t>b,f</w:t>
      </w:r>
      <w:r>
        <w:rPr>
          <w:rFonts w:ascii="Arial" w:eastAsia="Calibri" w:hAnsi="Arial" w:cs="Arial"/>
          <w:b/>
          <w:sz w:val="20"/>
          <w:lang w:val="fr-FR"/>
        </w:rPr>
        <w:t xml:space="preserve">, </w:t>
      </w:r>
      <w:r w:rsidRPr="0088353A">
        <w:rPr>
          <w:rFonts w:ascii="Arial" w:eastAsia="Calibri" w:hAnsi="Arial" w:cs="Arial"/>
          <w:b/>
          <w:sz w:val="20"/>
          <w:lang w:val="it-IT"/>
        </w:rPr>
        <w:t>Paul McCrone</w:t>
      </w:r>
      <w:r>
        <w:rPr>
          <w:rFonts w:ascii="Arial" w:eastAsia="Calibri" w:hAnsi="Arial" w:cs="Arial"/>
          <w:b/>
          <w:sz w:val="20"/>
          <w:vertAlign w:val="superscript"/>
          <w:lang w:val="it-IT"/>
        </w:rPr>
        <w:t>g</w:t>
      </w:r>
      <w:r>
        <w:rPr>
          <w:rFonts w:ascii="Arial" w:eastAsia="Calibri" w:hAnsi="Arial" w:cs="Arial"/>
          <w:b/>
          <w:sz w:val="20"/>
          <w:lang w:val="it-IT"/>
        </w:rPr>
        <w:t>,</w:t>
      </w:r>
      <w:r w:rsidRPr="00D74449">
        <w:rPr>
          <w:rFonts w:ascii="Arial" w:eastAsia="Calibri" w:hAnsi="Arial" w:cs="Arial"/>
          <w:b/>
          <w:sz w:val="20"/>
          <w:lang w:val="fr-FR"/>
        </w:rPr>
        <w:t xml:space="preserve"> </w:t>
      </w:r>
      <w:r w:rsidRPr="0088353A">
        <w:rPr>
          <w:rFonts w:ascii="Arial" w:eastAsia="Calibri" w:hAnsi="Arial" w:cs="Arial"/>
          <w:b/>
          <w:sz w:val="20"/>
          <w:lang w:val="fr-FR"/>
        </w:rPr>
        <w:t>Marta Roig</w:t>
      </w:r>
      <w:r>
        <w:rPr>
          <w:rFonts w:ascii="Arial" w:eastAsia="Calibri" w:hAnsi="Arial" w:cs="Arial"/>
          <w:b/>
          <w:sz w:val="20"/>
          <w:vertAlign w:val="superscript"/>
          <w:lang w:val="fr-FR"/>
        </w:rPr>
        <w:t>a,c</w:t>
      </w:r>
      <w:r>
        <w:rPr>
          <w:rFonts w:ascii="Arial" w:eastAsia="Calibri" w:hAnsi="Arial" w:cs="Arial"/>
          <w:b/>
          <w:sz w:val="20"/>
          <w:lang w:val="fr-FR"/>
        </w:rPr>
        <w:t xml:space="preserve">, </w:t>
      </w:r>
      <w:r w:rsidRPr="0088353A">
        <w:rPr>
          <w:rFonts w:ascii="Arial" w:eastAsia="Calibri" w:hAnsi="Arial" w:cs="Arial"/>
          <w:b/>
          <w:sz w:val="20"/>
          <w:lang w:val="fr-FR"/>
        </w:rPr>
        <w:t>Ramón Sabes-Figuera</w:t>
      </w:r>
      <w:r>
        <w:rPr>
          <w:rFonts w:ascii="Arial" w:eastAsia="Calibri" w:hAnsi="Arial" w:cs="Arial"/>
          <w:b/>
          <w:sz w:val="20"/>
          <w:vertAlign w:val="superscript"/>
          <w:lang w:val="fr-FR"/>
        </w:rPr>
        <w:t>b,h</w:t>
      </w:r>
      <w:r>
        <w:rPr>
          <w:rFonts w:ascii="Arial" w:eastAsia="Calibri" w:hAnsi="Arial" w:cs="Arial"/>
          <w:b/>
          <w:sz w:val="20"/>
          <w:lang w:val="fr-FR"/>
        </w:rPr>
        <w:t xml:space="preserve">, </w:t>
      </w:r>
      <w:r w:rsidRPr="0088353A">
        <w:rPr>
          <w:rFonts w:ascii="Arial" w:eastAsia="Calibri" w:hAnsi="Arial" w:cs="Arial"/>
          <w:b/>
          <w:sz w:val="20"/>
          <w:lang w:val="it-IT"/>
        </w:rPr>
        <w:t>Juan V. Luciano</w:t>
      </w:r>
      <w:r>
        <w:rPr>
          <w:rFonts w:ascii="Arial" w:eastAsia="Calibri" w:hAnsi="Arial" w:cs="Arial"/>
          <w:b/>
          <w:sz w:val="20"/>
          <w:vertAlign w:val="superscript"/>
          <w:lang w:val="it-IT"/>
        </w:rPr>
        <w:t>a,i,j</w:t>
      </w:r>
      <w:r>
        <w:rPr>
          <w:rFonts w:ascii="Arial" w:eastAsia="Calibri" w:hAnsi="Arial" w:cs="Arial"/>
          <w:b/>
          <w:sz w:val="20"/>
          <w:lang w:val="it-IT"/>
        </w:rPr>
        <w:t xml:space="preserve">, </w:t>
      </w:r>
      <w:r w:rsidRPr="0088353A">
        <w:rPr>
          <w:rFonts w:ascii="Arial" w:eastAsia="Calibri" w:hAnsi="Arial" w:cs="Arial"/>
          <w:b/>
          <w:sz w:val="20"/>
          <w:lang w:val="it-IT"/>
        </w:rPr>
        <w:t>Juan M. Mendive</w:t>
      </w:r>
      <w:r w:rsidRPr="00D74449">
        <w:rPr>
          <w:rFonts w:ascii="Arial" w:eastAsia="Calibri" w:hAnsi="Arial" w:cs="Arial"/>
          <w:b/>
          <w:sz w:val="20"/>
          <w:vertAlign w:val="superscript"/>
          <w:lang w:val="it-IT"/>
        </w:rPr>
        <w:t>i,</w:t>
      </w:r>
      <w:r>
        <w:rPr>
          <w:rFonts w:ascii="Arial" w:eastAsia="Calibri" w:hAnsi="Arial" w:cs="Arial"/>
          <w:b/>
          <w:sz w:val="20"/>
          <w:vertAlign w:val="superscript"/>
          <w:lang w:val="it-IT"/>
        </w:rPr>
        <w:t>k</w:t>
      </w:r>
      <w:r>
        <w:rPr>
          <w:rFonts w:ascii="Arial" w:eastAsia="Calibri" w:hAnsi="Arial" w:cs="Arial"/>
          <w:b/>
          <w:sz w:val="20"/>
          <w:lang w:val="it-IT"/>
        </w:rPr>
        <w:t xml:space="preserve">, </w:t>
      </w:r>
      <w:r w:rsidRPr="0088353A">
        <w:rPr>
          <w:rFonts w:ascii="Arial" w:eastAsia="Calibri" w:hAnsi="Arial" w:cs="Arial"/>
          <w:b/>
          <w:sz w:val="20"/>
          <w:lang w:val="it-IT"/>
        </w:rPr>
        <w:t>Ana Gabriela Murrugara</w:t>
      </w:r>
      <w:r>
        <w:rPr>
          <w:rFonts w:ascii="Arial" w:eastAsia="Calibri" w:hAnsi="Arial" w:cs="Arial"/>
          <w:b/>
          <w:sz w:val="20"/>
          <w:lang w:val="it-IT"/>
        </w:rPr>
        <w:t>-</w:t>
      </w:r>
      <w:r w:rsidRPr="0088353A">
        <w:rPr>
          <w:rFonts w:ascii="Arial" w:eastAsia="Calibri" w:hAnsi="Arial" w:cs="Arial"/>
          <w:b/>
          <w:sz w:val="20"/>
          <w:lang w:val="it-IT"/>
        </w:rPr>
        <w:t>Centurión</w:t>
      </w:r>
      <w:r>
        <w:rPr>
          <w:rFonts w:ascii="Arial" w:eastAsia="Calibri" w:hAnsi="Arial" w:cs="Arial"/>
          <w:b/>
          <w:sz w:val="20"/>
          <w:vertAlign w:val="superscript"/>
          <w:lang w:val="it-IT"/>
        </w:rPr>
        <w:t>a,i</w:t>
      </w:r>
      <w:r>
        <w:rPr>
          <w:rFonts w:ascii="Arial" w:eastAsia="Calibri" w:hAnsi="Arial" w:cs="Arial"/>
          <w:b/>
          <w:sz w:val="20"/>
          <w:lang w:val="it-IT"/>
        </w:rPr>
        <w:t>, Jordi Alonso</w:t>
      </w:r>
      <w:r>
        <w:rPr>
          <w:rFonts w:ascii="Arial" w:eastAsia="Calibri" w:hAnsi="Arial" w:cs="Arial"/>
          <w:b/>
          <w:sz w:val="20"/>
          <w:vertAlign w:val="superscript"/>
          <w:lang w:val="it-IT"/>
        </w:rPr>
        <w:t>b,l,m</w:t>
      </w:r>
      <w:r>
        <w:rPr>
          <w:rFonts w:ascii="Arial" w:eastAsia="Calibri" w:hAnsi="Arial" w:cs="Arial"/>
          <w:b/>
          <w:sz w:val="20"/>
          <w:lang w:val="it-IT"/>
        </w:rPr>
        <w:t xml:space="preserve">, </w:t>
      </w:r>
      <w:r w:rsidRPr="0088353A">
        <w:rPr>
          <w:rFonts w:ascii="Arial" w:eastAsia="Calibri" w:hAnsi="Arial" w:cs="Arial"/>
          <w:b/>
          <w:sz w:val="20"/>
          <w:lang w:val="it-IT"/>
        </w:rPr>
        <w:t>Antoni Serrano-Blanco</w:t>
      </w:r>
      <w:r>
        <w:rPr>
          <w:rFonts w:ascii="Arial" w:eastAsia="Calibri" w:hAnsi="Arial" w:cs="Arial"/>
          <w:b/>
          <w:sz w:val="20"/>
          <w:vertAlign w:val="superscript"/>
          <w:lang w:val="it-IT"/>
        </w:rPr>
        <w:t>b,e</w:t>
      </w:r>
    </w:p>
    <w:p w14:paraId="45BA14BD" w14:textId="77777777" w:rsidR="005F104B" w:rsidRDefault="005F104B" w:rsidP="005F104B">
      <w:pPr>
        <w:spacing w:after="200" w:line="480" w:lineRule="auto"/>
        <w:jc w:val="both"/>
        <w:rPr>
          <w:rFonts w:ascii="Arial" w:eastAsia="Calibri" w:hAnsi="Arial" w:cs="Arial"/>
          <w:sz w:val="20"/>
        </w:rPr>
      </w:pPr>
      <w:r>
        <w:rPr>
          <w:rFonts w:ascii="Arial" w:eastAsia="Calibri" w:hAnsi="Arial" w:cs="Arial"/>
          <w:sz w:val="20"/>
          <w:vertAlign w:val="superscript"/>
        </w:rPr>
        <w:t xml:space="preserve">a </w:t>
      </w:r>
      <w:r>
        <w:rPr>
          <w:rFonts w:ascii="Arial" w:eastAsia="Calibri" w:hAnsi="Arial" w:cs="Arial"/>
          <w:sz w:val="20"/>
        </w:rPr>
        <w:t>Research Unit, I</w:t>
      </w:r>
      <w:r w:rsidRPr="0088353A">
        <w:rPr>
          <w:rFonts w:ascii="Arial" w:eastAsia="Calibri" w:hAnsi="Arial" w:cs="Arial"/>
          <w:sz w:val="20"/>
        </w:rPr>
        <w:t xml:space="preserve">nstitut de Recerca Sant Joan de Déu, </w:t>
      </w:r>
      <w:r>
        <w:rPr>
          <w:rFonts w:ascii="Arial" w:eastAsia="Calibri" w:hAnsi="Arial" w:cs="Arial"/>
          <w:sz w:val="20"/>
        </w:rPr>
        <w:t>C/ Pablo Picasso 12, 08830, Sant Boi de Llobregat, Spain.</w:t>
      </w:r>
    </w:p>
    <w:p w14:paraId="0EBA67D0" w14:textId="77777777" w:rsidR="005F104B" w:rsidRPr="00265BAC" w:rsidRDefault="005F104B" w:rsidP="005F104B">
      <w:pPr>
        <w:spacing w:after="200" w:line="480" w:lineRule="auto"/>
        <w:jc w:val="both"/>
        <w:rPr>
          <w:rFonts w:ascii="Arial" w:eastAsia="Calibri" w:hAnsi="Arial" w:cs="Arial"/>
          <w:sz w:val="20"/>
          <w:lang w:val="en-US"/>
        </w:rPr>
      </w:pPr>
      <w:r w:rsidRPr="00D74449">
        <w:rPr>
          <w:rFonts w:ascii="Arial" w:eastAsia="Calibri" w:hAnsi="Arial" w:cs="Arial"/>
          <w:sz w:val="20"/>
          <w:vertAlign w:val="superscript"/>
          <w:lang w:val="en-US"/>
        </w:rPr>
        <w:t>b</w:t>
      </w:r>
      <w:r>
        <w:rPr>
          <w:rFonts w:ascii="Arial" w:eastAsia="Calibri" w:hAnsi="Arial" w:cs="Arial"/>
          <w:sz w:val="20"/>
          <w:vertAlign w:val="superscript"/>
          <w:lang w:val="en-US"/>
        </w:rPr>
        <w:t xml:space="preserve"> </w:t>
      </w:r>
      <w:r w:rsidRPr="0088353A">
        <w:rPr>
          <w:rFonts w:ascii="Arial" w:eastAsia="Calibri" w:hAnsi="Arial" w:cs="Arial"/>
          <w:sz w:val="20"/>
          <w:lang w:val="en-US"/>
        </w:rPr>
        <w:t>Centre for Biomedical Research in Epidemiology and Public Health, CIBERESP, Madrid, Spain.</w:t>
      </w:r>
    </w:p>
    <w:p w14:paraId="202D3F2D" w14:textId="77777777" w:rsidR="005F104B" w:rsidRPr="00BF2DC2" w:rsidRDefault="005F104B" w:rsidP="005F104B">
      <w:pPr>
        <w:spacing w:after="200" w:line="480" w:lineRule="auto"/>
        <w:jc w:val="both"/>
        <w:rPr>
          <w:rFonts w:ascii="Arial" w:eastAsia="Calibri" w:hAnsi="Arial" w:cs="Arial"/>
          <w:sz w:val="20"/>
          <w:lang w:val="en-US"/>
        </w:rPr>
      </w:pPr>
      <w:r w:rsidRPr="00BF2DC2">
        <w:rPr>
          <w:rFonts w:ascii="Arial" w:eastAsia="Calibri" w:hAnsi="Arial" w:cs="Arial"/>
          <w:sz w:val="20"/>
          <w:vertAlign w:val="superscript"/>
          <w:lang w:val="en-US"/>
        </w:rPr>
        <w:t xml:space="preserve">c </w:t>
      </w:r>
      <w:r>
        <w:rPr>
          <w:rFonts w:ascii="Arial" w:eastAsia="Calibri" w:hAnsi="Arial" w:cs="Arial"/>
          <w:sz w:val="20"/>
          <w:lang w:val="en-US"/>
        </w:rPr>
        <w:t>D</w:t>
      </w:r>
      <w:r>
        <w:rPr>
          <w:rFonts w:ascii="Calibri" w:hAnsi="Calibri" w:cs="Calibri"/>
          <w:color w:val="000000"/>
          <w:shd w:val="clear" w:color="auto" w:fill="FFFFFF"/>
        </w:rPr>
        <w:t xml:space="preserve">ept. Pharmacology, Toxicology and Therapeutic Chemistry, </w:t>
      </w:r>
      <w:r>
        <w:rPr>
          <w:rFonts w:ascii="Arial" w:eastAsia="Calibri" w:hAnsi="Arial" w:cs="Arial"/>
          <w:sz w:val="20"/>
          <w:lang w:val="en-US"/>
        </w:rPr>
        <w:t>S</w:t>
      </w:r>
      <w:r w:rsidRPr="00BF2DC2">
        <w:rPr>
          <w:rFonts w:ascii="Arial" w:eastAsia="Calibri" w:hAnsi="Arial" w:cs="Arial"/>
          <w:sz w:val="20"/>
          <w:lang w:val="en-US"/>
        </w:rPr>
        <w:t>chool of Pharmacy, Universitat de Barcelona, Barcelona, Spain.</w:t>
      </w:r>
    </w:p>
    <w:p w14:paraId="02DD6610" w14:textId="77777777" w:rsidR="005F104B" w:rsidRPr="00BF2DC2" w:rsidRDefault="005F104B" w:rsidP="005F104B">
      <w:pPr>
        <w:spacing w:after="200" w:line="480" w:lineRule="auto"/>
        <w:jc w:val="both"/>
        <w:rPr>
          <w:rFonts w:ascii="Arial" w:eastAsia="Calibri" w:hAnsi="Arial" w:cs="Arial"/>
          <w:sz w:val="20"/>
          <w:lang w:val="en-US"/>
        </w:rPr>
      </w:pPr>
      <w:r w:rsidRPr="00BF2DC2">
        <w:rPr>
          <w:rFonts w:ascii="Arial" w:eastAsia="Calibri" w:hAnsi="Arial" w:cs="Arial"/>
          <w:sz w:val="20"/>
          <w:vertAlign w:val="superscript"/>
          <w:lang w:val="en-US"/>
        </w:rPr>
        <w:t xml:space="preserve">d </w:t>
      </w:r>
      <w:r w:rsidRPr="00BF2DC2">
        <w:rPr>
          <w:rFonts w:ascii="Arial" w:eastAsia="Calibri" w:hAnsi="Arial" w:cs="Arial"/>
          <w:sz w:val="20"/>
          <w:lang w:val="en-US"/>
        </w:rPr>
        <w:t>Primary Care Health Centre Bartomeu Fabrés Anglada, Servei d’Atenció Primària Delta Llobregat, Àmbit Costa de Ponent, Institut Català de la Salut, Gavà, Spain.</w:t>
      </w:r>
    </w:p>
    <w:p w14:paraId="02A11695" w14:textId="77777777" w:rsidR="005F104B" w:rsidRPr="0088353A" w:rsidRDefault="005F104B" w:rsidP="005F104B">
      <w:pPr>
        <w:spacing w:after="200" w:line="480" w:lineRule="auto"/>
        <w:jc w:val="both"/>
        <w:rPr>
          <w:rFonts w:ascii="Arial" w:eastAsia="Calibri" w:hAnsi="Arial" w:cs="Arial"/>
          <w:sz w:val="20"/>
        </w:rPr>
      </w:pPr>
      <w:r w:rsidRPr="00D74449">
        <w:rPr>
          <w:rFonts w:ascii="Arial" w:eastAsia="Calibri" w:hAnsi="Arial" w:cs="Arial"/>
          <w:sz w:val="20"/>
          <w:vertAlign w:val="superscript"/>
        </w:rPr>
        <w:t>e</w:t>
      </w:r>
      <w:r>
        <w:rPr>
          <w:rFonts w:ascii="Arial" w:eastAsia="Calibri" w:hAnsi="Arial" w:cs="Arial"/>
          <w:sz w:val="20"/>
          <w:vertAlign w:val="superscript"/>
        </w:rPr>
        <w:t xml:space="preserve"> </w:t>
      </w:r>
      <w:r>
        <w:rPr>
          <w:rFonts w:ascii="Arial" w:eastAsia="Calibri" w:hAnsi="Arial" w:cs="Arial"/>
          <w:sz w:val="20"/>
        </w:rPr>
        <w:t>Research Unit, P</w:t>
      </w:r>
      <w:r w:rsidRPr="0088353A">
        <w:rPr>
          <w:rFonts w:ascii="Arial" w:eastAsia="Calibri" w:hAnsi="Arial" w:cs="Arial"/>
          <w:sz w:val="20"/>
        </w:rPr>
        <w:t>arc Sanitari Sant Joan de Déu, Sant Boi de Llobregat, Spain.</w:t>
      </w:r>
    </w:p>
    <w:p w14:paraId="78EC1065" w14:textId="77777777" w:rsidR="005F104B" w:rsidRPr="0088353A" w:rsidRDefault="005F104B" w:rsidP="005F104B">
      <w:pPr>
        <w:spacing w:after="200" w:line="480" w:lineRule="auto"/>
        <w:jc w:val="both"/>
        <w:rPr>
          <w:rFonts w:ascii="Arial" w:eastAsia="Calibri" w:hAnsi="Arial" w:cs="Arial"/>
          <w:sz w:val="20"/>
          <w:shd w:val="clear" w:color="auto" w:fill="FFFFFF"/>
          <w:lang w:val="en-US"/>
        </w:rPr>
      </w:pPr>
      <w:r w:rsidRPr="00D74449">
        <w:rPr>
          <w:rFonts w:ascii="Arial" w:eastAsia="Calibri" w:hAnsi="Arial" w:cs="Arial"/>
          <w:sz w:val="20"/>
          <w:vertAlign w:val="superscript"/>
          <w:lang w:val="en-US"/>
        </w:rPr>
        <w:t>f</w:t>
      </w:r>
      <w:r>
        <w:rPr>
          <w:rFonts w:ascii="Arial" w:eastAsia="Calibri" w:hAnsi="Arial" w:cs="Arial"/>
          <w:sz w:val="20"/>
          <w:vertAlign w:val="superscript"/>
          <w:lang w:val="en-US"/>
        </w:rPr>
        <w:t xml:space="preserve"> </w:t>
      </w:r>
      <w:r w:rsidRPr="0088353A">
        <w:rPr>
          <w:rFonts w:ascii="Arial" w:eastAsia="Calibri" w:hAnsi="Arial" w:cs="Arial"/>
          <w:sz w:val="20"/>
          <w:shd w:val="clear" w:color="auto" w:fill="FFFFFF"/>
          <w:lang w:val="en-US"/>
        </w:rPr>
        <w:t>Personal Social Services Research Unit, London School of Economics and Political Science, Houghton Street, London, UK.</w:t>
      </w:r>
    </w:p>
    <w:p w14:paraId="133DE15C" w14:textId="77777777" w:rsidR="005F104B" w:rsidRPr="0088353A" w:rsidRDefault="005F104B" w:rsidP="005F104B">
      <w:pPr>
        <w:spacing w:after="200" w:line="480" w:lineRule="auto"/>
        <w:jc w:val="both"/>
        <w:rPr>
          <w:rFonts w:ascii="Arial" w:eastAsia="Calibri" w:hAnsi="Arial" w:cs="Arial"/>
          <w:b/>
          <w:sz w:val="20"/>
          <w:lang w:val="en-US"/>
        </w:rPr>
      </w:pPr>
      <w:r w:rsidRPr="00D74449">
        <w:rPr>
          <w:rFonts w:ascii="Arial" w:eastAsia="Calibri" w:hAnsi="Arial" w:cs="Arial"/>
          <w:sz w:val="20"/>
          <w:shd w:val="clear" w:color="auto" w:fill="FFFFFF"/>
          <w:vertAlign w:val="superscript"/>
          <w:lang w:val="en-US"/>
        </w:rPr>
        <w:t>g</w:t>
      </w:r>
      <w:r>
        <w:rPr>
          <w:rFonts w:ascii="Arial" w:eastAsia="Calibri" w:hAnsi="Arial" w:cs="Arial"/>
          <w:sz w:val="20"/>
          <w:shd w:val="clear" w:color="auto" w:fill="FFFFFF"/>
          <w:vertAlign w:val="superscript"/>
          <w:lang w:val="en-US"/>
        </w:rPr>
        <w:t xml:space="preserve"> </w:t>
      </w:r>
      <w:r w:rsidRPr="0088353A">
        <w:rPr>
          <w:rFonts w:ascii="Arial" w:eastAsia="Calibri" w:hAnsi="Arial" w:cs="Arial"/>
          <w:sz w:val="20"/>
          <w:shd w:val="clear" w:color="auto" w:fill="FFFFFF"/>
          <w:lang w:val="en-US"/>
        </w:rPr>
        <w:t>Institute of Psychiatry, King’s College London, De Crespigny Park, London, UK</w:t>
      </w:r>
    </w:p>
    <w:p w14:paraId="47FB3D32" w14:textId="77777777" w:rsidR="005F104B" w:rsidRPr="0088353A" w:rsidRDefault="005F104B" w:rsidP="005F104B">
      <w:pPr>
        <w:spacing w:after="200" w:line="480" w:lineRule="auto"/>
        <w:jc w:val="both"/>
        <w:rPr>
          <w:rFonts w:ascii="Arial" w:eastAsia="Calibri" w:hAnsi="Arial" w:cs="Arial"/>
          <w:sz w:val="20"/>
          <w:shd w:val="clear" w:color="auto" w:fill="FFFFFF"/>
          <w:lang w:val="en-US"/>
        </w:rPr>
      </w:pPr>
      <w:r w:rsidRPr="00D74449">
        <w:rPr>
          <w:rFonts w:ascii="Arial" w:eastAsia="Calibri" w:hAnsi="Arial" w:cs="Arial"/>
          <w:sz w:val="20"/>
          <w:shd w:val="clear" w:color="auto" w:fill="FFFFFF"/>
          <w:vertAlign w:val="superscript"/>
          <w:lang w:val="en-US"/>
        </w:rPr>
        <w:t>h</w:t>
      </w:r>
      <w:r>
        <w:rPr>
          <w:rFonts w:ascii="Arial" w:eastAsia="Calibri" w:hAnsi="Arial" w:cs="Arial"/>
          <w:sz w:val="20"/>
          <w:shd w:val="clear" w:color="auto" w:fill="FFFFFF"/>
          <w:vertAlign w:val="superscript"/>
          <w:lang w:val="en-US"/>
        </w:rPr>
        <w:t xml:space="preserve"> </w:t>
      </w:r>
      <w:r w:rsidRPr="0088353A">
        <w:rPr>
          <w:rFonts w:ascii="Arial" w:eastAsia="Calibri" w:hAnsi="Arial" w:cs="Arial"/>
          <w:sz w:val="20"/>
          <w:shd w:val="clear" w:color="auto" w:fill="FFFFFF"/>
          <w:lang w:val="en-US"/>
        </w:rPr>
        <w:t>Faculty of Economic and Business Sciences, Universitat Pompeu Fabra, Barcelona, Spain</w:t>
      </w:r>
    </w:p>
    <w:p w14:paraId="0C67788A" w14:textId="77777777" w:rsidR="005F104B" w:rsidRPr="0088353A" w:rsidRDefault="005F104B" w:rsidP="005F104B">
      <w:pPr>
        <w:spacing w:after="200" w:line="480" w:lineRule="auto"/>
        <w:jc w:val="both"/>
        <w:rPr>
          <w:rFonts w:ascii="Arial" w:eastAsia="Calibri" w:hAnsi="Arial" w:cs="Arial"/>
          <w:sz w:val="20"/>
          <w:lang w:val="en-US"/>
        </w:rPr>
      </w:pPr>
      <w:r>
        <w:rPr>
          <w:rFonts w:ascii="Arial" w:eastAsia="Calibri" w:hAnsi="Arial" w:cs="Arial"/>
          <w:sz w:val="20"/>
          <w:shd w:val="clear" w:color="auto" w:fill="FFFFFF"/>
          <w:vertAlign w:val="superscript"/>
          <w:lang w:val="en-US"/>
        </w:rPr>
        <w:t xml:space="preserve">i </w:t>
      </w:r>
      <w:r w:rsidRPr="0088353A">
        <w:rPr>
          <w:rFonts w:ascii="Arial" w:eastAsia="Calibri" w:hAnsi="Arial" w:cs="Arial"/>
          <w:sz w:val="20"/>
          <w:lang w:val="en-US"/>
        </w:rPr>
        <w:t>Primary Care Prevention and Health Promotion Research Network (RedIAPP), Barcelona, Spain.</w:t>
      </w:r>
    </w:p>
    <w:p w14:paraId="788803A5" w14:textId="77777777" w:rsidR="005F104B" w:rsidRPr="0088353A" w:rsidRDefault="005F104B" w:rsidP="005F104B">
      <w:pPr>
        <w:spacing w:after="200" w:line="480" w:lineRule="auto"/>
        <w:jc w:val="both"/>
        <w:rPr>
          <w:rFonts w:ascii="Arial" w:eastAsia="Calibri" w:hAnsi="Arial" w:cs="Arial"/>
          <w:sz w:val="20"/>
          <w:lang w:val="en-US"/>
        </w:rPr>
      </w:pPr>
      <w:r w:rsidRPr="00D74449">
        <w:rPr>
          <w:rFonts w:ascii="Arial" w:eastAsia="Calibri" w:hAnsi="Arial" w:cs="Arial"/>
          <w:sz w:val="20"/>
          <w:vertAlign w:val="superscript"/>
          <w:lang w:val="en-US"/>
        </w:rPr>
        <w:t>j</w:t>
      </w:r>
      <w:r>
        <w:rPr>
          <w:rFonts w:ascii="Arial" w:eastAsia="Calibri" w:hAnsi="Arial" w:cs="Arial"/>
          <w:sz w:val="20"/>
          <w:vertAlign w:val="superscript"/>
          <w:lang w:val="en-US"/>
        </w:rPr>
        <w:t xml:space="preserve"> </w:t>
      </w:r>
      <w:r w:rsidRPr="0088353A">
        <w:rPr>
          <w:rFonts w:ascii="Arial" w:eastAsia="Calibri" w:hAnsi="Arial" w:cs="Arial"/>
          <w:sz w:val="20"/>
          <w:lang w:val="en-US"/>
        </w:rPr>
        <w:t>Open University of Catalonia (UOC), Barcelona, Spain.</w:t>
      </w:r>
    </w:p>
    <w:p w14:paraId="1500D604" w14:textId="77777777" w:rsidR="005F104B" w:rsidRDefault="005F104B" w:rsidP="005F104B">
      <w:pPr>
        <w:spacing w:after="200" w:line="480" w:lineRule="auto"/>
        <w:jc w:val="both"/>
        <w:rPr>
          <w:rFonts w:ascii="Arial" w:eastAsia="Calibri" w:hAnsi="Arial" w:cs="Arial"/>
          <w:sz w:val="20"/>
          <w:lang w:val="it-IT"/>
        </w:rPr>
      </w:pPr>
      <w:r w:rsidRPr="00D74449">
        <w:rPr>
          <w:rFonts w:ascii="Arial" w:eastAsia="Calibri" w:hAnsi="Arial" w:cs="Arial"/>
          <w:sz w:val="20"/>
          <w:vertAlign w:val="superscript"/>
          <w:lang w:val="it-IT"/>
        </w:rPr>
        <w:t>k</w:t>
      </w:r>
      <w:r>
        <w:rPr>
          <w:rFonts w:ascii="Arial" w:eastAsia="Calibri" w:hAnsi="Arial" w:cs="Arial"/>
          <w:sz w:val="20"/>
          <w:vertAlign w:val="superscript"/>
          <w:lang w:val="it-IT"/>
        </w:rPr>
        <w:t xml:space="preserve"> </w:t>
      </w:r>
      <w:r w:rsidRPr="0088353A">
        <w:rPr>
          <w:rFonts w:ascii="Arial" w:eastAsia="Calibri" w:hAnsi="Arial" w:cs="Arial"/>
          <w:sz w:val="20"/>
          <w:lang w:val="it-IT"/>
        </w:rPr>
        <w:t>La Mina Primary Care Centre, Institut Català de la Salut. Sant Adrià de Besós (Barcelona), Spain.</w:t>
      </w:r>
    </w:p>
    <w:p w14:paraId="5C1F21B5" w14:textId="77777777" w:rsidR="005F104B" w:rsidRPr="00BF2DC2" w:rsidRDefault="005F104B" w:rsidP="005F104B">
      <w:pPr>
        <w:spacing w:after="200" w:line="480" w:lineRule="auto"/>
        <w:jc w:val="both"/>
        <w:rPr>
          <w:rFonts w:ascii="Arial" w:eastAsia="Calibri" w:hAnsi="Arial" w:cs="Arial"/>
          <w:sz w:val="20"/>
          <w:vertAlign w:val="superscript"/>
          <w:lang w:val="it-IT"/>
        </w:rPr>
      </w:pPr>
      <w:r w:rsidRPr="00BF2DC2">
        <w:rPr>
          <w:rFonts w:ascii="Arial" w:eastAsia="Calibri" w:hAnsi="Arial" w:cs="Arial"/>
          <w:sz w:val="20"/>
          <w:vertAlign w:val="superscript"/>
          <w:lang w:val="it-IT"/>
        </w:rPr>
        <w:lastRenderedPageBreak/>
        <w:t>l</w:t>
      </w:r>
      <w:r>
        <w:rPr>
          <w:rFonts w:ascii="Arial" w:eastAsia="Calibri" w:hAnsi="Arial" w:cs="Arial"/>
          <w:sz w:val="20"/>
          <w:vertAlign w:val="superscript"/>
          <w:lang w:val="it-IT"/>
        </w:rPr>
        <w:t xml:space="preserve"> </w:t>
      </w:r>
      <w:r w:rsidRPr="00BF2DC2">
        <w:rPr>
          <w:rFonts w:ascii="Arial" w:eastAsia="Calibri" w:hAnsi="Arial" w:cs="Arial"/>
          <w:sz w:val="20"/>
          <w:lang w:val="it-IT"/>
        </w:rPr>
        <w:t>Health Services Research Unit, IMIM-Hospital del Mar Medical Research Institute, Barcelona, Spain.</w:t>
      </w:r>
    </w:p>
    <w:p w14:paraId="315CF6D2" w14:textId="77777777" w:rsidR="005F104B" w:rsidRPr="0088353A" w:rsidRDefault="005F104B" w:rsidP="005F104B">
      <w:pPr>
        <w:spacing w:after="200" w:line="480" w:lineRule="auto"/>
        <w:jc w:val="both"/>
        <w:rPr>
          <w:rFonts w:ascii="Arial" w:eastAsia="Calibri" w:hAnsi="Arial" w:cs="Arial"/>
          <w:sz w:val="20"/>
          <w:lang w:val="it-IT"/>
        </w:rPr>
      </w:pPr>
      <w:r w:rsidRPr="00BF2DC2">
        <w:rPr>
          <w:rFonts w:ascii="Arial" w:eastAsia="Calibri" w:hAnsi="Arial" w:cs="Arial"/>
          <w:sz w:val="20"/>
          <w:vertAlign w:val="superscript"/>
          <w:lang w:val="it-IT"/>
        </w:rPr>
        <w:t>m</w:t>
      </w:r>
      <w:r>
        <w:rPr>
          <w:rFonts w:ascii="Arial" w:eastAsia="Calibri" w:hAnsi="Arial" w:cs="Arial"/>
          <w:sz w:val="20"/>
          <w:vertAlign w:val="superscript"/>
          <w:lang w:val="it-IT"/>
        </w:rPr>
        <w:t xml:space="preserve"> </w:t>
      </w:r>
      <w:r>
        <w:rPr>
          <w:rFonts w:ascii="Arial" w:eastAsia="Calibri" w:hAnsi="Arial" w:cs="Arial"/>
          <w:sz w:val="20"/>
          <w:lang w:val="it-IT"/>
        </w:rPr>
        <w:t xml:space="preserve">Dept. Experimental and Health Sciences, </w:t>
      </w:r>
      <w:r w:rsidRPr="00BF2DC2">
        <w:rPr>
          <w:rFonts w:ascii="Arial" w:eastAsia="Calibri" w:hAnsi="Arial" w:cs="Arial"/>
          <w:sz w:val="20"/>
          <w:lang w:val="it-IT"/>
        </w:rPr>
        <w:t>Pompeu Fabra University (UPF), Barcelona, Spain.</w:t>
      </w:r>
    </w:p>
    <w:p w14:paraId="56759680" w14:textId="77777777" w:rsidR="005F104B" w:rsidRPr="00BF322E" w:rsidRDefault="005F104B" w:rsidP="005F104B">
      <w:pPr>
        <w:spacing w:after="200" w:line="480" w:lineRule="auto"/>
        <w:jc w:val="both"/>
        <w:rPr>
          <w:rFonts w:ascii="Arial" w:eastAsia="Calibri" w:hAnsi="Arial" w:cs="Arial"/>
          <w:b/>
          <w:sz w:val="20"/>
          <w:lang w:val="en-US"/>
        </w:rPr>
      </w:pPr>
    </w:p>
    <w:p w14:paraId="781B9FE3" w14:textId="77777777" w:rsidR="005F104B" w:rsidRPr="0088353A" w:rsidRDefault="005F104B" w:rsidP="005F104B">
      <w:pPr>
        <w:spacing w:after="200" w:line="480" w:lineRule="auto"/>
        <w:jc w:val="both"/>
        <w:rPr>
          <w:rFonts w:ascii="Arial" w:eastAsia="Calibri" w:hAnsi="Arial" w:cs="Arial"/>
          <w:b/>
          <w:sz w:val="20"/>
          <w:lang w:val="en-US"/>
        </w:rPr>
      </w:pPr>
      <w:r>
        <w:rPr>
          <w:rFonts w:ascii="Arial" w:eastAsia="Calibri" w:hAnsi="Arial" w:cs="Arial"/>
          <w:b/>
          <w:sz w:val="20"/>
          <w:lang w:val="en-US"/>
        </w:rPr>
        <w:t>Corresponding author</w:t>
      </w:r>
    </w:p>
    <w:p w14:paraId="56D1BD2D" w14:textId="77777777" w:rsidR="005F104B" w:rsidRPr="0088353A" w:rsidRDefault="005F104B" w:rsidP="005F104B">
      <w:pPr>
        <w:spacing w:after="200" w:line="480" w:lineRule="auto"/>
        <w:jc w:val="both"/>
        <w:rPr>
          <w:rFonts w:ascii="Arial" w:eastAsia="Calibri" w:hAnsi="Arial" w:cs="Arial"/>
          <w:sz w:val="20"/>
          <w:lang w:val="en-US"/>
        </w:rPr>
      </w:pPr>
      <w:r>
        <w:rPr>
          <w:rFonts w:ascii="Arial" w:eastAsia="Calibri" w:hAnsi="Arial" w:cs="Arial"/>
          <w:sz w:val="20"/>
          <w:lang w:val="en-US"/>
        </w:rPr>
        <w:t>Dr. M</w:t>
      </w:r>
      <w:r w:rsidRPr="0088353A">
        <w:rPr>
          <w:rFonts w:ascii="Arial" w:eastAsia="Calibri" w:hAnsi="Arial" w:cs="Arial"/>
          <w:sz w:val="20"/>
          <w:lang w:val="en-US"/>
        </w:rPr>
        <w:t xml:space="preserve"> Rubio-Valera</w:t>
      </w:r>
    </w:p>
    <w:p w14:paraId="47534EF9" w14:textId="77777777" w:rsidR="005F104B" w:rsidRPr="0088353A" w:rsidRDefault="005F104B" w:rsidP="005F104B">
      <w:pPr>
        <w:spacing w:after="200" w:line="480" w:lineRule="auto"/>
        <w:jc w:val="both"/>
        <w:rPr>
          <w:rFonts w:ascii="Arial" w:eastAsia="Calibri" w:hAnsi="Arial" w:cs="Arial"/>
          <w:sz w:val="20"/>
          <w:lang w:val="en-US"/>
        </w:rPr>
      </w:pPr>
      <w:r w:rsidRPr="0088353A">
        <w:rPr>
          <w:rFonts w:ascii="Arial" w:eastAsia="Calibri" w:hAnsi="Arial" w:cs="Arial"/>
          <w:sz w:val="20"/>
          <w:lang w:val="en-US"/>
        </w:rPr>
        <w:t xml:space="preserve">Research &amp; Development Unit, </w:t>
      </w:r>
    </w:p>
    <w:p w14:paraId="62098850" w14:textId="77777777" w:rsidR="005F104B" w:rsidRPr="00E36BE0" w:rsidRDefault="005F104B" w:rsidP="005F104B">
      <w:pPr>
        <w:spacing w:after="200" w:line="480" w:lineRule="auto"/>
        <w:jc w:val="both"/>
        <w:rPr>
          <w:rFonts w:ascii="Arial" w:eastAsia="Calibri" w:hAnsi="Arial" w:cs="Arial"/>
          <w:sz w:val="20"/>
          <w:lang w:val="en-GB"/>
        </w:rPr>
      </w:pPr>
      <w:r w:rsidRPr="00E36BE0">
        <w:rPr>
          <w:rFonts w:ascii="Arial" w:eastAsia="Calibri" w:hAnsi="Arial" w:cs="Arial"/>
          <w:sz w:val="20"/>
          <w:lang w:val="en-GB"/>
        </w:rPr>
        <w:t>Parc Sanitari Sant Joan de Déu</w:t>
      </w:r>
    </w:p>
    <w:p w14:paraId="22BF4772" w14:textId="77777777" w:rsidR="005F104B" w:rsidRPr="0088353A" w:rsidRDefault="005F104B" w:rsidP="005F104B">
      <w:pPr>
        <w:spacing w:after="200" w:line="480" w:lineRule="auto"/>
        <w:jc w:val="both"/>
        <w:rPr>
          <w:rFonts w:ascii="Arial" w:eastAsia="Calibri" w:hAnsi="Arial" w:cs="Arial"/>
          <w:sz w:val="20"/>
        </w:rPr>
      </w:pPr>
      <w:r w:rsidRPr="0088353A">
        <w:rPr>
          <w:rFonts w:ascii="Arial" w:eastAsia="Calibri" w:hAnsi="Arial" w:cs="Arial"/>
          <w:sz w:val="20"/>
        </w:rPr>
        <w:t>C/ Dr. Antoni Pujadas 42, 08830</w:t>
      </w:r>
    </w:p>
    <w:p w14:paraId="1F24A6D9" w14:textId="77777777" w:rsidR="005F104B" w:rsidRPr="0088353A" w:rsidRDefault="005F104B" w:rsidP="005F104B">
      <w:pPr>
        <w:spacing w:after="200" w:line="480" w:lineRule="auto"/>
        <w:jc w:val="both"/>
        <w:rPr>
          <w:rFonts w:ascii="Arial" w:eastAsia="Calibri" w:hAnsi="Arial" w:cs="Arial"/>
          <w:sz w:val="20"/>
        </w:rPr>
      </w:pPr>
      <w:r w:rsidRPr="0088353A">
        <w:rPr>
          <w:rFonts w:ascii="Arial" w:eastAsia="Calibri" w:hAnsi="Arial" w:cs="Arial"/>
          <w:sz w:val="20"/>
        </w:rPr>
        <w:t>Sant Boi de Llobregat, Barcelona, Spain</w:t>
      </w:r>
    </w:p>
    <w:p w14:paraId="5C21A2C7" w14:textId="77777777" w:rsidR="005F104B" w:rsidRPr="0088353A" w:rsidRDefault="005F104B" w:rsidP="005F104B">
      <w:pPr>
        <w:spacing w:after="200" w:line="480" w:lineRule="auto"/>
        <w:jc w:val="both"/>
        <w:rPr>
          <w:rFonts w:ascii="Arial" w:eastAsia="Calibri" w:hAnsi="Arial" w:cs="Arial"/>
          <w:sz w:val="20"/>
          <w:lang w:val="en-US"/>
        </w:rPr>
      </w:pPr>
      <w:r w:rsidRPr="0088353A">
        <w:rPr>
          <w:rFonts w:ascii="Arial" w:eastAsia="Calibri" w:hAnsi="Arial" w:cs="Arial"/>
          <w:sz w:val="20"/>
          <w:lang w:val="en-US"/>
        </w:rPr>
        <w:t>Tel: +34 936406350 (Ext. 1-2540)</w:t>
      </w:r>
    </w:p>
    <w:p w14:paraId="116EA53B" w14:textId="77777777" w:rsidR="005F104B" w:rsidRPr="0088353A" w:rsidRDefault="005F104B" w:rsidP="005F104B">
      <w:pPr>
        <w:spacing w:after="200" w:line="480" w:lineRule="auto"/>
        <w:jc w:val="both"/>
        <w:rPr>
          <w:rFonts w:ascii="Arial" w:eastAsia="Calibri" w:hAnsi="Arial" w:cs="Arial"/>
          <w:sz w:val="20"/>
          <w:lang w:val="en-US"/>
        </w:rPr>
      </w:pPr>
      <w:r w:rsidRPr="0088353A">
        <w:rPr>
          <w:rFonts w:ascii="Arial" w:eastAsia="Calibri" w:hAnsi="Arial" w:cs="Arial"/>
          <w:sz w:val="20"/>
          <w:lang w:val="en-US"/>
        </w:rPr>
        <w:t>Email address: mrubio@pssjd.org</w:t>
      </w:r>
    </w:p>
    <w:p w14:paraId="407E464F" w14:textId="77777777" w:rsidR="00BE3BFE" w:rsidRDefault="005413E9" w:rsidP="00BE3BFE">
      <w:pPr>
        <w:spacing w:line="480" w:lineRule="auto"/>
        <w:jc w:val="both"/>
        <w:rPr>
          <w:rFonts w:ascii="Times New Roman" w:hAnsi="Times New Roman" w:cs="Times New Roman"/>
          <w:lang w:val="en-US"/>
        </w:rPr>
      </w:pPr>
      <w:r w:rsidRPr="004C1910">
        <w:rPr>
          <w:rFonts w:ascii="Times New Roman" w:hAnsi="Times New Roman" w:cs="Times New Roman"/>
          <w:b/>
          <w:lang w:val="en-US"/>
        </w:rPr>
        <w:t>Abstract</w:t>
      </w:r>
      <w:r w:rsidRPr="004C1910">
        <w:rPr>
          <w:rFonts w:ascii="Times New Roman" w:hAnsi="Times New Roman" w:cs="Times New Roman"/>
          <w:lang w:val="en-US"/>
        </w:rPr>
        <w:t xml:space="preserve"> </w:t>
      </w:r>
    </w:p>
    <w:p w14:paraId="475C2967" w14:textId="5B70580E" w:rsidR="002438AF" w:rsidRPr="00D85275" w:rsidRDefault="00734E7A" w:rsidP="002438AF">
      <w:pPr>
        <w:spacing w:line="480" w:lineRule="auto"/>
        <w:jc w:val="both"/>
        <w:rPr>
          <w:rFonts w:ascii="Times New Roman" w:hAnsi="Times New Roman" w:cs="Times New Roman"/>
          <w:b/>
          <w:lang w:val="en-GB"/>
        </w:rPr>
      </w:pPr>
      <w:r>
        <w:rPr>
          <w:rFonts w:ascii="Times New Roman" w:hAnsi="Times New Roman" w:cs="Times New Roman"/>
          <w:b/>
          <w:lang w:val="en-GB"/>
        </w:rPr>
        <w:t>Background</w:t>
      </w:r>
    </w:p>
    <w:p w14:paraId="35AD330E" w14:textId="0C437642" w:rsidR="002438AF" w:rsidRPr="00D85275" w:rsidRDefault="00BF322E" w:rsidP="002438AF">
      <w:pPr>
        <w:spacing w:line="480" w:lineRule="auto"/>
        <w:jc w:val="both"/>
        <w:rPr>
          <w:rFonts w:ascii="Times New Roman" w:hAnsi="Times New Roman" w:cs="Times New Roman"/>
          <w:lang w:val="en-GB"/>
        </w:rPr>
      </w:pPr>
      <w:r w:rsidRPr="00BF322E">
        <w:rPr>
          <w:rFonts w:ascii="Times New Roman" w:hAnsi="Times New Roman" w:cs="Times New Roman"/>
          <w:lang w:val="en-GB"/>
        </w:rPr>
        <w:t xml:space="preserve">The purpose of this study was </w:t>
      </w:r>
      <w:r>
        <w:rPr>
          <w:rFonts w:ascii="Times New Roman" w:hAnsi="Times New Roman" w:cs="Times New Roman"/>
          <w:lang w:val="en-GB"/>
        </w:rPr>
        <w:t xml:space="preserve">to </w:t>
      </w:r>
      <w:r w:rsidR="002438AF" w:rsidRPr="00D85275">
        <w:rPr>
          <w:rFonts w:ascii="Times New Roman" w:hAnsi="Times New Roman" w:cs="Times New Roman"/>
          <w:lang w:val="en-GB"/>
        </w:rPr>
        <w:t xml:space="preserve">evaluate the cost-effectiveness of antidepressants vs </w:t>
      </w:r>
      <w:r w:rsidR="00F5081B">
        <w:rPr>
          <w:rFonts w:ascii="Times New Roman" w:hAnsi="Times New Roman" w:cs="Times New Roman"/>
          <w:lang w:val="en-GB"/>
        </w:rPr>
        <w:t>active monitoring (</w:t>
      </w:r>
      <w:r w:rsidR="002438AF" w:rsidRPr="00D85275">
        <w:rPr>
          <w:rFonts w:ascii="Times New Roman" w:hAnsi="Times New Roman" w:cs="Times New Roman"/>
          <w:lang w:val="en-GB"/>
        </w:rPr>
        <w:t>AM</w:t>
      </w:r>
      <w:r w:rsidR="00F5081B">
        <w:rPr>
          <w:rFonts w:ascii="Times New Roman" w:hAnsi="Times New Roman" w:cs="Times New Roman"/>
          <w:lang w:val="en-GB"/>
        </w:rPr>
        <w:t>)</w:t>
      </w:r>
      <w:r w:rsidR="002438AF" w:rsidRPr="00D85275">
        <w:rPr>
          <w:rFonts w:ascii="Times New Roman" w:hAnsi="Times New Roman" w:cs="Times New Roman"/>
          <w:lang w:val="en-GB"/>
        </w:rPr>
        <w:t xml:space="preserve"> for patients with mild-moderate </w:t>
      </w:r>
      <w:r w:rsidR="006B7A9E">
        <w:rPr>
          <w:rFonts w:ascii="Times New Roman" w:hAnsi="Times New Roman" w:cs="Times New Roman"/>
          <w:lang w:val="en-GB"/>
        </w:rPr>
        <w:t>major depressive disorder</w:t>
      </w:r>
      <w:r w:rsidR="002438AF" w:rsidRPr="00D85275">
        <w:rPr>
          <w:rFonts w:ascii="Times New Roman" w:hAnsi="Times New Roman" w:cs="Times New Roman"/>
          <w:lang w:val="en-GB"/>
        </w:rPr>
        <w:t>.</w:t>
      </w:r>
    </w:p>
    <w:p w14:paraId="508C635F" w14:textId="77777777" w:rsidR="002438AF" w:rsidRPr="00D85275" w:rsidRDefault="002438AF" w:rsidP="002438AF">
      <w:pPr>
        <w:spacing w:line="480" w:lineRule="auto"/>
        <w:jc w:val="both"/>
        <w:rPr>
          <w:rFonts w:ascii="Times New Roman" w:hAnsi="Times New Roman" w:cs="Times New Roman"/>
          <w:b/>
          <w:lang w:val="en-GB"/>
        </w:rPr>
      </w:pPr>
      <w:r w:rsidRPr="00D85275">
        <w:rPr>
          <w:rFonts w:ascii="Times New Roman" w:hAnsi="Times New Roman" w:cs="Times New Roman"/>
          <w:b/>
          <w:lang w:val="en-GB"/>
        </w:rPr>
        <w:t>Methods</w:t>
      </w:r>
    </w:p>
    <w:p w14:paraId="642F1FE2" w14:textId="77777777" w:rsidR="00D1140F" w:rsidRDefault="00F5081B" w:rsidP="002438AF">
      <w:pPr>
        <w:spacing w:line="480" w:lineRule="auto"/>
        <w:jc w:val="both"/>
      </w:pPr>
      <w:r>
        <w:rPr>
          <w:rFonts w:ascii="Times New Roman" w:hAnsi="Times New Roman" w:cs="Times New Roman"/>
          <w:lang w:val="en-GB"/>
        </w:rPr>
        <w:t>A</w:t>
      </w:r>
      <w:r w:rsidR="002438AF" w:rsidRPr="00D85275">
        <w:rPr>
          <w:rFonts w:ascii="Times New Roman" w:hAnsi="Times New Roman" w:cs="Times New Roman"/>
          <w:lang w:val="en-GB"/>
        </w:rPr>
        <w:t xml:space="preserve"> 12-month observational prospective controlled trial. </w:t>
      </w:r>
      <w:r w:rsidR="00AD5FAC" w:rsidRPr="00AD5FAC">
        <w:rPr>
          <w:rFonts w:ascii="Times New Roman" w:hAnsi="Times New Roman" w:cs="Times New Roman"/>
          <w:lang w:val="en-GB"/>
        </w:rPr>
        <w:t xml:space="preserve">Adult patients with a new episode of major depression were invited to participate </w:t>
      </w:r>
      <w:r w:rsidR="00AD5FAC">
        <w:rPr>
          <w:rFonts w:ascii="Times New Roman" w:hAnsi="Times New Roman" w:cs="Times New Roman"/>
          <w:lang w:val="en-GB"/>
        </w:rPr>
        <w:t xml:space="preserve">and </w:t>
      </w:r>
      <w:r w:rsidR="00AD5FAC" w:rsidRPr="00AD5FAC">
        <w:rPr>
          <w:rFonts w:ascii="Times New Roman" w:hAnsi="Times New Roman" w:cs="Times New Roman"/>
          <w:lang w:val="en-GB"/>
        </w:rPr>
        <w:t xml:space="preserve">assigned to AM or antidepressants according to </w:t>
      </w:r>
      <w:r w:rsidR="00E63695">
        <w:rPr>
          <w:rFonts w:ascii="Times New Roman" w:hAnsi="Times New Roman" w:cs="Times New Roman"/>
          <w:lang w:val="en-GB"/>
        </w:rPr>
        <w:t>General Practitioners’ (GP)</w:t>
      </w:r>
      <w:r w:rsidR="00AD5FAC" w:rsidRPr="00AD5FAC">
        <w:rPr>
          <w:rFonts w:ascii="Times New Roman" w:hAnsi="Times New Roman" w:cs="Times New Roman"/>
          <w:lang w:val="en-GB"/>
        </w:rPr>
        <w:t xml:space="preserve"> clinical judgment and experience. Patients were evaluated at baseline, 6 and 12-month follow-up. </w:t>
      </w:r>
      <w:r w:rsidR="00AD5FAC">
        <w:rPr>
          <w:rFonts w:ascii="Times New Roman" w:hAnsi="Times New Roman" w:cs="Times New Roman"/>
          <w:lang w:val="en-GB"/>
        </w:rPr>
        <w:t>Q</w:t>
      </w:r>
      <w:r w:rsidR="00AD5FAC" w:rsidRPr="00AD5FAC">
        <w:rPr>
          <w:rFonts w:ascii="Times New Roman" w:hAnsi="Times New Roman" w:cs="Times New Roman"/>
          <w:lang w:val="en-GB"/>
        </w:rPr>
        <w:t>uality adjusted life years (QALYs) gained</w:t>
      </w:r>
      <w:r w:rsidR="00AD5FAC">
        <w:rPr>
          <w:rFonts w:ascii="Times New Roman" w:hAnsi="Times New Roman" w:cs="Times New Roman"/>
          <w:lang w:val="en-GB"/>
        </w:rPr>
        <w:t xml:space="preserve"> were estimated and used to</w:t>
      </w:r>
      <w:r w:rsidR="002438AF" w:rsidRPr="00D85275">
        <w:rPr>
          <w:rFonts w:ascii="Times New Roman" w:hAnsi="Times New Roman" w:cs="Times New Roman"/>
          <w:lang w:val="en-GB"/>
        </w:rPr>
        <w:t xml:space="preserve"> calculate incremental cost-utility ratios (ICUR)</w:t>
      </w:r>
      <w:r w:rsidR="00AD5FAC">
        <w:rPr>
          <w:rFonts w:ascii="Times New Roman" w:hAnsi="Times New Roman" w:cs="Times New Roman"/>
          <w:lang w:val="en-GB"/>
        </w:rPr>
        <w:t xml:space="preserve"> from the healthcare and government perspective</w:t>
      </w:r>
      <w:r w:rsidR="002438AF" w:rsidRPr="00D85275">
        <w:rPr>
          <w:rFonts w:ascii="Times New Roman" w:hAnsi="Times New Roman" w:cs="Times New Roman"/>
          <w:lang w:val="en-GB"/>
        </w:rPr>
        <w:t>.</w:t>
      </w:r>
      <w:r w:rsidR="00B5121C" w:rsidRPr="00B5121C">
        <w:rPr>
          <w:rFonts w:ascii="Times New Roman" w:hAnsi="Times New Roman" w:cs="Times New Roman"/>
          <w:lang w:val="en-US"/>
        </w:rPr>
        <w:t xml:space="preserve"> </w:t>
      </w:r>
      <w:r w:rsidR="00B5121C">
        <w:rPr>
          <w:rFonts w:ascii="Times New Roman" w:hAnsi="Times New Roman" w:cs="Times New Roman"/>
          <w:lang w:val="en-US"/>
        </w:rPr>
        <w:lastRenderedPageBreak/>
        <w:t>To minimize the bias resulting from non-randomization, a p</w:t>
      </w:r>
      <w:r w:rsidR="00B5121C" w:rsidRPr="00BE3BFE">
        <w:rPr>
          <w:rFonts w:ascii="Times New Roman" w:hAnsi="Times New Roman" w:cs="Times New Roman"/>
          <w:lang w:val="en-US"/>
        </w:rPr>
        <w:t>ropensity score-based method was used</w:t>
      </w:r>
      <w:r w:rsidR="00B5121C">
        <w:t>.</w:t>
      </w:r>
    </w:p>
    <w:p w14:paraId="3A2CBFDE" w14:textId="7EE71A7C" w:rsidR="002438AF" w:rsidRPr="00D85275" w:rsidRDefault="002438AF" w:rsidP="002438AF">
      <w:pPr>
        <w:spacing w:line="480" w:lineRule="auto"/>
        <w:jc w:val="both"/>
        <w:rPr>
          <w:rFonts w:ascii="Times New Roman" w:hAnsi="Times New Roman" w:cs="Times New Roman"/>
          <w:b/>
          <w:lang w:val="en-GB"/>
        </w:rPr>
      </w:pPr>
      <w:r w:rsidRPr="00D85275">
        <w:rPr>
          <w:rFonts w:ascii="Times New Roman" w:hAnsi="Times New Roman" w:cs="Times New Roman"/>
          <w:b/>
          <w:lang w:val="en-GB"/>
        </w:rPr>
        <w:t>Results</w:t>
      </w:r>
    </w:p>
    <w:p w14:paraId="61C97832" w14:textId="77777777" w:rsidR="002438AF" w:rsidRPr="00D85275" w:rsidRDefault="002438AF" w:rsidP="002438AF">
      <w:pPr>
        <w:spacing w:line="480" w:lineRule="auto"/>
        <w:jc w:val="both"/>
        <w:rPr>
          <w:rFonts w:ascii="Times New Roman" w:hAnsi="Times New Roman" w:cs="Times New Roman"/>
          <w:lang w:val="en-GB"/>
        </w:rPr>
      </w:pPr>
      <w:r w:rsidRPr="00D85275">
        <w:rPr>
          <w:rFonts w:ascii="Times New Roman" w:hAnsi="Times New Roman" w:cs="Times New Roman"/>
          <w:lang w:val="en-GB"/>
        </w:rPr>
        <w:t>At 6 and 12-month follow-up, ICUR was 2,549</w:t>
      </w:r>
      <w:r w:rsidR="00F5081B">
        <w:rPr>
          <w:rFonts w:ascii="Times New Roman" w:hAnsi="Times New Roman" w:cs="Times New Roman"/>
          <w:lang w:val="en-GB"/>
        </w:rPr>
        <w:t xml:space="preserve"> </w:t>
      </w:r>
      <w:r w:rsidRPr="00D85275">
        <w:rPr>
          <w:rFonts w:ascii="Times New Roman" w:hAnsi="Times New Roman" w:cs="Times New Roman"/>
          <w:lang w:val="en-GB"/>
        </w:rPr>
        <w:t>€/QALY and 6,142</w:t>
      </w:r>
      <w:r w:rsidR="00F5081B">
        <w:rPr>
          <w:rFonts w:ascii="Times New Roman" w:hAnsi="Times New Roman" w:cs="Times New Roman"/>
          <w:lang w:val="en-GB"/>
        </w:rPr>
        <w:t xml:space="preserve"> </w:t>
      </w:r>
      <w:r w:rsidRPr="00D85275">
        <w:rPr>
          <w:rFonts w:ascii="Times New Roman" w:hAnsi="Times New Roman" w:cs="Times New Roman"/>
          <w:lang w:val="en-GB"/>
        </w:rPr>
        <w:t>€/QALY, respectively, in favor of antidepressants. At 6 months, for a willingness to pay (WTP) of 25,000</w:t>
      </w:r>
      <w:r w:rsidR="00F5081B">
        <w:rPr>
          <w:rFonts w:ascii="Times New Roman" w:hAnsi="Times New Roman" w:cs="Times New Roman"/>
          <w:lang w:val="en-GB"/>
        </w:rPr>
        <w:t xml:space="preserve"> </w:t>
      </w:r>
      <w:r w:rsidRPr="00D85275">
        <w:rPr>
          <w:rFonts w:ascii="Times New Roman" w:hAnsi="Times New Roman" w:cs="Times New Roman"/>
          <w:lang w:val="en-GB"/>
        </w:rPr>
        <w:t>€/QALY, antidepressants had a probability of 0.89 (healthcare perspective) and 0.81 (government perspective) of being more cost-effective than AM. At 12 months, this probability was 0.86 (healthcare perspective) and 0.73 (government perspective).</w:t>
      </w:r>
    </w:p>
    <w:p w14:paraId="0914FA1F" w14:textId="77777777" w:rsidR="002438AF" w:rsidRPr="00D85275" w:rsidRDefault="002438AF" w:rsidP="002438AF">
      <w:pPr>
        <w:spacing w:line="480" w:lineRule="auto"/>
        <w:jc w:val="both"/>
        <w:rPr>
          <w:rFonts w:ascii="Times New Roman" w:hAnsi="Times New Roman" w:cs="Times New Roman"/>
          <w:b/>
          <w:lang w:val="en-GB"/>
        </w:rPr>
      </w:pPr>
      <w:r w:rsidRPr="00D85275">
        <w:rPr>
          <w:rFonts w:ascii="Times New Roman" w:hAnsi="Times New Roman" w:cs="Times New Roman"/>
          <w:b/>
          <w:lang w:val="en-GB"/>
        </w:rPr>
        <w:t>Conclusions</w:t>
      </w:r>
    </w:p>
    <w:p w14:paraId="04CC3694" w14:textId="4368A83D" w:rsidR="002438AF" w:rsidRPr="00F604A8" w:rsidRDefault="000324E0" w:rsidP="002438AF">
      <w:pPr>
        <w:spacing w:line="480" w:lineRule="auto"/>
        <w:jc w:val="both"/>
        <w:rPr>
          <w:rFonts w:ascii="Times New Roman" w:hAnsi="Times New Roman" w:cs="Times New Roman"/>
          <w:lang w:val="en-GB"/>
        </w:rPr>
      </w:pPr>
      <w:r w:rsidRPr="000324E0">
        <w:rPr>
          <w:rFonts w:ascii="Times New Roman" w:hAnsi="Times New Roman" w:cs="Times New Roman"/>
          <w:lang w:val="en-GB"/>
        </w:rPr>
        <w:t>Incremental cost-utility ratios favor pharmacological treatment as a first-line approach for patients with mild-moderate major depressive disorder.</w:t>
      </w:r>
      <w:r>
        <w:rPr>
          <w:rFonts w:ascii="Times New Roman" w:hAnsi="Times New Roman" w:cs="Times New Roman"/>
          <w:lang w:val="en-GB"/>
        </w:rPr>
        <w:t xml:space="preserve"> </w:t>
      </w:r>
      <w:r w:rsidR="00F604A8">
        <w:rPr>
          <w:rFonts w:ascii="Times New Roman" w:hAnsi="Times New Roman" w:cs="Times New Roman"/>
          <w:lang w:val="en-GB"/>
        </w:rPr>
        <w:t>While our</w:t>
      </w:r>
      <w:r w:rsidR="002438AF" w:rsidRPr="00D85275">
        <w:rPr>
          <w:rFonts w:ascii="Times New Roman" w:hAnsi="Times New Roman" w:cs="Times New Roman"/>
          <w:lang w:val="en-GB"/>
        </w:rPr>
        <w:t xml:space="preserve"> results should be interpreted with caution and further </w:t>
      </w:r>
      <w:r w:rsidR="00E63695">
        <w:rPr>
          <w:rFonts w:ascii="Times New Roman" w:hAnsi="Times New Roman" w:cs="Times New Roman"/>
          <w:lang w:val="en-GB"/>
        </w:rPr>
        <w:t xml:space="preserve">real world </w:t>
      </w:r>
      <w:r w:rsidR="002438AF" w:rsidRPr="00D85275">
        <w:rPr>
          <w:rFonts w:ascii="Times New Roman" w:hAnsi="Times New Roman" w:cs="Times New Roman"/>
          <w:lang w:val="en-GB"/>
        </w:rPr>
        <w:t>research is needed</w:t>
      </w:r>
      <w:r w:rsidR="00F604A8">
        <w:rPr>
          <w:rFonts w:ascii="Times New Roman" w:hAnsi="Times New Roman" w:cs="Times New Roman"/>
          <w:lang w:val="en-GB"/>
        </w:rPr>
        <w:t>,</w:t>
      </w:r>
      <w:r w:rsidR="002438AF" w:rsidRPr="00D85275">
        <w:rPr>
          <w:rFonts w:ascii="Times New Roman" w:hAnsi="Times New Roman" w:cs="Times New Roman"/>
          <w:lang w:val="en-GB"/>
        </w:rPr>
        <w:t xml:space="preserve"> </w:t>
      </w:r>
      <w:r w:rsidR="003D171B">
        <w:rPr>
          <w:rFonts w:ascii="Times New Roman" w:hAnsi="Times New Roman" w:cs="Times New Roman"/>
          <w:lang w:val="en-GB"/>
        </w:rPr>
        <w:t xml:space="preserve">clinical practice guidelines (CPG) </w:t>
      </w:r>
      <w:r w:rsidR="00F604A8">
        <w:rPr>
          <w:rFonts w:ascii="Times New Roman" w:hAnsi="Times New Roman" w:cs="Times New Roman"/>
          <w:lang w:val="en-GB"/>
        </w:rPr>
        <w:t xml:space="preserve">should consider antidepressant therapy for </w:t>
      </w:r>
      <w:r w:rsidR="002438AF" w:rsidRPr="00D85275">
        <w:rPr>
          <w:rFonts w:ascii="Times New Roman" w:hAnsi="Times New Roman" w:cs="Times New Roman"/>
          <w:lang w:val="en-GB"/>
        </w:rPr>
        <w:t>mild-moderate major depressi</w:t>
      </w:r>
      <w:r w:rsidR="00F604A8">
        <w:rPr>
          <w:rFonts w:ascii="Times New Roman" w:hAnsi="Times New Roman" w:cs="Times New Roman"/>
          <w:lang w:val="en-GB"/>
        </w:rPr>
        <w:t>ve patients</w:t>
      </w:r>
      <w:r w:rsidR="002438AF" w:rsidRPr="00D85275">
        <w:rPr>
          <w:rFonts w:ascii="Times New Roman" w:hAnsi="Times New Roman" w:cs="Times New Roman"/>
          <w:lang w:val="en-GB"/>
        </w:rPr>
        <w:t xml:space="preserve"> </w:t>
      </w:r>
      <w:r w:rsidR="00F604A8">
        <w:rPr>
          <w:rFonts w:ascii="Times New Roman" w:hAnsi="Times New Roman" w:cs="Times New Roman"/>
          <w:lang w:val="en-GB"/>
        </w:rPr>
        <w:t xml:space="preserve">as an alternative to active monitoring </w:t>
      </w:r>
      <w:r w:rsidR="002438AF" w:rsidRPr="00D85275">
        <w:rPr>
          <w:rFonts w:ascii="Times New Roman" w:hAnsi="Times New Roman" w:cs="Times New Roman"/>
          <w:lang w:val="en-GB"/>
        </w:rPr>
        <w:t>in PC.</w:t>
      </w:r>
      <w:r w:rsidR="00E63695">
        <w:rPr>
          <w:rFonts w:ascii="Times New Roman" w:hAnsi="Times New Roman" w:cs="Times New Roman"/>
          <w:lang w:val="en-GB"/>
        </w:rPr>
        <w:t xml:space="preserve"> </w:t>
      </w:r>
    </w:p>
    <w:p w14:paraId="295691E6" w14:textId="026B2147" w:rsidR="00BE3BFE" w:rsidRPr="001D2EDC" w:rsidRDefault="001D2EDC" w:rsidP="004C1910">
      <w:pPr>
        <w:spacing w:line="480" w:lineRule="auto"/>
        <w:jc w:val="both"/>
        <w:rPr>
          <w:rFonts w:ascii="Times New Roman" w:hAnsi="Times New Roman" w:cs="Times New Roman"/>
          <w:b/>
        </w:rPr>
      </w:pPr>
      <w:r w:rsidRPr="001D2EDC">
        <w:rPr>
          <w:rFonts w:ascii="Times New Roman" w:hAnsi="Times New Roman" w:cs="Times New Roman"/>
          <w:b/>
        </w:rPr>
        <w:t>Keywords</w:t>
      </w:r>
    </w:p>
    <w:p w14:paraId="0634E9E6" w14:textId="77777777" w:rsidR="001D2EDC" w:rsidRPr="001328BA" w:rsidRDefault="001D2EDC" w:rsidP="001D2EDC">
      <w:pPr>
        <w:spacing w:line="480" w:lineRule="auto"/>
        <w:jc w:val="both"/>
        <w:rPr>
          <w:rStyle w:val="Ninguno"/>
          <w:rFonts w:ascii="Times New Roman" w:hAnsi="Times New Roman" w:cs="Times New Roman"/>
          <w:lang w:val="en-GB"/>
        </w:rPr>
      </w:pPr>
      <w:r w:rsidRPr="001328BA">
        <w:rPr>
          <w:rStyle w:val="Ninguno"/>
          <w:rFonts w:ascii="Times New Roman" w:hAnsi="Times New Roman" w:cs="Times New Roman"/>
          <w:lang w:val="en-GB"/>
        </w:rPr>
        <w:t>Depression</w:t>
      </w:r>
      <w:r>
        <w:rPr>
          <w:rStyle w:val="Ninguno"/>
          <w:rFonts w:ascii="Times New Roman" w:hAnsi="Times New Roman" w:cs="Times New Roman"/>
          <w:lang w:val="en-GB"/>
        </w:rPr>
        <w:t>/Mood Disorder</w:t>
      </w:r>
      <w:r w:rsidRPr="001328BA">
        <w:rPr>
          <w:rStyle w:val="Ninguno"/>
          <w:rFonts w:ascii="Times New Roman" w:hAnsi="Times New Roman" w:cs="Times New Roman"/>
          <w:lang w:val="en-GB"/>
        </w:rPr>
        <w:t>; Antidepressant</w:t>
      </w:r>
      <w:r>
        <w:rPr>
          <w:rStyle w:val="Ninguno"/>
          <w:rFonts w:ascii="Times New Roman" w:hAnsi="Times New Roman" w:cs="Times New Roman"/>
          <w:lang w:val="en-GB"/>
        </w:rPr>
        <w:t xml:space="preserve"> Medication</w:t>
      </w:r>
      <w:r w:rsidRPr="001328BA">
        <w:rPr>
          <w:rStyle w:val="Ninguno"/>
          <w:rFonts w:ascii="Times New Roman" w:hAnsi="Times New Roman" w:cs="Times New Roman"/>
          <w:lang w:val="en-GB"/>
        </w:rPr>
        <w:t xml:space="preserve">; Primary Care; </w:t>
      </w:r>
      <w:r>
        <w:rPr>
          <w:rStyle w:val="Ninguno"/>
          <w:rFonts w:ascii="Times New Roman" w:hAnsi="Times New Roman" w:cs="Times New Roman"/>
          <w:lang w:val="en-GB"/>
        </w:rPr>
        <w:t>Health economics</w:t>
      </w:r>
      <w:r w:rsidRPr="001328BA">
        <w:rPr>
          <w:rStyle w:val="Ninguno"/>
          <w:rFonts w:ascii="Times New Roman" w:hAnsi="Times New Roman" w:cs="Times New Roman"/>
          <w:lang w:val="en-GB"/>
        </w:rPr>
        <w:t>.</w:t>
      </w:r>
    </w:p>
    <w:p w14:paraId="14EA7A86" w14:textId="77777777" w:rsidR="001D2EDC" w:rsidRDefault="001D2EDC" w:rsidP="004C1910">
      <w:pPr>
        <w:spacing w:line="480" w:lineRule="auto"/>
        <w:jc w:val="both"/>
        <w:rPr>
          <w:rStyle w:val="Ninguno"/>
          <w:rFonts w:ascii="Times New Roman" w:hAnsi="Times New Roman" w:cs="Times New Roman"/>
          <w:b/>
          <w:color w:val="FF0000"/>
          <w:lang w:val="en-GB"/>
        </w:rPr>
      </w:pPr>
    </w:p>
    <w:p w14:paraId="7927FEFD" w14:textId="77777777" w:rsidR="00BE3BFE" w:rsidRDefault="00BE3BFE" w:rsidP="004C1910">
      <w:pPr>
        <w:spacing w:line="480" w:lineRule="auto"/>
        <w:jc w:val="both"/>
        <w:rPr>
          <w:rStyle w:val="Ninguno"/>
          <w:rFonts w:ascii="Times New Roman" w:hAnsi="Times New Roman" w:cs="Times New Roman"/>
          <w:b/>
          <w:color w:val="FF0000"/>
          <w:lang w:val="en-GB"/>
        </w:rPr>
      </w:pPr>
    </w:p>
    <w:p w14:paraId="0E6E3955" w14:textId="77777777" w:rsidR="00BE3BFE" w:rsidRDefault="00BE3BFE" w:rsidP="004C1910">
      <w:pPr>
        <w:spacing w:line="480" w:lineRule="auto"/>
        <w:jc w:val="both"/>
        <w:rPr>
          <w:rStyle w:val="Ninguno"/>
          <w:rFonts w:ascii="Times New Roman" w:hAnsi="Times New Roman" w:cs="Times New Roman"/>
          <w:b/>
          <w:color w:val="FF0000"/>
          <w:lang w:val="en-GB"/>
        </w:rPr>
      </w:pPr>
    </w:p>
    <w:p w14:paraId="359A2A73" w14:textId="77777777" w:rsidR="00BE3BFE" w:rsidRDefault="00BE3BFE" w:rsidP="004C1910">
      <w:pPr>
        <w:spacing w:line="480" w:lineRule="auto"/>
        <w:jc w:val="both"/>
        <w:rPr>
          <w:rStyle w:val="Ninguno"/>
          <w:rFonts w:ascii="Times New Roman" w:hAnsi="Times New Roman" w:cs="Times New Roman"/>
          <w:b/>
          <w:color w:val="FF0000"/>
          <w:lang w:val="en-GB"/>
        </w:rPr>
      </w:pPr>
    </w:p>
    <w:p w14:paraId="765B5CEF" w14:textId="77777777" w:rsidR="00BE3BFE" w:rsidRDefault="00BE3BFE" w:rsidP="004C1910">
      <w:pPr>
        <w:spacing w:line="480" w:lineRule="auto"/>
        <w:jc w:val="both"/>
        <w:rPr>
          <w:rStyle w:val="Ninguno"/>
          <w:rFonts w:ascii="Times New Roman" w:hAnsi="Times New Roman" w:cs="Times New Roman"/>
          <w:b/>
          <w:color w:val="FF0000"/>
          <w:lang w:val="en-GB"/>
        </w:rPr>
      </w:pPr>
    </w:p>
    <w:p w14:paraId="2A0930E4" w14:textId="77777777" w:rsidR="00BE3BFE" w:rsidRDefault="00BE3BFE" w:rsidP="004C1910">
      <w:pPr>
        <w:spacing w:line="480" w:lineRule="auto"/>
        <w:jc w:val="both"/>
        <w:rPr>
          <w:rStyle w:val="Ninguno"/>
          <w:rFonts w:ascii="Times New Roman" w:hAnsi="Times New Roman" w:cs="Times New Roman"/>
          <w:b/>
          <w:color w:val="FF0000"/>
          <w:lang w:val="en-GB"/>
        </w:rPr>
      </w:pPr>
    </w:p>
    <w:p w14:paraId="3DA55C3E" w14:textId="77777777" w:rsidR="00BE3BFE" w:rsidRDefault="00BE3BFE" w:rsidP="004C1910">
      <w:pPr>
        <w:spacing w:line="480" w:lineRule="auto"/>
        <w:jc w:val="both"/>
        <w:rPr>
          <w:rStyle w:val="Ninguno"/>
          <w:rFonts w:ascii="Times New Roman" w:hAnsi="Times New Roman" w:cs="Times New Roman"/>
          <w:b/>
          <w:color w:val="FF0000"/>
          <w:lang w:val="en-GB"/>
        </w:rPr>
      </w:pPr>
    </w:p>
    <w:p w14:paraId="0BD07FF5" w14:textId="77777777" w:rsidR="00BE3BFE" w:rsidRDefault="00BE3BFE" w:rsidP="004C1910">
      <w:pPr>
        <w:spacing w:line="480" w:lineRule="auto"/>
        <w:jc w:val="both"/>
        <w:rPr>
          <w:rStyle w:val="Ninguno"/>
          <w:rFonts w:ascii="Times New Roman" w:hAnsi="Times New Roman" w:cs="Times New Roman"/>
          <w:b/>
          <w:color w:val="FF0000"/>
          <w:lang w:val="en-GB"/>
        </w:rPr>
      </w:pPr>
    </w:p>
    <w:p w14:paraId="58C98DC7" w14:textId="77777777" w:rsidR="00BE3BFE" w:rsidRDefault="00BE3BFE" w:rsidP="004C1910">
      <w:pPr>
        <w:spacing w:line="480" w:lineRule="auto"/>
        <w:jc w:val="both"/>
        <w:rPr>
          <w:rStyle w:val="Ninguno"/>
          <w:rFonts w:ascii="Times New Roman" w:hAnsi="Times New Roman" w:cs="Times New Roman"/>
          <w:b/>
          <w:color w:val="FF0000"/>
          <w:lang w:val="en-GB"/>
        </w:rPr>
      </w:pPr>
    </w:p>
    <w:p w14:paraId="4750F8D7" w14:textId="77777777" w:rsidR="00BE3BFE" w:rsidRDefault="00BE3BFE" w:rsidP="004C1910">
      <w:pPr>
        <w:spacing w:line="480" w:lineRule="auto"/>
        <w:jc w:val="both"/>
        <w:rPr>
          <w:rStyle w:val="Ninguno"/>
          <w:rFonts w:ascii="Times New Roman" w:hAnsi="Times New Roman" w:cs="Times New Roman"/>
          <w:b/>
          <w:color w:val="FF0000"/>
          <w:lang w:val="en-GB"/>
        </w:rPr>
      </w:pPr>
    </w:p>
    <w:p w14:paraId="08671904" w14:textId="77777777" w:rsidR="00BE3BFE" w:rsidRDefault="00BE3BFE" w:rsidP="004C1910">
      <w:pPr>
        <w:spacing w:line="480" w:lineRule="auto"/>
        <w:jc w:val="both"/>
        <w:rPr>
          <w:rStyle w:val="Ninguno"/>
          <w:rFonts w:ascii="Times New Roman" w:hAnsi="Times New Roman" w:cs="Times New Roman"/>
          <w:b/>
          <w:color w:val="FF0000"/>
          <w:lang w:val="en-GB"/>
        </w:rPr>
      </w:pPr>
    </w:p>
    <w:p w14:paraId="763757D0" w14:textId="77777777" w:rsidR="00BE3BFE" w:rsidRPr="004C1910" w:rsidRDefault="00BE3BFE" w:rsidP="004C1910">
      <w:pPr>
        <w:spacing w:line="480" w:lineRule="auto"/>
        <w:jc w:val="both"/>
        <w:rPr>
          <w:rStyle w:val="Ninguno"/>
          <w:rFonts w:ascii="Times New Roman" w:hAnsi="Times New Roman" w:cs="Times New Roman"/>
          <w:b/>
          <w:color w:val="FF0000"/>
          <w:lang w:val="en-GB"/>
        </w:rPr>
      </w:pPr>
    </w:p>
    <w:p w14:paraId="4430AA98" w14:textId="77777777" w:rsidR="00BE3BFE" w:rsidRDefault="00BE3BFE" w:rsidP="00BE3BFE">
      <w:pPr>
        <w:pStyle w:val="Heading1"/>
        <w:rPr>
          <w:lang w:val="en-GB"/>
        </w:rPr>
      </w:pPr>
    </w:p>
    <w:p w14:paraId="1A0D4F94" w14:textId="77777777" w:rsidR="00D16C4E" w:rsidRDefault="00D16C4E">
      <w:pPr>
        <w:rPr>
          <w:rFonts w:ascii="Times New Roman" w:eastAsia="Times New Roman" w:hAnsi="Times New Roman" w:cs="Times New Roman"/>
          <w:b/>
          <w:bCs/>
          <w:sz w:val="28"/>
          <w:szCs w:val="28"/>
          <w:lang w:val="en-US"/>
        </w:rPr>
      </w:pPr>
      <w:r>
        <w:rPr>
          <w:rFonts w:ascii="Times New Roman" w:hAnsi="Times New Roman"/>
          <w:lang w:val="en-US"/>
        </w:rPr>
        <w:br w:type="page"/>
      </w:r>
    </w:p>
    <w:p w14:paraId="0BB2A9C0" w14:textId="1D1CC716" w:rsidR="00BE3BFE" w:rsidRPr="00BE3BFE" w:rsidRDefault="001D2EDC" w:rsidP="00F76044">
      <w:pPr>
        <w:pStyle w:val="Heading1"/>
        <w:rPr>
          <w:rFonts w:ascii="Times New Roman" w:hAnsi="Times New Roman"/>
          <w:lang w:val="en-US"/>
        </w:rPr>
      </w:pPr>
      <w:r>
        <w:rPr>
          <w:rFonts w:ascii="Times New Roman" w:hAnsi="Times New Roman"/>
          <w:lang w:val="en-US"/>
        </w:rPr>
        <w:lastRenderedPageBreak/>
        <w:t>Background</w:t>
      </w:r>
      <w:r w:rsidR="00BE3BFE" w:rsidRPr="00BE3BFE">
        <w:rPr>
          <w:rFonts w:ascii="Times New Roman" w:hAnsi="Times New Roman"/>
          <w:lang w:val="en-US"/>
        </w:rPr>
        <w:t xml:space="preserve"> </w:t>
      </w:r>
    </w:p>
    <w:p w14:paraId="6026DB14" w14:textId="28106F65" w:rsidR="00BE3BFE" w:rsidRPr="00245F4E" w:rsidRDefault="00BE3BFE" w:rsidP="00BE3BFE">
      <w:pPr>
        <w:spacing w:line="480" w:lineRule="auto"/>
        <w:jc w:val="both"/>
        <w:rPr>
          <w:rFonts w:ascii="Times New Roman" w:hAnsi="Times New Roman" w:cs="Times New Roman"/>
          <w:noProof/>
          <w:lang w:val="en-GB"/>
        </w:rPr>
      </w:pPr>
      <w:r w:rsidRPr="00BE3BFE">
        <w:rPr>
          <w:rFonts w:ascii="Times New Roman" w:hAnsi="Times New Roman" w:cs="Times New Roman"/>
          <w:lang w:val="en-GB"/>
        </w:rPr>
        <w:t>Active monitoring</w:t>
      </w:r>
      <w:r w:rsidR="006122FB">
        <w:rPr>
          <w:rFonts w:ascii="Times New Roman" w:hAnsi="Times New Roman" w:cs="Times New Roman"/>
          <w:lang w:val="en-GB"/>
        </w:rPr>
        <w:t xml:space="preserve"> (AM)</w:t>
      </w:r>
      <w:r w:rsidR="00B20112">
        <w:rPr>
          <w:rFonts w:ascii="Times New Roman" w:hAnsi="Times New Roman" w:cs="Times New Roman"/>
          <w:lang w:val="en-GB"/>
        </w:rPr>
        <w:t xml:space="preserve"> </w:t>
      </w:r>
      <w:r w:rsidRPr="00BE3BFE">
        <w:rPr>
          <w:rFonts w:ascii="Times New Roman" w:hAnsi="Times New Roman" w:cs="Times New Roman"/>
          <w:lang w:val="en-GB"/>
        </w:rPr>
        <w:t>has been proposed as an adequate approach for the management of mild-to-moderate major depression</w:t>
      </w:r>
      <w:r w:rsidR="006B7A9E">
        <w:rPr>
          <w:rFonts w:ascii="Times New Roman" w:hAnsi="Times New Roman" w:cs="Times New Roman"/>
          <w:lang w:val="en-GB"/>
        </w:rPr>
        <w:t xml:space="preserve"> </w:t>
      </w:r>
      <w:r w:rsidR="00FF2EB7">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"author" : [ { "dropping-particle" : "", "family" : "Anderson, I., Pilling, S., Barnes, A., Bayliss, L., Bird, V., Burbeck, R., Chew-Graham, C., Clarke, J., Dyer, M., Flanagan, E., Harris, C., Hopkins, S., Kenwright, M., Kuyken, W., Lewis, A., Lewis, G., Li, R., Masterson, B., Meader, N., Meudell, A., Mitch", "given" : "J.", "non-dropping-particle" : "", "parse-names" : false, "suffix" : "" } ], "container-title" : "Clinical guideline of depression in adult", "id" : "ITEM-1", "issue" : "October", "issued" : { "date-parts" : [ [ "2009" ] ] }, "page" : "63", "title" : "Depression in adults : recognition and management", "type" : "article-journal" }, "uris" : [ "http://www.mendeley.com/documents/?uuid=658323b4-09a8-4812-b4b8-f99c01b1d3ae", "http://www.mendeley.com/documents/?uuid=778b24c8-67e8-4133-8c33-f1893cbc5954", "http://www.mendeley.com/documents/?uuid=1ea371fe-6205-40d6-9267-20c2dd7b3d3d" ] }, { "id" : "ITEM-2", "itemData" : { "author" : [ { "dropping-particle" : "", "family" : "Departament de Salut", "given" : "", "non-dropping-particle" : "", "parse-names" : false, "suffix" : "" } ], "id" : "ITEM-2", "issued" : { "date-parts" : [ [ "2010" ] ] }, "publisher-place" : "Barcelona: Ag\u00e8ncia d'Informaci\u00f3, Avaluaci\u00f3 i Qualitat en Salut. Pla director de salut mental i addictions", "title" : "[Adaptaci\u00f3 al model sanitari catal\u00e0 de la guia de pr\u00e0ctica cl\u00ednica sobre el maneig de la depressi\u00f3 major en l'adult]", "type" : "report" }, "uris" : [ "http://www.mendeley.com/documents/?uuid=799b5feb-879d-4113-b5d1-357beb96cecb" ] } ], "mendeley" : { "formattedCitation" : "[1, 2]", "plainTextFormattedCitation" : "[1, 2]", "previouslyFormattedCitation" : "&lt;sup&gt;1,2&lt;/sup&gt;" }, "properties" : { "noteIndex" : 0 }, "schema" : "https://github.com/citation-style-language/schema/raw/master/csl-citation.json" }</w:instrText>
      </w:r>
      <w:r w:rsidR="00FF2EB7">
        <w:rPr>
          <w:rFonts w:ascii="Times New Roman" w:hAnsi="Times New Roman" w:cs="Times New Roman"/>
          <w:lang w:val="en-GB"/>
        </w:rPr>
        <w:fldChar w:fldCharType="separate"/>
      </w:r>
      <w:r w:rsidR="006B7A9E" w:rsidRPr="006B7A9E">
        <w:rPr>
          <w:rFonts w:ascii="Times New Roman" w:hAnsi="Times New Roman" w:cs="Times New Roman"/>
          <w:noProof/>
          <w:lang w:val="en-GB"/>
        </w:rPr>
        <w:t>[1, 2]</w:t>
      </w:r>
      <w:r w:rsidR="00FF2EB7">
        <w:rPr>
          <w:rFonts w:ascii="Times New Roman" w:hAnsi="Times New Roman" w:cs="Times New Roman"/>
          <w:lang w:val="en-GB"/>
        </w:rPr>
        <w:fldChar w:fldCharType="end"/>
      </w:r>
      <w:r w:rsidR="006B7A9E">
        <w:rPr>
          <w:rFonts w:ascii="Times New Roman" w:hAnsi="Times New Roman" w:cs="Times New Roman"/>
          <w:lang w:val="en-GB"/>
        </w:rPr>
        <w:t>,</w:t>
      </w:r>
      <w:r w:rsidRPr="00BE3BFE">
        <w:rPr>
          <w:rFonts w:ascii="Times New Roman" w:hAnsi="Times New Roman" w:cs="Times New Roman"/>
          <w:lang w:val="en-GB"/>
        </w:rPr>
        <w:t xml:space="preserve"> which is usually treated in primary care (PC)</w:t>
      </w:r>
      <w:r w:rsidR="006B7A9E">
        <w:rPr>
          <w:rFonts w:ascii="Times New Roman" w:hAnsi="Times New Roman" w:cs="Times New Roman"/>
          <w:lang w:val="en-GB"/>
        </w:rPr>
        <w:t xml:space="preserve"> </w:t>
      </w:r>
      <w:r w:rsidR="00153C13">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"DOI" : "10.1192/bjp.bp.107.039966", "ISBN" : "0007-1250 (Print)", "ISSN" : "0007-1250", "PMID" : "18450661", "abstract" : "BACKGROUND: There is evidence that the prevalence of common mental disorders varies across Europe. AIMS: To compare prevalence of common mental disorders in general practice attendees in six European countries. METHOD: Unselected attendees to general practices in the UK, Spain, Portugal, Slovenia, Estonia and The Netherlands were assessed for major depression, panic syndrome and other anxiety syndrome. Prevalence of DSM-IV major depression, other anxiety syndrome and panic syndrome was compared between the UK and other countries after taking account of differences in demographic factors and practice consultation rates. RESULTS: Prevalence was estimated in 2,344 men and 4,865 women. The highest prevalence for all disorders occurred in the UK and Spain, and lowest in Slovenia and The Netherlands. Men aged 30-50 and women aged 18-30 had the highest prevalence of major depression; men aged 40-60 had the highest prevalence of anxiety, and men and women aged 40-50 had the highest prevalence of panic syndrome. Demographic factors accounted for the variance between the UK and Spain but otherwise had little impact on the significance of observed country differences. CONCLUSIONS: These results add to the evidence for real differences between European countries in prevalence of psychological disorders and show that the burden of care on general practitioners varies markedly between countries.", "author" : [ { "dropping-particle" : "", "family" : "King", "given" : "Michael", "non-dropping-particle" : "", "parse-names" : false, "suffix" : "" }, { "dropping-particle" : "", "family" : "Nazareth", "given" : "Irwin", "non-dropping-particle" : "", "parse-names" : false, "suffix" : "" }, { "dropping-particle" : "", "family" : "Levy", "given" : "Gus", "non-dropping-particle" : "", "parse-names" : false, "suffix" : "" }, { "dropping-particle" : "", "family" : "Walker", "given" : "Carl", "non-dropping-particle" : "", "parse-names" : false, "suffix" : "" }, { "dropping-particle" : "", "family" : "Morris", "given" : "Richard", "non-dropping-particle" : "", "parse-names" : false, "suffix" : "" }, { "dropping-particle" : "", "family" : "Weich", "given" : "Scott", "non-dropping-particle" : "", "parse-names" : false, "suffix" : "" }, { "dropping-particle" : "", "family" : "Bell\u00f3n-Saame\u00f1o", "given" : "Juan Angel", "non-dropping-particle" : "", "parse-names" : false, "suffix" : "" }, { "dropping-particle" : "", "family" : "Moreno", "given" : "Berta", "non-dropping-particle" : "", "parse-names" : false, "suffix" : "" }, { "dropping-particle" : "", "family" : "Svab", "given" : "Igor", "non-dropping-particle" : "", "parse-names" : false, "suffix" : "" }, { "dropping-particle" : "", "family" : "Rotar", "given" : "Danica", "non-dropping-particle" : "", "parse-names" : false, "suffix" : "" }, { "dropping-particle" : "", "family" : "Rifel", "given" : "J", "non-dropping-particle" : "", "parse-names" : false, "suffix" : "" }, { "dropping-particle" : "", "family" : "Maaroos", "given" : "Heidi-Ingrid", "non-dropping-particle" : "", "parse-names" : false, "suffix" : "" }, { "dropping-particle" : "", "family" : "Aluoja", "given" : "Anu", "non-dropping-particle" : "", "parse-names" : false, "suffix" : "" }, { "dropping-particle" : "", "family" : "Kalda", "given" : "Ruth", "non-dropping-particle" : "", "parse-names" : false, "suffix" : "" }, { "dropping-particle" : "", "family" : "Neeleman", "given" : "Jan", "non-dropping-particle" : "", "parse-names" : false, "suffix" : "" }, { "dropping-particle" : "", "family" : "Geerlings", "given" : "Mirjam I", "non-dropping-particle" : "", "parse-names" : false, "suffix" : "" }, { "dropping-particle" : "", "family" : "Xavier", "given" : "Miguel", "non-dropping-particle" : "", "parse-names" : false, "suffix" : "" }, { "dropping-particle" : "", "family" : "Almeida", "given" : "Manuel Caldas", "non-dropping-particle" : "de", "parse-names" : false, "suffix" : "" }, { "dropping-particle" : "", "family" : "Correa", "given" : "Bernardo", "non-dropping-particle" : "", "parse-names" : false, "suffix" : "" }, { "dropping-particle" : "", "family" : "Torres-Gonzalez", "given" : "Francisco", "non-dropping-particle" : "", "parse-names" : false, "suffix" : "" } ], "container-title" : "The British journal of psychiatry : the journal of mental science", "id" : "ITEM-1", "issue" : "5", "issued" : { "date-parts" : [ [ "2008" ] ] }, "page" : "362-367", "title" : "Prevalence of common mental disorders in general practice attendees across Europe.", "type" : "article-journal", "volume" : "192" }, "uris" : [ "http://www.mendeley.com/documents/?uuid=79ed90dc-548f-4294-a62b-4a3cc9a0e321" ] }, { "id" : "ITEM-2", "itemData" : { "PMID" : "19452110", "abstract" : "OBJECTIVE: Previous epidemiological studies have revealed a high prevalence of mental disorders among primary care (PC) patients. However, most studies have methodological limitations (e.g. absence of structured clinical interviews, two-phase designs) that affect the generalizability of their results. The main objective of the present study was to estimate the lifetime and 12-month prevalence of mental disorders in the PC of Catalonia (Spain), using structured clinical interviews and a one-phase design. METHODS: One-phase cross-sectional survey. A representative probability sample without replacement of individuals aged 18 years or older attending PC for a medical visit were interviewed between October 2005 and March 2006. The interviews included SCID-I for depressive and anxiety disorders and the MINI interview for other mental disorders. A total of 3,815 patients from 77 PC centres were included in the statistical analyses. RESULTS: 45.1% of respondents reported at least one lifetime mental disorder and 30.2% reported at least one mental disorder in the previous 12 months. The most common mental disorders were major depression (9.6%), panic disorder (7.0%), specific phobia (6.6%), and generalized anxiety disorder (3.8%). There was a high comorbidity between mood and anxiety disorders, as well as between mental disorders and some chronic physical conditions. CONCLUSIONS: There is a high prevalence and comorbidity of mental disorders in the PC of Catalonia. Public health policies should reinforce the role of family physicians in the detection and treatment of persons with mental disorders.", "author" : [ { "dropping-particle" : "", "family" : "Serrano-Blanco", "given" : "Antoni", "non-dropping-particle" : "", "parse-names" : false, "suffix" : "" }, { "dropping-particle" : "", "family" : "Palao", "given" : "Diego J.", "non-dropping-particle" : "", "parse-names" : false, "suffix" : "" }, { "dropping-particle" : "V.", "family" : "Luciano", "given" : "Juan", "non-dropping-particle" : "", "parse-names" : false, "suffix" : "" }, { "dropping-particle" : "", "family" : "Pinto-Meza", "given" : "Alejandra", "non-dropping-particle" : "", "parse-names" : false, "suffix" : "" }, { "dropping-particle" : "", "family" : "Luj\u00e1n", "given" : "Leila", "non-dropping-particle" : "", "parse-names" : false, "suffix" : "" }, { "dropping-particle" : "", "family" : "Fern\u00e1ndez", "given" : "Ana", "non-dropping-particle" : "", "parse-names" : false, "suffix" : "" }, { "dropping-particle" : "", "family" : "Roura", "given" : "Pere", "non-dropping-particle" : "", "parse-names" : false, "suffix" : "" }, { "dropping-particle" : "", "family" : "Bertsch", "given" : "Jordan", "non-dropping-particle" : "", "parse-names" : false, "suffix" : "" }, { "dropping-particle" : "", "family" : "Mercader", "given" : "Merc\u00e8", "non-dropping-particle" : "", "parse-names" : false, "suffix" : "" }, { "dropping-particle" : "", "family" : "Haro", "given" : "Josep M.", "non-dropping-particle" : "", "parse-names" : false, "suffix" : "" } ], "container-title" : "Social Psychiatry and Psychiatric Epidemiology", "id" : "ITEM-2", "issue" : "2", "issued" : { "date-parts" : [ [ "2010" ] ] }, "page" : "201-210", "title" : "Prevalence of mental disorders in primary care: Results from the diagnosis and treatment of mental disorders in primary care study (DASMAP)", "type" : "article-journal", "volume" : "45" }, "uris" : [ "http://www.mendeley.com/documents/?uuid=cd6f79d3-a586-4910-bb2c-49565c70ba22" ] } ], "mendeley" : { "formattedCitation" : "[3, 4]", "plainTextFormattedCitation" : "[3, 4]", "previouslyFormattedCitation" : "&lt;sup&gt;3,4&lt;/sup&gt;" }, "properties" : { "noteIndex" : 0 }, "schema" : "https://github.com/citation-style-language/schema/raw/master/csl-citation.json" }</w:instrText>
      </w:r>
      <w:r w:rsidR="00153C13">
        <w:rPr>
          <w:rFonts w:ascii="Times New Roman" w:hAnsi="Times New Roman" w:cs="Times New Roman"/>
          <w:lang w:val="en-GB"/>
        </w:rPr>
        <w:fldChar w:fldCharType="separate"/>
      </w:r>
      <w:r w:rsidR="006B7A9E" w:rsidRPr="006B7A9E">
        <w:rPr>
          <w:rFonts w:ascii="Times New Roman" w:hAnsi="Times New Roman" w:cs="Times New Roman"/>
          <w:noProof/>
          <w:lang w:val="en-GB"/>
        </w:rPr>
        <w:t>[3, 4]</w:t>
      </w:r>
      <w:r w:rsidR="00153C13">
        <w:rPr>
          <w:rFonts w:ascii="Times New Roman" w:hAnsi="Times New Roman" w:cs="Times New Roman"/>
          <w:lang w:val="en-GB"/>
        </w:rPr>
        <w:fldChar w:fldCharType="end"/>
      </w:r>
      <w:r w:rsidR="006B7A9E">
        <w:rPr>
          <w:rFonts w:ascii="Times New Roman" w:hAnsi="Times New Roman" w:cs="Times New Roman"/>
          <w:lang w:val="en-GB"/>
        </w:rPr>
        <w:t>.</w:t>
      </w:r>
      <w:r w:rsidR="00881073">
        <w:rPr>
          <w:rFonts w:ascii="Times New Roman" w:hAnsi="Times New Roman" w:cs="Times New Roman"/>
          <w:lang w:val="en-GB"/>
        </w:rPr>
        <w:t xml:space="preserve"> Mild-to-moderate forms of major depression fulfil all DSM-IV criteria for major depression</w:t>
      </w:r>
      <w:r w:rsidR="000E6884">
        <w:rPr>
          <w:rFonts w:ascii="Times New Roman" w:hAnsi="Times New Roman" w:cs="Times New Roman"/>
          <w:lang w:val="en-GB"/>
        </w:rPr>
        <w:t>, including the presence of five out of the nine</w:t>
      </w:r>
      <w:r w:rsidR="00881073">
        <w:rPr>
          <w:rFonts w:ascii="Times New Roman" w:hAnsi="Times New Roman" w:cs="Times New Roman"/>
          <w:lang w:val="en-GB"/>
        </w:rPr>
        <w:t xml:space="preserve"> </w:t>
      </w:r>
      <w:r w:rsidR="000E6884">
        <w:rPr>
          <w:rFonts w:ascii="Times New Roman" w:hAnsi="Times New Roman" w:cs="Times New Roman"/>
          <w:lang w:val="en-GB"/>
        </w:rPr>
        <w:t xml:space="preserve">of possible symptoms for at least 2 weeks, </w:t>
      </w:r>
      <w:r w:rsidR="00881073">
        <w:rPr>
          <w:rFonts w:ascii="Times New Roman" w:hAnsi="Times New Roman" w:cs="Times New Roman"/>
          <w:lang w:val="en-GB"/>
        </w:rPr>
        <w:t>but present with mild-moderate functional impairment.</w:t>
      </w:r>
      <w:r w:rsidRPr="00BE3BFE">
        <w:rPr>
          <w:rFonts w:ascii="Times New Roman" w:hAnsi="Times New Roman" w:cs="Times New Roman"/>
          <w:lang w:val="en-GB"/>
        </w:rPr>
        <w:t xml:space="preserve"> In </w:t>
      </w:r>
      <w:r w:rsidR="00B20112">
        <w:rPr>
          <w:rFonts w:ascii="Times New Roman" w:hAnsi="Times New Roman" w:cs="Times New Roman"/>
          <w:lang w:val="en-GB"/>
        </w:rPr>
        <w:t>AM</w:t>
      </w:r>
      <w:r w:rsidRPr="00BE3BFE">
        <w:rPr>
          <w:rFonts w:ascii="Times New Roman" w:hAnsi="Times New Roman" w:cs="Times New Roman"/>
          <w:lang w:val="en-GB"/>
        </w:rPr>
        <w:t xml:space="preserve">, the patient and </w:t>
      </w:r>
      <w:r w:rsidR="00E63695">
        <w:rPr>
          <w:rFonts w:ascii="Times New Roman" w:hAnsi="Times New Roman" w:cs="Times New Roman"/>
          <w:lang w:val="en-GB"/>
        </w:rPr>
        <w:t>general practitioners</w:t>
      </w:r>
      <w:r w:rsidRPr="00BE3BFE">
        <w:rPr>
          <w:rFonts w:ascii="Times New Roman" w:hAnsi="Times New Roman" w:cs="Times New Roman"/>
          <w:lang w:val="en-GB"/>
        </w:rPr>
        <w:t xml:space="preserve"> (</w:t>
      </w:r>
      <w:r w:rsidR="00E63695">
        <w:rPr>
          <w:rFonts w:ascii="Times New Roman" w:hAnsi="Times New Roman" w:cs="Times New Roman"/>
          <w:lang w:val="en-GB"/>
        </w:rPr>
        <w:t>G</w:t>
      </w:r>
      <w:r w:rsidRPr="00BE3BFE">
        <w:rPr>
          <w:rFonts w:ascii="Times New Roman" w:hAnsi="Times New Roman" w:cs="Times New Roman"/>
          <w:lang w:val="en-GB"/>
        </w:rPr>
        <w:t>P) agree to observe the development of symptoms before starting treatment with antidepressants</w:t>
      </w:r>
      <w:r w:rsidR="006B7A9E">
        <w:rPr>
          <w:rFonts w:ascii="Times New Roman" w:hAnsi="Times New Roman" w:cs="Times New Roman"/>
          <w:lang w:val="en-GB"/>
        </w:rPr>
        <w:t xml:space="preserve"> </w:t>
      </w:r>
      <w:r w:rsidR="00153C13">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"PMID" : "16675363", "abstract" : "Objectives: The objectives of this study were to determine remission rates and predictors of improvement for minor depression following a 1-month watchful waiting period in primary care and to describe the watchful waiting processes. Methods: Prior to randomization into a clinical trial for minor depression, 111 participants were entered into a 1-month watchful waiting period. Depression severity and predictors of improvement were measured at the start of watchful waiting. At the end of watchful waiting, remission rates were calculated and predictor variables were analyzed for their contribution toward predicting improvement. Results: Remission rates were low, ranging from 9% to 13%, depending on the measure. Avoidant coping style and frequency of engaging in active pleasant events at baseline accounted for the majority of change in depression. During watchful waiting, about one fifth of the sample (21%) had at least one contact with their physician and 27% reported using self-initiated treatments. Conclusions: There is a low likelihood of spontaneous remission for treatment-seeking samples with minor depression in primary care. An avoidant coping style seriously interferes with remission, and engaging in regular active pleasant events confers an advantage. Feasible interventions for primary care that promote activity and decrease avoidant coping styles may improve outcomes. These findings may not generalize to community and non-treatment-seeking samples. ?? 2006 Elsevier Inc. All rights reserved.", "author" : [ { "dropping-particle" : "", "family" : "Hegel", "given" : "Mark T.", "non-dropping-particle" : "", "parse-names" : false, "suffix" : "" }, { "dropping-particle" : "", "family" : "Oxman", "given" : "Thomas E.", "non-dropping-particle" : "", "parse-names" : false, "suffix" : "" }, { "dropping-particle" : "", "family" : "Hull", "given" : "Jay G.", "non-dropping-particle" : "", "parse-names" : false, "suffix" : "" }, { "dropping-particle" : "", "family" : "Swain", "given" : "Karin", "non-dropping-particle" : "", "parse-names" : false, "suffix" : "" }, { "dropping-particle" : "", "family" : "Swick", "given" : "Holly", "non-dropping-particle" : "", "parse-names" : false, "suffix" : "" } ], "container-title" : "General Hospital Psychiatry", "id" : "ITEM-1", "issue" : "3", "issued" : { "date-parts" : [ [ "2006" ] ] }, "page" : "205-212", "title" : "Watchful waiting for minor depression in primary care: remission rates and predictors of improvement", "type" : "article-journal", "volume" : "28" }, "uris" : [ "http://www.mendeley.com/documents/?uuid=1144c6da-80f0-4239-b4f8-64da9f991b62" ] } ], "mendeley" : { "formattedCitation" : "[5]", "plainTextFormattedCitation" : "[5]", "previouslyFormattedCitation" : "&lt;sup&gt;5&lt;/sup&gt;" }, "properties" : { "noteIndex" : 0 }, "schema" : "https://github.com/citation-style-language/schema/raw/master/csl-citation.json" }</w:instrText>
      </w:r>
      <w:r w:rsidR="00153C13">
        <w:rPr>
          <w:rFonts w:ascii="Times New Roman" w:hAnsi="Times New Roman" w:cs="Times New Roman"/>
          <w:lang w:val="en-GB"/>
        </w:rPr>
        <w:fldChar w:fldCharType="separate"/>
      </w:r>
      <w:r w:rsidR="006B7A9E" w:rsidRPr="006B7A9E">
        <w:rPr>
          <w:rFonts w:ascii="Times New Roman" w:hAnsi="Times New Roman" w:cs="Times New Roman"/>
          <w:noProof/>
          <w:lang w:val="en-GB"/>
        </w:rPr>
        <w:t>[5]</w:t>
      </w:r>
      <w:r w:rsidR="00153C13">
        <w:rPr>
          <w:rFonts w:ascii="Times New Roman" w:hAnsi="Times New Roman" w:cs="Times New Roman"/>
          <w:lang w:val="en-GB"/>
        </w:rPr>
        <w:fldChar w:fldCharType="end"/>
      </w:r>
      <w:r w:rsidR="006B7A9E">
        <w:rPr>
          <w:rFonts w:ascii="Times New Roman" w:hAnsi="Times New Roman" w:cs="Times New Roman"/>
          <w:lang w:val="en-GB"/>
        </w:rPr>
        <w:t>.</w:t>
      </w:r>
      <w:r w:rsidRPr="00BE3BFE">
        <w:rPr>
          <w:rFonts w:ascii="Times New Roman" w:hAnsi="Times New Roman" w:cs="Times New Roman"/>
          <w:lang w:val="en-GB"/>
        </w:rPr>
        <w:t xml:space="preserve"> Although variations exist across regions, </w:t>
      </w:r>
      <w:r w:rsidR="00B20112">
        <w:rPr>
          <w:rFonts w:ascii="Times New Roman" w:hAnsi="Times New Roman" w:cs="Times New Roman"/>
          <w:lang w:val="en-GB"/>
        </w:rPr>
        <w:t>AM</w:t>
      </w:r>
      <w:r w:rsidRPr="00BE3BFE">
        <w:rPr>
          <w:rFonts w:ascii="Times New Roman" w:hAnsi="Times New Roman" w:cs="Times New Roman"/>
          <w:lang w:val="en-GB"/>
        </w:rPr>
        <w:t xml:space="preserve"> implies close monitoring of the course of the illness by the </w:t>
      </w:r>
      <w:r w:rsidR="00E63695">
        <w:rPr>
          <w:rFonts w:ascii="Times New Roman" w:hAnsi="Times New Roman" w:cs="Times New Roman"/>
          <w:lang w:val="en-GB"/>
        </w:rPr>
        <w:t>GP</w:t>
      </w:r>
      <w:r w:rsidRPr="00BE3BFE">
        <w:rPr>
          <w:rFonts w:ascii="Times New Roman" w:hAnsi="Times New Roman" w:cs="Times New Roman"/>
          <w:lang w:val="en-GB"/>
        </w:rPr>
        <w:t>, who may accompany monitoring with low-intensity psychosocial interventions such as brief cognitive behavioral therapy</w:t>
      </w:r>
      <w:r w:rsidR="006122FB">
        <w:rPr>
          <w:rFonts w:ascii="Times New Roman" w:hAnsi="Times New Roman" w:cs="Times New Roman"/>
          <w:lang w:val="en-GB"/>
        </w:rPr>
        <w:t xml:space="preserve"> (CBT)</w:t>
      </w:r>
      <w:r w:rsidRPr="00BE3BFE">
        <w:rPr>
          <w:rFonts w:ascii="Times New Roman" w:hAnsi="Times New Roman" w:cs="Times New Roman"/>
          <w:lang w:val="en-GB"/>
        </w:rPr>
        <w:t>, counseling or problem-solving t</w:t>
      </w:r>
      <w:r w:rsidR="00F9097B">
        <w:rPr>
          <w:rFonts w:ascii="Times New Roman" w:hAnsi="Times New Roman" w:cs="Times New Roman"/>
          <w:lang w:val="en-GB"/>
        </w:rPr>
        <w:t>herapy (PST)</w:t>
      </w:r>
      <w:r w:rsidR="006B7A9E">
        <w:rPr>
          <w:rFonts w:ascii="Times New Roman" w:hAnsi="Times New Roman" w:cs="Times New Roman"/>
          <w:lang w:val="en-GB"/>
        </w:rPr>
        <w:t xml:space="preserve"> </w:t>
      </w:r>
      <w:r w:rsidR="00153C13">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"author" : [ { "dropping-particle" : "", "family" : "Anderson, I., Pilling, S., Barnes, A., Bayliss, L., Bird, V., Burbeck, R., Chew-Graham, C., Clarke, J., Dyer, M., Flanagan, E., Harris, C., Hopkins, S., Kenwright, M., Kuyken, W., Lewis, A., Lewis, G., Li, R., Masterson, B., Meader, N., Meudell, A., Mitch", "given" : "J.", "non-dropping-particle" : "", "parse-names" : false, "suffix" : "" } ], "container-title" : "Clinical guideline of depression in adult", "id" : "ITEM-1", "issue" : "October", "issued" : { "date-parts" : [ [ "2009" ] ] }, "page" : "63", "title" : "Depression in adults : recognition and management", "type" : "article-journal" }, "uris" : [ "http://www.mendeley.com/documents/?uuid=1ea371fe-6205-40d6-9267-20c2dd7b3d3d", "http://www.mendeley.com/documents/?uuid=778b24c8-67e8-4133-8c33-f1893cbc5954", "http://www.mendeley.com/documents/?uuid=658323b4-09a8-4812-b4b8-f99c01b1d3ae" ] }, { "id" : "ITEM-2", "itemData" : { "author" : [ { "dropping-particle" : "", "family" : "Departament de Salut", "given" : "", "non-dropping-particle" : "", "parse-names" : false, "suffix" : "" } ], "id" : "ITEM-2", "issued" : { "date-parts" : [ [ "2010" ] ] }, "publisher-place" : "Barcelona: Ag\u00e8ncia d'Informaci\u00f3, Avaluaci\u00f3 i Qualitat en Salut. Pla director de salut mental i addictions", "title" : "[Adaptaci\u00f3 al model sanitari catal\u00e0 de la guia de pr\u00e0ctica cl\u00ednica sobre el maneig de la depressi\u00f3 major en l'adult]", "type" : "report" }, "uris" : [ "http://www.mendeley.com/documents/?uuid=799b5feb-879d-4113-b5d1-357beb96cecb" ] } ], "mendeley" : { "formattedCitation" : "[1, 2]", "plainTextFormattedCitation" : "[1, 2]", "previouslyFormattedCitation" : "&lt;sup&gt;1,2&lt;/sup&gt;" }, "properties" : { "noteIndex" : 0 }, "schema" : "https://github.com/citation-style-language/schema/raw/master/csl-citation.json" }</w:instrText>
      </w:r>
      <w:r w:rsidR="00153C13">
        <w:rPr>
          <w:rFonts w:ascii="Times New Roman" w:hAnsi="Times New Roman" w:cs="Times New Roman"/>
          <w:lang w:val="en-GB"/>
        </w:rPr>
        <w:fldChar w:fldCharType="separate"/>
      </w:r>
      <w:r w:rsidR="006B7A9E" w:rsidRPr="006B7A9E">
        <w:rPr>
          <w:rFonts w:ascii="Times New Roman" w:hAnsi="Times New Roman" w:cs="Times New Roman"/>
          <w:noProof/>
          <w:lang w:val="en-GB"/>
        </w:rPr>
        <w:t>[1, 2]</w:t>
      </w:r>
      <w:r w:rsidR="00153C13">
        <w:rPr>
          <w:rFonts w:ascii="Times New Roman" w:hAnsi="Times New Roman" w:cs="Times New Roman"/>
          <w:lang w:val="en-GB"/>
        </w:rPr>
        <w:fldChar w:fldCharType="end"/>
      </w:r>
      <w:r w:rsidR="006B7A9E">
        <w:rPr>
          <w:rFonts w:ascii="Times New Roman" w:hAnsi="Times New Roman" w:cs="Times New Roman"/>
          <w:lang w:val="en-GB"/>
        </w:rPr>
        <w:t>.</w:t>
      </w:r>
      <w:r w:rsidRPr="00BE3BFE">
        <w:rPr>
          <w:rFonts w:ascii="Times New Roman" w:hAnsi="Times New Roman" w:cs="Times New Roman"/>
          <w:lang w:val="en-GB"/>
        </w:rPr>
        <w:t xml:space="preserve"> The </w:t>
      </w:r>
      <w:r w:rsidR="00E63695">
        <w:rPr>
          <w:rFonts w:ascii="Times New Roman" w:hAnsi="Times New Roman" w:cs="Times New Roman"/>
          <w:lang w:val="en-GB"/>
        </w:rPr>
        <w:t>GP</w:t>
      </w:r>
      <w:r w:rsidRPr="00BE3BFE">
        <w:rPr>
          <w:rFonts w:ascii="Times New Roman" w:hAnsi="Times New Roman" w:cs="Times New Roman"/>
          <w:lang w:val="en-GB"/>
        </w:rPr>
        <w:t xml:space="preserve"> can also recommend self-help programs or moderate-intensity exercise programs. If symptoms worsen, the </w:t>
      </w:r>
      <w:r w:rsidR="00E63695">
        <w:rPr>
          <w:rFonts w:ascii="Times New Roman" w:hAnsi="Times New Roman" w:cs="Times New Roman"/>
          <w:lang w:val="en-GB"/>
        </w:rPr>
        <w:t>GP</w:t>
      </w:r>
      <w:r w:rsidRPr="00BE3BFE">
        <w:rPr>
          <w:rFonts w:ascii="Times New Roman" w:hAnsi="Times New Roman" w:cs="Times New Roman"/>
          <w:lang w:val="en-GB"/>
        </w:rPr>
        <w:t xml:space="preserve"> could suggest initiating treatment with antidepressants or refer the patient to specialized care as part of the </w:t>
      </w:r>
      <w:r w:rsidR="00B20112">
        <w:rPr>
          <w:rFonts w:ascii="Times New Roman" w:hAnsi="Times New Roman" w:cs="Times New Roman"/>
          <w:lang w:val="en-GB"/>
        </w:rPr>
        <w:t>AM</w:t>
      </w:r>
      <w:r w:rsidRPr="00BE3BFE">
        <w:rPr>
          <w:rFonts w:ascii="Times New Roman" w:hAnsi="Times New Roman" w:cs="Times New Roman"/>
          <w:lang w:val="en-GB"/>
        </w:rPr>
        <w:t xml:space="preserve"> intervention. </w:t>
      </w:r>
    </w:p>
    <w:p w14:paraId="4DAF6E2C" w14:textId="2A57C68D" w:rsidR="00BE3BFE" w:rsidRPr="00BE3BFE" w:rsidRDefault="00BE3BFE" w:rsidP="00BE3BFE">
      <w:pPr>
        <w:spacing w:line="480" w:lineRule="auto"/>
        <w:jc w:val="both"/>
        <w:rPr>
          <w:rFonts w:ascii="Times New Roman" w:hAnsi="Times New Roman" w:cs="Times New Roman"/>
          <w:lang w:val="en-GB"/>
        </w:rPr>
      </w:pPr>
      <w:r w:rsidRPr="00BE3BFE">
        <w:rPr>
          <w:rFonts w:ascii="Times New Roman" w:hAnsi="Times New Roman" w:cs="Times New Roman"/>
          <w:lang w:val="en-GB"/>
        </w:rPr>
        <w:t>Antidepressants are the first-line treatment options for high-risk patients with mild-to-moderate major depression</w:t>
      </w:r>
      <w:r w:rsidR="006B7A9E">
        <w:rPr>
          <w:rFonts w:ascii="Times New Roman" w:hAnsi="Times New Roman" w:cs="Times New Roman"/>
          <w:lang w:val="en-GB"/>
        </w:rPr>
        <w:t xml:space="preserve"> </w:t>
      </w:r>
      <w:r w:rsidR="00153C13">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"author" : [ { "dropping-particle" : "", "family" : "Anderson, I., Pilling, S., Barnes, A., Bayliss, L., Bird, V., Burbeck, R., Chew-Graham, C., Clarke, J., Dyer, M., Flanagan, E., Harris, C., Hopkins, S., Kenwright, M., Kuyken, W., Lewis, A., Lewis, G., Li, R., Masterson, B., Meader, N., Meudell, A., Mitch", "given" : "J.", "non-dropping-particle" : "", "parse-names" : false, "suffix" : "" } ], "container-title" : "Clinical guideline of depression in adult", "id" : "ITEM-1", "issue" : "October", "issued" : { "date-parts" : [ [ "2009" ] ] }, "page" : "63", "title" : "Depression in adults : recognition and management", "type" : "article-journal" }, "uris" : [ "http://www.mendeley.com/documents/?uuid=1ea371fe-6205-40d6-9267-20c2dd7b3d3d", "http://www.mendeley.com/documents/?uuid=778b24c8-67e8-4133-8c33-f1893cbc5954", "http://www.mendeley.com/documents/?uuid=658323b4-09a8-4812-b4b8-f99c01b1d3ae" ] }, { "id" : "ITEM-2", "itemData" : { "author" : [ { "dropping-particle" : "", "family" : "Departament de Salut", "given" : "", "non-dropping-particle" : "", "parse-names" : false, "suffix" : "" } ], "id" : "ITEM-2", "issued" : { "date-parts" : [ [ "2010" ] ] }, "publisher-place" : "Barcelona: Ag\u00e8ncia d'Informaci\u00f3, Avaluaci\u00f3 i Qualitat en Salut. Pla director de salut mental i addictions", "title" : "[Adaptaci\u00f3 al model sanitari catal\u00e0 de la guia de pr\u00e0ctica cl\u00ednica sobre el maneig de la depressi\u00f3 major en l'adult]", "type" : "report" }, "uris" : [ "http://www.mendeley.com/documents/?uuid=799b5feb-879d-4113-b5d1-357beb96cecb" ] } ], "mendeley" : { "formattedCitation" : "[1, 2]", "plainTextFormattedCitation" : "[1, 2]", "previouslyFormattedCitation" : "&lt;sup&gt;1,2&lt;/sup&gt;" }, "properties" : { "noteIndex" : 0 }, "schema" : "https://github.com/citation-style-language/schema/raw/master/csl-citation.json" }</w:instrText>
      </w:r>
      <w:r w:rsidR="00153C13">
        <w:rPr>
          <w:rFonts w:ascii="Times New Roman" w:hAnsi="Times New Roman" w:cs="Times New Roman"/>
          <w:lang w:val="en-GB"/>
        </w:rPr>
        <w:fldChar w:fldCharType="separate"/>
      </w:r>
      <w:r w:rsidR="006B7A9E" w:rsidRPr="006B7A9E">
        <w:rPr>
          <w:rFonts w:ascii="Times New Roman" w:hAnsi="Times New Roman" w:cs="Times New Roman"/>
          <w:noProof/>
          <w:lang w:val="en-GB"/>
        </w:rPr>
        <w:t>[1, 2]</w:t>
      </w:r>
      <w:r w:rsidR="00153C13">
        <w:rPr>
          <w:rFonts w:ascii="Times New Roman" w:hAnsi="Times New Roman" w:cs="Times New Roman"/>
          <w:lang w:val="en-GB"/>
        </w:rPr>
        <w:fldChar w:fldCharType="end"/>
      </w:r>
      <w:r w:rsidR="00153C13">
        <w:rPr>
          <w:rFonts w:ascii="Times New Roman" w:hAnsi="Times New Roman" w:cs="Times New Roman"/>
          <w:lang w:val="en-GB"/>
        </w:rPr>
        <w:t xml:space="preserve"> </w:t>
      </w:r>
      <w:r w:rsidR="003D171B">
        <w:rPr>
          <w:rFonts w:ascii="Times New Roman" w:hAnsi="Times New Roman" w:cs="Times New Roman"/>
          <w:lang w:val="en-GB"/>
        </w:rPr>
        <w:t>but</w:t>
      </w:r>
      <w:r w:rsidRPr="00BE3BFE">
        <w:rPr>
          <w:rFonts w:ascii="Times New Roman" w:hAnsi="Times New Roman" w:cs="Times New Roman"/>
          <w:lang w:val="en-GB"/>
        </w:rPr>
        <w:t xml:space="preserve"> have been shown to have limited benefits in patients with mild-to-moderate depressive symptoms</w:t>
      </w:r>
      <w:r w:rsidR="006B7A9E">
        <w:rPr>
          <w:rFonts w:ascii="Times New Roman" w:hAnsi="Times New Roman" w:cs="Times New Roman"/>
          <w:lang w:val="en-GB"/>
        </w:rPr>
        <w:t xml:space="preserve"> </w:t>
      </w:r>
      <w:r w:rsidR="00153C13">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"ISSN" : "0098-7484", "PMID" : "20051569", "abstract" : "Antidepressant medications represent the best established treatment for major depressive disorder, but there is little evidence that they have a specific pharmacological effect relative to pill placebo for patients with less severe depression.", "author" : [ { "dropping-particle" : "", "family" : "Fournier", "given" : "Jay C", "non-dropping-particle" : "", "parse-names" : false, "suffix" : "" }, { "dropping-particle" : "", "family" : "DeRubeis", "given" : "Robert J", "non-dropping-particle" : "", "parse-names" : false, "suffix" : "" }, { "dropping-particle" : "", "family" : "Hollon", "given" : "Steven D", "non-dropping-particle" : "", "parse-names" : false, "suffix" : "" }, { "dropping-particle" : "", "family" : "Dimidjian", "given" : "Sona", "non-dropping-particle" : "", "parse-names" : false, "suffix" : "" }, { "dropping-particle" : "", "family" : "Amsterdam", "given" : "Jay D", "non-dropping-particle" : "", "parse-names" : false, "suffix" : "" }, { "dropping-particle" : "", "family" : "Shelton", "given" : "Richard C", "non-dropping-particle" : "", "parse-names" : false, "suffix" : "" }, { "dropping-particle" : "", "family" : "Fawcett", "given" : "Jan", "non-dropping-particle" : "", "parse-names" : false, "suffix" : "" } ], "container-title" : "JAMA : the journal of the American Medical Association", "id" : "ITEM-1", "issue" : "1", "issued" : { "date-parts" : [ [ "2010" ] ] }, "page" : "47-53", "title" : "Antidepressant drug effects and depression severity: a patient-level meta-analysis.", "type" : "article-journal", "volume" : "303" }, "uris" : [ "http://www.mendeley.com/documents/?uuid=928cca9d-7c68-4630-aa67-c0dfed2661d9" ] } ], "mendeley" : { "formattedCitation" : "[6]", "plainTextFormattedCitation" : "[6]", "previouslyFormattedCitation" : "&lt;sup&gt;6&lt;/sup&gt;" }, "properties" : { "noteIndex" : 0 }, "schema" : "https://github.com/citation-style-language/schema/raw/master/csl-citation.json" }</w:instrText>
      </w:r>
      <w:r w:rsidR="00153C13">
        <w:rPr>
          <w:rFonts w:ascii="Times New Roman" w:hAnsi="Times New Roman" w:cs="Times New Roman"/>
          <w:lang w:val="en-GB"/>
        </w:rPr>
        <w:fldChar w:fldCharType="separate"/>
      </w:r>
      <w:r w:rsidR="006B7A9E" w:rsidRPr="006B7A9E">
        <w:rPr>
          <w:rFonts w:ascii="Times New Roman" w:hAnsi="Times New Roman" w:cs="Times New Roman"/>
          <w:noProof/>
          <w:lang w:val="en-GB"/>
        </w:rPr>
        <w:t>[6]</w:t>
      </w:r>
      <w:r w:rsidR="00153C13">
        <w:rPr>
          <w:rFonts w:ascii="Times New Roman" w:hAnsi="Times New Roman" w:cs="Times New Roman"/>
          <w:lang w:val="en-GB"/>
        </w:rPr>
        <w:fldChar w:fldCharType="end"/>
      </w:r>
      <w:r w:rsidR="006B7A9E">
        <w:rPr>
          <w:rFonts w:ascii="Times New Roman" w:hAnsi="Times New Roman" w:cs="Times New Roman"/>
          <w:lang w:val="en-GB"/>
        </w:rPr>
        <w:t>.</w:t>
      </w:r>
      <w:r w:rsidRPr="00BE3BFE">
        <w:rPr>
          <w:rFonts w:ascii="Times New Roman" w:hAnsi="Times New Roman" w:cs="Times New Roman"/>
          <w:lang w:val="en-GB"/>
        </w:rPr>
        <w:t xml:space="preserve"> </w:t>
      </w:r>
      <w:r w:rsidR="003D171B">
        <w:rPr>
          <w:rFonts w:ascii="Times New Roman" w:hAnsi="Times New Roman" w:cs="Times New Roman"/>
          <w:lang w:val="en-US" w:eastAsia="es-ES"/>
        </w:rPr>
        <w:t>M</w:t>
      </w:r>
      <w:r w:rsidRPr="00BE3BFE">
        <w:rPr>
          <w:rFonts w:ascii="Times New Roman" w:hAnsi="Times New Roman" w:cs="Times New Roman"/>
          <w:lang w:val="en-US" w:eastAsia="es-ES"/>
        </w:rPr>
        <w:t xml:space="preserve">ost clinical practice guidelines </w:t>
      </w:r>
      <w:r w:rsidR="003D171B">
        <w:rPr>
          <w:rFonts w:ascii="Times New Roman" w:hAnsi="Times New Roman" w:cs="Times New Roman"/>
          <w:lang w:val="en-US" w:eastAsia="es-ES"/>
        </w:rPr>
        <w:t xml:space="preserve">(CPG) </w:t>
      </w:r>
      <w:r w:rsidRPr="00BE3BFE">
        <w:rPr>
          <w:rFonts w:ascii="Times New Roman" w:hAnsi="Times New Roman" w:cs="Times New Roman"/>
          <w:lang w:val="en-US" w:eastAsia="es-ES"/>
        </w:rPr>
        <w:t xml:space="preserve">for the treatment of major depression in PC recommend </w:t>
      </w:r>
      <w:r w:rsidR="00B20112">
        <w:rPr>
          <w:rFonts w:ascii="Times New Roman" w:hAnsi="Times New Roman" w:cs="Times New Roman"/>
          <w:lang w:val="en-US" w:eastAsia="es-ES"/>
        </w:rPr>
        <w:t>AM</w:t>
      </w:r>
      <w:r w:rsidRPr="00BE3BFE">
        <w:rPr>
          <w:rFonts w:ascii="Times New Roman" w:hAnsi="Times New Roman" w:cs="Times New Roman"/>
          <w:lang w:val="en-US" w:eastAsia="es-ES"/>
        </w:rPr>
        <w:t xml:space="preserve"> as the first-line treatment. </w:t>
      </w:r>
      <w:r w:rsidRPr="00BE3BFE">
        <w:rPr>
          <w:rFonts w:ascii="Times New Roman" w:hAnsi="Times New Roman" w:cs="Times New Roman"/>
          <w:lang w:val="en-GB"/>
        </w:rPr>
        <w:t xml:space="preserve">Diagnostic concordance between </w:t>
      </w:r>
      <w:r w:rsidR="003D171B">
        <w:rPr>
          <w:rFonts w:ascii="Times New Roman" w:hAnsi="Times New Roman" w:cs="Times New Roman"/>
          <w:lang w:val="en-GB"/>
        </w:rPr>
        <w:t>GP</w:t>
      </w:r>
      <w:r w:rsidRPr="00BE3BFE">
        <w:rPr>
          <w:rFonts w:ascii="Times New Roman" w:hAnsi="Times New Roman" w:cs="Times New Roman"/>
          <w:lang w:val="en-GB"/>
        </w:rPr>
        <w:t xml:space="preserve"> and structured validated interviews is low</w:t>
      </w:r>
      <w:r w:rsidR="006B7A9E">
        <w:rPr>
          <w:rFonts w:ascii="Times New Roman" w:hAnsi="Times New Roman" w:cs="Times New Roman"/>
          <w:lang w:val="en-GB"/>
        </w:rPr>
        <w:t xml:space="preserve"> </w:t>
      </w:r>
      <w:r w:rsidR="00153C13">
        <w:rPr>
          <w:rFonts w:ascii="Times New Roman" w:hAnsi="Times New Roman" w:cs="Times New Roman"/>
          <w:lang w:val="en-US" w:eastAsia="es-ES"/>
        </w:rPr>
        <w:fldChar w:fldCharType="begin" w:fldLock="1"/>
      </w:r>
      <w:r w:rsidR="006B7A9E">
        <w:rPr>
          <w:rFonts w:ascii="Times New Roman" w:hAnsi="Times New Roman" w:cs="Times New Roman"/>
          <w:lang w:val="en-US" w:eastAsia="es-ES"/>
        </w:rPr>
        <w:instrText>ADDIN CSL_CITATION { "citationItems" : [ { "id" : "ITEM-1", "itemData" : { "DOI" : "10.1016/j.genhosppsych.2012.01.012", "ISSN" : "1873-7714", "PMID" : "22341732", "abstract" : "OBJECTIVES: The objectives were to determine the levels of general practitioner (GP) recognition of anxiety disorders and examine associated factors.\n\nMETHODS: An epidemiological survey was carried out in 77 primary care centers representative of Catalonia. A total of 3815 patients were assessed.\n\nRESULTS: GPs identified 185 of the 666 individuals diagnosed as meeting the Structured Clinical Interview for DSM-IV Axis I Disorders (SCID-I) criteria for any anxiety disorder (sensitivity 0.28). Regarding specific anxiety disorders, panic disorder was registered in just three of the patients who, according to the SCID-I, did not meet the criteria for this condition .Generalized anxiety disorder was recorded by the GP in 46 cases, 4 of them being concordant with the SCID-I (sensitivity 0.03). The presence of comorbid hypertension was associated with an increased probability of recognition. Emotional problems as the patients' main complaint and additional appointments with a mental health specialist were associated with both adequate and erroneous recognition. Being female, having more frequent appointments with the GP and having higher levels of self-perceived stress were related to false positives. As disability increased, the probability of being erroneously detected decreased.\n\nCONCLUSION: GPs recognized anxiety disorders in some sufferers but still failed with respect to differentiating between anxiety disorder subtypes and disability assessment.", "author" : [ { "dropping-particle" : "", "family" : "Fern\u00e1ndez", "given" : "Anna", "non-dropping-particle" : "", "parse-names" : false, "suffix" : "" }, { "dropping-particle" : "", "family" : "Rubio-Valera", "given" : "Mar\u00eda", "non-dropping-particle" : "", "parse-names" : false, "suffix" : "" }, { "dropping-particle" : "", "family" : "Bell\u00f3n", "given" : "Juan a", "non-dropping-particle" : "", "parse-names" : false, "suffix" : "" }, { "dropping-particle" : "", "family" : "Pinto-Meza", "given" : "Alejandra", "non-dropping-particle" : "", "parse-names" : false, "suffix" : "" }, { "dropping-particle" : "", "family" : "Luciano", "given" : "Juan Vicente", "non-dropping-particle" : "", "parse-names" : false, "suffix" : "" }, { "dropping-particle" : "", "family" : "Mendive", "given" : "Juan M", "non-dropping-particle" : "", "parse-names" : false, "suffix" : "" }, { "dropping-particle" : "", "family" : "Haro", "given" : "Josep Maria", "non-dropping-particle" : "", "parse-names" : false, "suffix" : "" }, { "dropping-particle" : "", "family" : "Palao", "given" : "Diego J", "non-dropping-particle" : "", "parse-names" : false, "suffix" : "" }, { "dropping-particle" : "", "family" : "Serrano-Blanco", "given" : "Antoni", "non-dropping-particle" : "", "parse-names" : false, "suffix" : "" } ], "container-title" : "General hospital psychiatry", "id" : "ITEM-1", "issue" : "3", "issued" : { "date-parts" : [ [ "2012" ] ] }, "page" : "227-33", "publisher" : "Elsevier Inc.", "title" : "Recognition of anxiety disorders by the general practitioner: results from the DASMAP study.", "type" : "article-journal", "volume" : "34" }, "uris" : [ "http://www.mendeley.com/documents/?uuid=319b1b98-5422-4600-85d7-adb27d0c2a9b" ] }, { "id" : "ITEM-2", "itemData" : { "PMID" : "20302995", "abstract" : "Objectives: The aim of this study was to (1) to explore the validity of the depression diagnosis made by the general practitioner (GP) and factors associated with it, (2) to estimate rates of treatment adequacy for depression and factors associated with it and (3) to study how rates of treatment adequacy vary when using different assessment methods and criteria. Methods: Epidemiological survey carried out in 77 primary care centres representative of Catalonia. A total of 3815 patients were assessed. Results: GPs identified 69 out of the 339 individuals who were diagnosed with a major depressive episode according to the Structured Clinical Interview for DSM-IV Axis I Disorders (SCID-I) (sensitivity 0.22; kappa value: 0.16). The presence of emotional problems as the patients' primary complaint was associated with an increased probability of recognition. Rates of adequacy differed according to criteria: in the cases detected with the SCID-I interview, adequacy was 39.35% when using only patient self-reported data and 54.91% when taking into account data from the clinical chart. Rates of adequacy were higher when assessing adequacy among those considered depressed by the GP. Conclusion: GPs adequately treat most of those whom they consider to be depressed. However, they fail to recognise depressed patients when compared to a psychiatric gold standard. Rates of treatment adequacy varied widely depending on the method used to assess them. \u00a9 2010 Elsevier Inc.", "author" : [ { "dropping-particle" : "", "family" : "Fern\u00e1ndez", "given" : "Anna", "non-dropping-particle" : "", "parse-names" : false, "suffix" : "" }, { "dropping-particle" : "", "family" : "Pinto-Meza", "given" : "Alejandra", "non-dropping-particle" : "", "parse-names" : false, "suffix" : "" }, { "dropping-particle" : "", "family" : "Bell\u00f3n", "given" : "Juan Angel", "non-dropping-particle" : "", "parse-names" : false, "suffix" : "" }, { "dropping-particle" : "", "family" : "Roura-Poch", "given" : "Pere", "non-dropping-particle" : "", "parse-names" : false, "suffix" : "" }, { "dropping-particle" : "", "family" : "Haro", "given" : "Josep M.", "non-dropping-particle" : "", "parse-names" : false, "suffix" : "" }, { "dropping-particle" : "", "family" : "Autonell", "given" : "Jaume", "non-dropping-particle" : "", "parse-names" : false, "suffix" : "" }, { "dropping-particle" : "", "family" : "Palao", "given" : "Diego Jos\u00e9", "non-dropping-particle" : "", "parse-names" : false, "suffix" : "" }, { "dropping-particle" : "", "family" : "Pe\u00f1arrubia", "given" : "Mar\u00eda Teresa", "non-dropping-particle" : "", "parse-names" : false, "suffix" : "" }, { "dropping-particle" : "", "family" : "Fern\u00e1ndez", "given" : "Rita", "non-dropping-particle" : "", "parse-names" : false, "suffix" : "" }, { "dropping-particle" : "", "family" : "Blanco", "given" : "Elena", "non-dropping-particle" : "", "parse-names" : false, "suffix" : "" }, { "dropping-particle" : "", "family" : "Luciano", "given" : "Juan Vicente", "non-dropping-particle" : "", "parse-names" : false, "suffix" : "" }, { "dropping-particle" : "", "family" : "Serrano-Blanco", "given" : "Antoni", "non-dropping-particle" : "", "parse-names" : false, "suffix" : "" } ], "container-title" : "General Hospital Psychiatry", "id" : "ITEM-2", "issue" : "2", "issued" : { "date-parts" : [ [ "2010" ] ] }, "page" : "201-209", "title" : "Is major depression adequately diagnosed and treated by general practitioners? Results from an epidemiological study", "type" : "article-journal", "volume" : "32" }, "uris" : [ "http://www.mendeley.com/documents/?uuid=215e86ba-7c76-4618-a68b-aea4767e976d" ] } ], "mendeley" : { "formattedCitation" : "[7, 8]", "plainTextFormattedCitation" : "[7, 8]", "previouslyFormattedCitation" : "&lt;sup&gt;7,8&lt;/sup&gt;" }, "properties" : { "noteIndex" : 0 }, "schema" : "https://github.com/citation-style-language/schema/raw/master/csl-citation.json" }</w:instrText>
      </w:r>
      <w:r w:rsidR="00153C13">
        <w:rPr>
          <w:rFonts w:ascii="Times New Roman" w:hAnsi="Times New Roman" w:cs="Times New Roman"/>
          <w:lang w:val="en-US" w:eastAsia="es-ES"/>
        </w:rPr>
        <w:fldChar w:fldCharType="separate"/>
      </w:r>
      <w:r w:rsidR="006B7A9E" w:rsidRPr="006B7A9E">
        <w:rPr>
          <w:rFonts w:ascii="Times New Roman" w:hAnsi="Times New Roman" w:cs="Times New Roman"/>
          <w:noProof/>
          <w:lang w:val="en-US" w:eastAsia="es-ES"/>
        </w:rPr>
        <w:t>[7, 8]</w:t>
      </w:r>
      <w:r w:rsidR="00153C13">
        <w:rPr>
          <w:rFonts w:ascii="Times New Roman" w:hAnsi="Times New Roman" w:cs="Times New Roman"/>
          <w:lang w:val="en-US" w:eastAsia="es-ES"/>
        </w:rPr>
        <w:fldChar w:fldCharType="end"/>
      </w:r>
      <w:r w:rsidRPr="00BE3BFE">
        <w:rPr>
          <w:rFonts w:ascii="Times New Roman" w:hAnsi="Times New Roman" w:cs="Times New Roman"/>
          <w:lang w:val="en-GB"/>
        </w:rPr>
        <w:t xml:space="preserve"> and a high proportion of patients without mood disorders are treated with antidepressants and other psychotropic drugs</w:t>
      </w:r>
      <w:r w:rsidR="006B7A9E">
        <w:rPr>
          <w:rFonts w:ascii="Times New Roman" w:hAnsi="Times New Roman" w:cs="Times New Roman"/>
          <w:lang w:val="en-GB"/>
        </w:rPr>
        <w:t xml:space="preserve"> </w:t>
      </w:r>
      <w:r w:rsidR="00153C13">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"PMID" : "21926053", "abstract" : "BACKGROUND: Mental disorders (MDs) are mainly treated in primary care (PC), where psychotropic drug (PSD) prescribing is highly prevalent. Prescription of PSD is associated with clinical and non-clinical factors.\\n\\nPURPOSE: To describe the patterns of PSD prescribing over a 12-month period and to determine the factors associated with this in a PC population.\\n\\nMETHODS: Cross-sectional study. Data were collected on 3815 patients, via patient interview, on sociodemographics and MDs [Diagnostic and Statistical Manual of Mental Disorders (DSM-IV criteria)]. Computerized records provided data on PSD prescribing. Multilevel logistic regressions assessed the factors that influence prescribing.\\n\\nRESULTS: Thirty-four per cent of PC patients were prescribed PSDs &gt;12 months, with anxiolytics being the most commonly prescribed (22%). Fifty-three per cent of patients with any MD in this 12-month period were prescribed PSDs; however, 25% of patients without any of these disorders were also prescribed these medications. Higher rates of prescribing were associated with female gender, older age, presence of MD, being a househusband/housewife, consulting about psychological problems, increasing number of consultations and higher self-perceived disability. PSDs were less likely to be prescribed to patients born outside Spain and those consulting about physical conditions. PSD prescribing was higher in patients previously married and antipsychotic prescribing was higher in patients never married. No statistically significant associations were found between PSD prescription and education.\\n\\nCONCLUSIONS: PSD prescribing rates are high in Catalonia and are associated with a number of clinical and non-clinical factors. A significant proportion of patients are receiving these drugs in the absence of MD. These findings need to be considered when prescribing in PC.", "author" : [ { "dropping-particle" : "", "family" : "Rubio-valera", "given" : "Maria", "non-dropping-particle" : "", "parse-names" : false, "suffix" : "" }, { "dropping-particle" : "", "family" : "Fern\u00e1ndez", "given" : "Ana", "non-dropping-particle" : "", "parse-names" : false, "suffix" : "" }, { "dropping-particle" : "V.", "family" : "Luciano", "given" : "Juan", "non-dropping-particle" : "", "parse-names" : false, "suffix" : "" }, { "dropping-particle" : "", "family" : "Hughes", "given" : "Carmel M.", "non-dropping-particle" : "", "parse-names" : false, "suffix" : "" }, { "dropping-particle" : "", "family" : "Pinto-meza", "given" : "Alejandra", "non-dropping-particle" : "", "parse-names" : false, "suffix" : "" }, { "dropping-particle" : "", "family" : "Moreno-k\u00fcstner", "given" : "Berta", "non-dropping-particle" : "", "parse-names" : false, "suffix" : "" }, { "dropping-particle" : "", "family" : "Palao", "given" : "Diego J.", "non-dropping-particle" : "", "parse-names" : false, "suffix" : "" }, { "dropping-particle" : "", "family" : "Haro", "given" : "Josep Maria", "non-dropping-particle" : "", "parse-names" : false, "suffix" : "" }, { "dropping-particle" : "", "family" : "Serrano-blanco", "given" : "Antoni", "non-dropping-particle" : "", "parse-names" : false, "suffix" : "" } ], "container-title" : "Family Practice", "id" : "ITEM-1", "issue" : "2", "issued" : { "date-parts" : [ [ "2012" ] ] }, "page" : "154-162", "title" : "Psychotropic prescribing in catalonia: Results from an epidemiological study", "type" : "article-journal", "volume" : "29" }, "uris" : [ "http://www.mendeley.com/documents/?uuid=f1d784be-243c-42b5-98fd-bc6892e64355" ] } ], "mendeley" : { "formattedCitation" : "[9]", "plainTextFormattedCitation" : "[9]", "previouslyFormattedCitation" : "&lt;sup&gt;9&lt;/sup&gt;" }, "properties" : { "noteIndex" : 0 }, "schema" : "https://github.com/citation-style-language/schema/raw/master/csl-citation.json" }</w:instrText>
      </w:r>
      <w:r w:rsidR="00153C13">
        <w:rPr>
          <w:rFonts w:ascii="Times New Roman" w:hAnsi="Times New Roman" w:cs="Times New Roman"/>
          <w:lang w:val="en-GB"/>
        </w:rPr>
        <w:fldChar w:fldCharType="separate"/>
      </w:r>
      <w:r w:rsidR="006B7A9E" w:rsidRPr="006B7A9E">
        <w:rPr>
          <w:rFonts w:ascii="Times New Roman" w:hAnsi="Times New Roman" w:cs="Times New Roman"/>
          <w:noProof/>
          <w:lang w:val="en-GB"/>
        </w:rPr>
        <w:t>[9]</w:t>
      </w:r>
      <w:r w:rsidR="00153C13">
        <w:rPr>
          <w:rFonts w:ascii="Times New Roman" w:hAnsi="Times New Roman" w:cs="Times New Roman"/>
          <w:lang w:val="en-GB"/>
        </w:rPr>
        <w:fldChar w:fldCharType="end"/>
      </w:r>
      <w:r w:rsidR="006B7A9E">
        <w:rPr>
          <w:rFonts w:ascii="Times New Roman" w:hAnsi="Times New Roman" w:cs="Times New Roman"/>
          <w:lang w:val="en-GB"/>
        </w:rPr>
        <w:t>.</w:t>
      </w:r>
      <w:r w:rsidRPr="00BE3BFE">
        <w:rPr>
          <w:rFonts w:ascii="Times New Roman" w:hAnsi="Times New Roman" w:cs="Times New Roman"/>
          <w:lang w:val="en-GB" w:eastAsia="es-ES"/>
        </w:rPr>
        <w:t xml:space="preserve"> Routine use of </w:t>
      </w:r>
      <w:r w:rsidR="00B20112">
        <w:rPr>
          <w:rFonts w:ascii="Times New Roman" w:hAnsi="Times New Roman" w:cs="Times New Roman"/>
          <w:lang w:val="en-GB" w:eastAsia="es-ES"/>
        </w:rPr>
        <w:t>AM</w:t>
      </w:r>
      <w:r w:rsidRPr="00BE3BFE">
        <w:rPr>
          <w:rFonts w:ascii="Times New Roman" w:hAnsi="Times New Roman" w:cs="Times New Roman"/>
          <w:lang w:val="en-GB" w:eastAsia="es-ES"/>
        </w:rPr>
        <w:t xml:space="preserve"> could limit the exposure of patients with </w:t>
      </w:r>
      <w:r w:rsidRPr="00BE3BFE">
        <w:rPr>
          <w:rFonts w:ascii="Times New Roman" w:hAnsi="Times New Roman" w:cs="Times New Roman"/>
          <w:lang w:val="en-US" w:eastAsia="es-ES"/>
        </w:rPr>
        <w:t xml:space="preserve">minor depression or psychological distress to antidepressants. </w:t>
      </w:r>
      <w:r w:rsidRPr="00BE3BFE">
        <w:rPr>
          <w:rFonts w:ascii="Times New Roman" w:hAnsi="Times New Roman" w:cs="Times New Roman"/>
          <w:lang w:val="en-GB"/>
        </w:rPr>
        <w:t xml:space="preserve">Other advantages of </w:t>
      </w:r>
      <w:r w:rsidR="00B20112">
        <w:rPr>
          <w:rFonts w:ascii="Times New Roman" w:hAnsi="Times New Roman" w:cs="Times New Roman"/>
          <w:lang w:val="en-GB"/>
        </w:rPr>
        <w:t>AM</w:t>
      </w:r>
      <w:r w:rsidRPr="00BE3BFE">
        <w:rPr>
          <w:rFonts w:ascii="Times New Roman" w:hAnsi="Times New Roman" w:cs="Times New Roman"/>
          <w:lang w:val="en-GB"/>
        </w:rPr>
        <w:t xml:space="preserve"> include avoiding the side-effects of drugs and their interactions as well as limiting the burden of the stigma associated with the treatment. </w:t>
      </w:r>
    </w:p>
    <w:p w14:paraId="5E227B01" w14:textId="6EA78524" w:rsidR="00BE3BFE" w:rsidRPr="00BE3BFE" w:rsidRDefault="00BE3BFE" w:rsidP="00BE3BFE">
      <w:pPr>
        <w:spacing w:line="480" w:lineRule="auto"/>
        <w:jc w:val="both"/>
        <w:rPr>
          <w:rFonts w:ascii="Times New Roman" w:hAnsi="Times New Roman" w:cs="Times New Roman"/>
          <w:lang w:val="en-US" w:eastAsia="es-ES"/>
        </w:rPr>
      </w:pPr>
      <w:r w:rsidRPr="00BE3BFE">
        <w:rPr>
          <w:rFonts w:ascii="Times New Roman" w:hAnsi="Times New Roman" w:cs="Times New Roman"/>
          <w:lang w:val="en-US" w:eastAsia="es-ES"/>
        </w:rPr>
        <w:t xml:space="preserve">However, in real-life routine practice conditions, the heavy burden on physicians, their lack of training in psychotherapy and their attitudes towards mental health could limit adherence to clinical-guideline recommendations on </w:t>
      </w:r>
      <w:r w:rsidR="00B20112">
        <w:rPr>
          <w:rFonts w:ascii="Times New Roman" w:hAnsi="Times New Roman" w:cs="Times New Roman"/>
          <w:lang w:val="en-US" w:eastAsia="es-ES"/>
        </w:rPr>
        <w:t>AM</w:t>
      </w:r>
      <w:r w:rsidRPr="00BE3BFE">
        <w:rPr>
          <w:rFonts w:ascii="Times New Roman" w:hAnsi="Times New Roman" w:cs="Times New Roman"/>
          <w:lang w:val="en-US" w:eastAsia="es-ES"/>
        </w:rPr>
        <w:t xml:space="preserve"> interventions</w:t>
      </w:r>
      <w:r w:rsidR="006B7A9E">
        <w:rPr>
          <w:rFonts w:ascii="Times New Roman" w:hAnsi="Times New Roman" w:cs="Times New Roman"/>
          <w:lang w:val="en-US" w:eastAsia="es-ES"/>
        </w:rPr>
        <w:t xml:space="preserve"> </w:t>
      </w:r>
      <w:r w:rsidR="00DC2AC8">
        <w:rPr>
          <w:rFonts w:ascii="Times New Roman" w:hAnsi="Times New Roman" w:cs="Times New Roman"/>
          <w:lang w:val="en-US" w:eastAsia="es-ES"/>
        </w:rPr>
        <w:fldChar w:fldCharType="begin" w:fldLock="1"/>
      </w:r>
      <w:r w:rsidR="006B7A9E">
        <w:rPr>
          <w:rFonts w:ascii="Times New Roman" w:hAnsi="Times New Roman" w:cs="Times New Roman"/>
          <w:lang w:val="en-US" w:eastAsia="es-ES"/>
        </w:rPr>
        <w:instrText>ADDIN CSL_CITATION { "citationItems" : [ { "id" : "ITEM-1", "itemData" : { "ISSN" : "1075-2730", "PMID" : "17215415", "abstract" : "OBJECTIVES: Watchful waiting to manage depression in primary care may be an appropriate management approach for some patients who present with less severe depression. This study examined factors associated with primary care clinicians' choice of a watchful waiting approach to care management for depression. METHODS: Secondary data were analyzed from Partners in Care, which examined dissemination of best practices for depression in primary care. Primary care clinicians' decisions regarding watchful waiting were examined by using the baseline survey data from Partners in Care completed by clinicians and patients from February 1996 to March 1997. Participants were 167 primary care clinicians from 46 practices of seven managed care organizations across the United States and their 1,187 patients with depression. Primary care clinicians' proclivity for watchful waiting was examined by using a brief scenario describing a patient with major depressive disorder. RESULTS: Thirty-four clinicians (20 percent) reported a strong proclivity to use watchful waiting for the patient in the scenario. The proclivity was significantly associated with clinicians' reports of the proportion of their actual patients with whom they used this approach. Clinicians were significantly more likely to choose watchful waiting for their actual patients if they had more psychotherapy knowledge (p=.035) or perceived that the need to treat the patient's medical illness was more important than the need to treat his or her mental illness (p=.046) and were less likely to choose a watchful waiting approach if they perceived the lack of availability of mental health professionals as a barrier (p=.050). CONCLUSIONS: Primary care clinicians' knowledge of treatment and perception of barriers influence their proclivity for watchful waiting. Clinician education to promote appropriate use of watchful waiting on the basis of clinical need is recommended.", "author" : [ { "dropping-particle" : "", "family" : "Meredith", "given" : "Lisa S", "non-dropping-particle" : "", "parse-names" : false, "suffix" : "" }, { "dropping-particle" : "", "family" : "Cheng", "given" : "Wendy J Y", "non-dropping-particle" : "", "parse-names" : false, "suffix" : "" }, { "dropping-particle" : "", "family" : "Hickey", "given" : "Scot C", "non-dropping-particle" : "", "parse-names" : false, "suffix" : "" }, { "dropping-particle" : "", "family" : "Dwight-Johnson", "given" : "Megan", "non-dropping-particle" : "", "parse-names" : false, "suffix" : "" } ], "container-title" : "Psychiatric services (Washington, D.C.)", "id" : "ITEM-1", "issue" : "1", "issued" : { "date-parts" : [ [ "2007" ] ] }, "page" : "72-78", "title" : "Factors associated with primary care clinicians' choice of a watchful waiting approach to managing depression.", "type" : "article-journal", "volume" : "58" }, "uris" : [ "http://www.mendeley.com/documents/?uuid=a6589c28-b6cc-4ae0-af80-c2351fa39069" ] }, { "id" : "ITEM-2", "itemData" : { "DOI" : "10.1093/fampra/cmx054", "ISSN" : "0263-2136", "PMID" : "28985309", "abstract" : "Background The benefits of watchful waiting (WW) over antidepressants (ADs) for the treatment of depression in primary care (PC) are unclear. Objective We aimed to systematically review the evidence supporting either WW or ADs for the treatment of subclinical depressive symptoms and mild-moderate depression in a PC setting. Methods This systematic review was registered at PROSPERO (42016036345). Four electronic sources (EMBASE, PubMed, PsycINFO, Web of Knowledge) were systematically searched from inception to November 2016 for controlled trials comparing WW and ADs in PC following established guidelines. The studies had to include adult population with new symptoms of subclinical depression or mild-moderate depression. Patients in the intervention group should receive a WW approach, while patients in the control group underwent treatment with ADs. The abstraction form included information on the setting, characteristics of the study population, total sample size, size of the control and intervention groups and date of the study. Outcome measures and variability were extracted. Results The scarcity of studies and the considerable clinical and methodological heterogeneity discouraged us from performing a meta-analysis. Three articles were included and qualitatively synthesized. There was no evidence for the superiority of one treatment option over the other, although two of the studies suggested small differences in favour of ADs when less conservative analyses were conducted (per protocol analysis and analysis not adjusted for missingness predictors). Conclusions Superiority was not demonstrated by either treatment option. More robust evidence is needed to inform recommendations for the management of depressive symptoms in PC.", "author" : [ { "dropping-particle" : "", "family" : "Iglesias-Gonz\u00e1lez", "given" : "Maria", "non-dropping-particle" : "", "parse-names" : false, "suffix" : "" }, { "dropping-particle" : "", "family" : "Aznar-Lou", "given" : "Ignacio", "non-dropping-particle" : "", "parse-names" : false, "suffix" : "" }, { "dropping-particle" : "", "family" : "Gil-Girbau", "given" : "Montse", "non-dropping-particle" : "", "parse-names" : false, "suffix" : "" }, { "dropping-particle" : "", "family" : "Moreno-Peral", "given" : "Patricia", "non-dropping-particle" : "", "parse-names" : false, "suffix" : "" }, { "dropping-particle" : "", "family" : "Pe\u00f1arrubia-Mar\u00eda", "given" : "M Teresa", "non-dropping-particle" : "", "parse-names" : false, "suffix" : "" }, { "dropping-particle" : "", "family" : "Rubio-Valera", "given" : "Maria", "non-dropping-particle" : "", "parse-names" : false, "suffix" : "" }, { "dropping-particle" : "", "family" : "Serrano-Blanco", "given" : "Antoni", "non-dropping-particle" : "", "parse-names" : false, "suffix" : "" } ], "container-title" : "Family Practice", "id" : "ITEM-2", "issue" : "6", "issued" : { "date-parts" : [ [ "2017", "11", "16" ] ] }, "page" : "639-648", "title" : "Comparing watchful waiting with antidepressants for the management of subclinical depression symptoms to mild\u2013moderate depression in primary care: a systematic review", "type" : "article-journal", "volume" : "34" }, "uris" : [ "http://www.mendeley.com/documents/?uuid=2b63a970-5f62-3e42-998e-32b1cb2224d5" ] } ], "mendeley" : { "formattedCitation" : "[10, 11]", "plainTextFormattedCitation" : "[10, 11]", "previouslyFormattedCitation" : "&lt;sup&gt;10,11&lt;/sup&gt;" }, "properties" : { "noteIndex" : 0 }, "schema" : "https://github.com/citation-style-language/schema/raw/master/csl-citation.json" }</w:instrText>
      </w:r>
      <w:r w:rsidR="00DC2AC8">
        <w:rPr>
          <w:rFonts w:ascii="Times New Roman" w:hAnsi="Times New Roman" w:cs="Times New Roman"/>
          <w:lang w:val="en-US" w:eastAsia="es-ES"/>
        </w:rPr>
        <w:fldChar w:fldCharType="separate"/>
      </w:r>
      <w:r w:rsidR="006B7A9E" w:rsidRPr="006B7A9E">
        <w:rPr>
          <w:rFonts w:ascii="Times New Roman" w:hAnsi="Times New Roman" w:cs="Times New Roman"/>
          <w:noProof/>
          <w:lang w:val="en-US" w:eastAsia="es-ES"/>
        </w:rPr>
        <w:t>[10, 11]</w:t>
      </w:r>
      <w:r w:rsidR="00DC2AC8">
        <w:rPr>
          <w:rFonts w:ascii="Times New Roman" w:hAnsi="Times New Roman" w:cs="Times New Roman"/>
          <w:lang w:val="en-US" w:eastAsia="es-ES"/>
        </w:rPr>
        <w:fldChar w:fldCharType="end"/>
      </w:r>
      <w:r w:rsidR="006B7A9E">
        <w:rPr>
          <w:rFonts w:ascii="Times New Roman" w:hAnsi="Times New Roman" w:cs="Times New Roman"/>
          <w:lang w:val="en-US" w:eastAsia="es-ES"/>
        </w:rPr>
        <w:t>,</w:t>
      </w:r>
      <w:r w:rsidR="00F76044">
        <w:rPr>
          <w:rFonts w:ascii="Times New Roman" w:hAnsi="Times New Roman" w:cs="Times New Roman"/>
          <w:lang w:val="en-US" w:eastAsia="es-ES"/>
        </w:rPr>
        <w:t xml:space="preserve"> </w:t>
      </w:r>
      <w:r w:rsidRPr="00BE3BFE">
        <w:rPr>
          <w:rFonts w:ascii="Times New Roman" w:hAnsi="Times New Roman" w:cs="Times New Roman"/>
          <w:lang w:val="en-US" w:eastAsia="es-ES"/>
        </w:rPr>
        <w:t xml:space="preserve">leading to patients receiving </w:t>
      </w:r>
      <w:r w:rsidRPr="00BE3BFE">
        <w:rPr>
          <w:rFonts w:ascii="Times New Roman" w:hAnsi="Times New Roman" w:cs="Times New Roman"/>
          <w:lang w:val="en-US" w:eastAsia="es-ES"/>
        </w:rPr>
        <w:lastRenderedPageBreak/>
        <w:t>no treatment at all</w:t>
      </w:r>
      <w:r w:rsidR="006B7A9E">
        <w:rPr>
          <w:rFonts w:ascii="Times New Roman" w:hAnsi="Times New Roman" w:cs="Times New Roman"/>
          <w:lang w:val="en-US" w:eastAsia="es-ES"/>
        </w:rPr>
        <w:t xml:space="preserve"> </w:t>
      </w:r>
      <w:r w:rsidR="009D1A87">
        <w:rPr>
          <w:rFonts w:ascii="Times New Roman" w:hAnsi="Times New Roman" w:cs="Times New Roman"/>
          <w:lang w:val="en-US" w:eastAsia="es-ES"/>
        </w:rPr>
        <w:fldChar w:fldCharType="begin" w:fldLock="1"/>
      </w:r>
      <w:r w:rsidR="006B7A9E">
        <w:rPr>
          <w:rFonts w:ascii="Times New Roman" w:hAnsi="Times New Roman" w:cs="Times New Roman"/>
          <w:lang w:val="en-US" w:eastAsia="es-ES"/>
        </w:rPr>
        <w:instrText>ADDIN CSL_CITATION { "citationItems" : [ { "id" : "ITEM-1", "itemData" : { "PMID" : "16675363", "abstract" : "Objectives: The objectives of this study were to determine remission rates and predictors of improvement for minor depression following a 1-month watchful waiting period in primary care and to describe the watchful waiting processes. Methods: Prior to randomization into a clinical trial for minor depression, 111 participants were entered into a 1-month watchful waiting period. Depression severity and predictors of improvement were measured at the start of watchful waiting. At the end of watchful waiting, remission rates were calculated and predictor variables were analyzed for their contribution toward predicting improvement. Results: Remission rates were low, ranging from 9% to 13%, depending on the measure. Avoidant coping style and frequency of engaging in active pleasant events at baseline accounted for the majority of change in depression. During watchful waiting, about one fifth of the sample (21%) had at least one contact with their physician and 27% reported using self-initiated treatments. Conclusions: There is a low likelihood of spontaneous remission for treatment-seeking samples with minor depression in primary care. An avoidant coping style seriously interferes with remission, and engaging in regular active pleasant events confers an advantage. Feasible interventions for primary care that promote activity and decrease avoidant coping styles may improve outcomes. These findings may not generalize to community and non-treatment-seeking samples. ?? 2006 Elsevier Inc. All rights reserved.", "author" : [ { "dropping-particle" : "", "family" : "Hegel", "given" : "Mark T.", "non-dropping-particle" : "", "parse-names" : false, "suffix" : "" }, { "dropping-particle" : "", "family" : "Oxman", "given" : "Thomas E.", "non-dropping-particle" : "", "parse-names" : false, "suffix" : "" }, { "dropping-particle" : "", "family" : "Hull", "given" : "Jay G.", "non-dropping-particle" : "", "parse-names" : false, "suffix" : "" }, { "dropping-particle" : "", "family" : "Swain", "given" : "Karin", "non-dropping-particle" : "", "parse-names" : false, "suffix" : "" }, { "dropping-particle" : "", "family" : "Swick", "given" : "Holly", "non-dropping-particle" : "", "parse-names" : false, "suffix" : "" } ], "container-title" : "General Hospital Psychiatry", "id" : "ITEM-1", "issue" : "3", "issued" : { "date-parts" : [ [ "2006" ] ] }, "page" : "205-212", "title" : "Watchful waiting for minor depression in primary care: remission rates and predictors of improvement", "type" : "article-journal", "volume" : "28" }, "uris" : [ "http://www.mendeley.com/documents/?uuid=1144c6da-80f0-4239-b4f8-64da9f991b62" ] } ], "mendeley" : { "formattedCitation" : "[5]", "plainTextFormattedCitation" : "[5]", "previouslyFormattedCitation" : "&lt;sup&gt;5&lt;/sup&gt;" }, "properties" : { "noteIndex" : 0 }, "schema" : "https://github.com/citation-style-language/schema/raw/master/csl-citation.json" }</w:instrText>
      </w:r>
      <w:r w:rsidR="009D1A87">
        <w:rPr>
          <w:rFonts w:ascii="Times New Roman" w:hAnsi="Times New Roman" w:cs="Times New Roman"/>
          <w:lang w:val="en-US" w:eastAsia="es-ES"/>
        </w:rPr>
        <w:fldChar w:fldCharType="separate"/>
      </w:r>
      <w:r w:rsidR="006B7A9E" w:rsidRPr="006B7A9E">
        <w:rPr>
          <w:rFonts w:ascii="Times New Roman" w:hAnsi="Times New Roman" w:cs="Times New Roman"/>
          <w:noProof/>
          <w:lang w:val="en-US" w:eastAsia="es-ES"/>
        </w:rPr>
        <w:t>[5]</w:t>
      </w:r>
      <w:r w:rsidR="009D1A87">
        <w:rPr>
          <w:rFonts w:ascii="Times New Roman" w:hAnsi="Times New Roman" w:cs="Times New Roman"/>
          <w:lang w:val="en-US" w:eastAsia="es-ES"/>
        </w:rPr>
        <w:fldChar w:fldCharType="end"/>
      </w:r>
      <w:r w:rsidR="006B7A9E">
        <w:rPr>
          <w:rFonts w:ascii="Times New Roman" w:hAnsi="Times New Roman" w:cs="Times New Roman"/>
          <w:lang w:val="en-US" w:eastAsia="es-ES"/>
        </w:rPr>
        <w:t>.</w:t>
      </w:r>
      <w:r w:rsidRPr="00BE3BFE">
        <w:rPr>
          <w:rFonts w:ascii="Times New Roman" w:hAnsi="Times New Roman" w:cs="Times New Roman"/>
          <w:lang w:val="en-US"/>
        </w:rPr>
        <w:t xml:space="preserve"> Lack of treatment could result in </w:t>
      </w:r>
      <w:r w:rsidRPr="00BE3BFE">
        <w:rPr>
          <w:rFonts w:ascii="Times New Roman" w:hAnsi="Times New Roman" w:cs="Times New Roman"/>
          <w:lang w:val="en-US" w:eastAsia="es-ES"/>
        </w:rPr>
        <w:t xml:space="preserve">worsening symptoms and increasing costs associated with health service use and productivity losses. </w:t>
      </w:r>
    </w:p>
    <w:p w14:paraId="6BD5BA37" w14:textId="02745FC7" w:rsidR="00BE3BFE" w:rsidRPr="00BE3BFE" w:rsidRDefault="00BE3BFE" w:rsidP="00BE3BFE">
      <w:pPr>
        <w:spacing w:line="480" w:lineRule="auto"/>
        <w:jc w:val="both"/>
        <w:rPr>
          <w:rFonts w:ascii="Times New Roman" w:hAnsi="Times New Roman" w:cs="Times New Roman"/>
          <w:color w:val="000000"/>
          <w:shd w:val="clear" w:color="auto" w:fill="FFFFFF"/>
          <w:lang w:val="en-GB"/>
        </w:rPr>
      </w:pPr>
      <w:r w:rsidRPr="00BE3BFE">
        <w:rPr>
          <w:rFonts w:ascii="Times New Roman" w:hAnsi="Times New Roman" w:cs="Times New Roman"/>
          <w:lang w:val="en-US"/>
        </w:rPr>
        <w:t xml:space="preserve">Available evidence on the efficiency of </w:t>
      </w:r>
      <w:r w:rsidR="00B20112">
        <w:rPr>
          <w:rFonts w:ascii="Times New Roman" w:hAnsi="Times New Roman" w:cs="Times New Roman"/>
          <w:lang w:val="en-US"/>
        </w:rPr>
        <w:t>AM</w:t>
      </w:r>
      <w:r w:rsidRPr="00BE3BFE">
        <w:rPr>
          <w:rFonts w:ascii="Times New Roman" w:hAnsi="Times New Roman" w:cs="Times New Roman"/>
          <w:lang w:val="en-US"/>
        </w:rPr>
        <w:t xml:space="preserve"> in comparison with antidepressants is limited and contradictory. An economic evaluation comparing treatment with and without antidepressants in patients with minor or mild-major depressive disorder observed no differences in cost-effectiveness between the two treatment strategies</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"PMID" : "18342952", "abstract" : "Background: Minor depression is common in primary care and associated with increased health care costs. Many mildly depressed patients are prescribed antidepressants, although there is insufficient information on the cost-effectiveness of antidepressants for these patients. The objective of this study was to evaluate whether usual care without antidepressants is equivalent to (i.e. as effective as and as expensive as) usual care with antidepressants in patients with minor or mild-major depression. Methods: Severity of depression was measured using the Montgomery Asberg Depression Rating Scale (MADRS) and quality-adjusted life-years (QALYs) using the EuroQol. Resource use was measured from a societal perspective using cost diaries. Bootstrapping was used to analyze the cost-effectiveness data. Results: Equivalence could not be shown for improvement in MADRS score or QALYs gained at 52??weeks. The mean (95% CI) difference in total costs between usual care without antidepressants and usual care with antidepressants was - ???751 (- 3601; 1522). Using an equivalence margin of ???500 equivalence in costs could not be shown. In the cost-effectiveness analyses equivalence also could not be shown. Limitations: This study was underpowered for economic outcomes. Another limitation was the loss-to-follow-up. Conclusions: Although equivalence could not be shown in the costs and cost-effectiveness analyses, 95% confidence intervals also did not show that usual care without antidepressants was vastly superior or inferior to usual care with antidepressants. Therefore, we recommend general practitioners to show restraint when prescribing antidepressants to mildly depressed patients. ?? 2008 Elsevier B.V. All rights reserved.", "author" : [ { "dropping-particle" : "", "family" : "Bosmans", "given" : "Judith E.", "non-dropping-particle" : "", "parse-names" : false, "suffix" : "" }, { "dropping-particle" : "", "family" : "Hermens", "given" : "M. L M", "non-dropping-particle" : "", "parse-names" : false, "suffix" : "" }, { "dropping-particle" : "", "family" : "Bruijne", "given" : "Martine C.", "non-dropping-particle" : "de", "parse-names" : false, "suffix" : "" }, { "dropping-particle" : "", "family" : "Hout", "given" : "H. P J", "non-dropping-particle" : "van", "parse-names" : false, "suffix" : "" }, { "dropping-particle" : "", "family" : "Terluin", "given" : "Berend", "non-dropping-particle" : "", "parse-names" : false, "suffix" : "" }, { "dropping-particle" : "", "family" : "Bouter", "given" : "Lex M.", "non-dropping-particle" : "", "parse-names" : false, "suffix" : "" }, { "dropping-particle" : "", "family" : "Stalman", "given" : "W. A B", "non-dropping-particle" : "", "parse-names" : false, "suffix" : "" }, { "dropping-particle" : "", "family" : "Tulder", "given" : "Maurits W.", "non-dropping-particle" : "van", "parse-names" : false, "suffix" : "" } ], "container-title" : "Journal of Affective Disorders", "id" : "ITEM-1", "issue" : "1", "issued" : { "date-parts" : [ [ "2008" ] ] }, "page" : "106-112", "title" : "Cost-effectiveness of usual general practitioner care with or without antidepressant medication for patients with minor or mild-major depression", "type" : "article-journal", "volume" : "111" }, "uris" : [ "http://www.mendeley.com/documents/?uuid=15694c84-e69b-4903-b01a-1bd5c1f3eae5" ] } ], "mendeley" : { "formattedCitation" : "[12]", "plainTextFormattedCitation" : "[12]", "previouslyFormattedCitation" : "&lt;sup&gt;12&lt;/sup&gt;"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[12]</w:t>
      </w:r>
      <w:r w:rsidR="009D1A87">
        <w:rPr>
          <w:rFonts w:ascii="Times New Roman" w:hAnsi="Times New Roman" w:cs="Times New Roman"/>
          <w:lang w:val="en-US"/>
        </w:rPr>
        <w:fldChar w:fldCharType="end"/>
      </w:r>
      <w:r w:rsidR="006B7A9E">
        <w:rPr>
          <w:rFonts w:ascii="Times New Roman" w:hAnsi="Times New Roman" w:cs="Times New Roman"/>
          <w:lang w:val="en-US"/>
        </w:rPr>
        <w:t>.</w:t>
      </w:r>
      <w:r w:rsidRPr="00BE3BFE">
        <w:rPr>
          <w:rFonts w:ascii="Times New Roman" w:hAnsi="Times New Roman" w:cs="Times New Roman"/>
          <w:color w:val="000000"/>
          <w:shd w:val="clear" w:color="auto" w:fill="FFFFFF"/>
          <w:lang w:val="en-GB"/>
        </w:rPr>
        <w:t xml:space="preserve"> Conversely, the THREAD study</w:t>
      </w:r>
      <w:r w:rsidR="006B7A9E">
        <w:rPr>
          <w:rFonts w:ascii="Times New Roman" w:hAnsi="Times New Roman" w:cs="Times New Roman"/>
          <w:color w:val="000000"/>
          <w:shd w:val="clear" w:color="auto" w:fill="FFFFFF"/>
          <w:lang w:val="en-GB"/>
        </w:rPr>
        <w:t xml:space="preserve"> </w:t>
      </w:r>
      <w:r w:rsidR="009D1A87">
        <w:rPr>
          <w:rFonts w:ascii="Times New Roman" w:hAnsi="Times New Roman" w:cs="Times New Roman"/>
          <w:color w:val="000000"/>
          <w:shd w:val="clear" w:color="auto" w:fill="FFFFFF"/>
          <w:lang w:val="en-GB"/>
        </w:rPr>
        <w:fldChar w:fldCharType="begin" w:fldLock="1"/>
      </w:r>
      <w:r w:rsidR="006B7A9E">
        <w:rPr>
          <w:rFonts w:ascii="Times New Roman" w:hAnsi="Times New Roman" w:cs="Times New Roman"/>
          <w:color w:val="000000"/>
          <w:shd w:val="clear" w:color="auto" w:fill="FFFFFF"/>
          <w:lang w:val="en-GB"/>
        </w:rPr>
        <w:instrText>ADDIN CSL_CITATION { "citationItems" : [ { "id" : "ITEM-1", "itemData" : { "DOI" : "10.3310/hta13220", "author" : [ { "dropping-particle" : "", "family" : "Kendrick", "given" : "T", "non-dropping-particle" : "", "parse-names" : false, "suffix" : "" }, { "dropping-particle" : "", "family" : "Chatwin", "given" : "J", "non-dropping-particle" : "", "parse-names" : false, "suffix" : "" }, { "dropping-particle" : "", "family" : "Dowrick", "given" : "C", "non-dropping-particle" : "", "parse-names" : false, "suffix" : "" }, { "dropping-particle" : "", "family" : "Tylee", "given" : "A", "non-dropping-particle" : "", "parse-names" : false, "suffix" : "" }, { "dropping-particle" : "", "family" : "Morriss", "given" : "R", "non-dropping-particle" : "", "parse-names" : false, "suffix" : "" }, { "dropping-particle" : "", "family" : "Peveler", "given" : "R", "non-dropping-particle" : "", "parse-names" : false, "suffix" : "" }, { "dropping-particle" : "", "family" : "Leese", "given" : "M", "non-dropping-particle" : "", "parse-names" : false, "suffix" : "" }, { "dropping-particle" : "", "family" : "McCrone", "given" : "P", "non-dropping-particle" : "", "parse-names" : false, "suffix" : "" }, { "dropping-particle" : "", "family" : "Harris", "given" : "T", "non-dropping-particle" : "", "parse-names" : false, "suffix" : "" }, { "dropping-particle" : "", "family" : "Moore", "given" : "M", "non-dropping-particle" : "", "parse-names" : false, "suffix" : "" }, { "dropping-particle" : "", "family" : "Byng", "given" : "R", "non-dropping-particle" : "", "parse-names" : false, "suffix" : "" }, { "dropping-particle" : "", "family" : "Brown", "given" : "G", "non-dropping-particle" : "", "parse-names" : false, "suffix" : "" }, { "dropping-particle" : "", "family" : "Barthel", "given" : "S", "non-dropping-particle" : "", "parse-names" : false, "suffix" : "" }, { "dropping-particle" : "", "family" : "Mander", "given" : "H", "non-dropping-particle" : "", "parse-names" : false, "suffix" : "" }, { "dropping-particle" : "", "family" : "Ring", "given" : "A", "non-dropping-particle" : "", "parse-names" : false, "suffix" : "" }, { "dropping-particle" : "", "family" : "Kelly", "given" : "V", "non-dropping-particle" : "", "parse-names" : false, "suffix" : "" }, { "dropping-particle" : "", "family" : "Wallace", "given" : "V", "non-dropping-particle" : "", "parse-names" : false, "suffix" : "" }, { "dropping-particle" : "", "family" : "Gabbay", "given" : "M", "non-dropping-particle" : "", "parse-names" : false, "suffix" : "" }, { "dropping-particle" : "", "family" : "Craig", "given" : "T", "non-dropping-particle" : "", "parse-names" : false, "suffix" : "" }, { "dropping-particle" : "", "family" : "Mann", "given" : "A", "non-dropping-particle" : "", "parse-names" : false, "suffix" : "" } ], "container-title" : "Health technology assessment (Winchester, England)", "id" : "ITEM-1", "issue" : "22", "issued" : { "date-parts" : [ [ "2009" ] ] }, "note" : "Leese, Morven/E-4195-2010; Tylee, Andre/D-8468-2010\n0", "page" : "iii-iv, ix-xi, 1-159", "title" : "Randomised controlled trial to determine the clinical effectiveness and cost-effectiveness of selective serotonin reuptake inhibitors plus supportive care, versus supportive care alone, for mild to moderate depression with somatic symptoms in primary care", "type" : "article-journal", "volume" : "13" }, "uris" : [ "http://www.mendeley.com/documents/?uuid=cce26339-eaae-4a01-a72b-6679b354a6ce" ] } ], "mendeley" : { "formattedCitation" : "[13]", "plainTextFormattedCitation" : "[13]", "previouslyFormattedCitation" : "&lt;sup&gt;13&lt;/sup&gt;" }, "properties" : { "noteIndex" : 0 }, "schema" : "https://github.com/citation-style-language/schema/raw/master/csl-citation.json" }</w:instrText>
      </w:r>
      <w:r w:rsidR="009D1A87">
        <w:rPr>
          <w:rFonts w:ascii="Times New Roman" w:hAnsi="Times New Roman" w:cs="Times New Roman"/>
          <w:color w:val="000000"/>
          <w:shd w:val="clear" w:color="auto" w:fill="FFFFFF"/>
          <w:lang w:val="en-GB"/>
        </w:rPr>
        <w:fldChar w:fldCharType="separate"/>
      </w:r>
      <w:r w:rsidR="006B7A9E" w:rsidRPr="006B7A9E">
        <w:rPr>
          <w:rFonts w:ascii="Times New Roman" w:hAnsi="Times New Roman" w:cs="Times New Roman"/>
          <w:noProof/>
          <w:color w:val="000000"/>
          <w:shd w:val="clear" w:color="auto" w:fill="FFFFFF"/>
          <w:lang w:val="en-GB"/>
        </w:rPr>
        <w:t>[13]</w:t>
      </w:r>
      <w:r w:rsidR="009D1A87">
        <w:rPr>
          <w:rFonts w:ascii="Times New Roman" w:hAnsi="Times New Roman" w:cs="Times New Roman"/>
          <w:color w:val="000000"/>
          <w:shd w:val="clear" w:color="auto" w:fill="FFFFFF"/>
          <w:lang w:val="en-GB"/>
        </w:rPr>
        <w:fldChar w:fldCharType="end"/>
      </w:r>
      <w:r w:rsidRPr="00BE3BFE">
        <w:rPr>
          <w:rFonts w:ascii="Times New Roman" w:hAnsi="Times New Roman" w:cs="Times New Roman"/>
          <w:color w:val="000000"/>
          <w:shd w:val="clear" w:color="auto" w:fill="FFFFFF"/>
          <w:lang w:val="en-GB"/>
        </w:rPr>
        <w:t xml:space="preserve"> showed that the use of </w:t>
      </w:r>
      <w:r w:rsidR="00DC2AC8">
        <w:rPr>
          <w:rFonts w:ascii="Times New Roman" w:hAnsi="Times New Roman" w:cs="Times New Roman"/>
          <w:color w:val="000000"/>
          <w:shd w:val="clear" w:color="auto" w:fill="FFFFFF"/>
          <w:lang w:val="en-GB"/>
        </w:rPr>
        <w:t>antidepressants</w:t>
      </w:r>
      <w:r w:rsidRPr="00BE3BFE">
        <w:rPr>
          <w:rFonts w:ascii="Times New Roman" w:hAnsi="Times New Roman" w:cs="Times New Roman"/>
          <w:color w:val="000000"/>
          <w:shd w:val="clear" w:color="auto" w:fill="FFFFFF"/>
          <w:lang w:val="en-GB"/>
        </w:rPr>
        <w:t xml:space="preserve"> plus supportive care could be more efficient than supportive care alone, although the probability of the intervention with antidepressants being more cost-effective was only </w:t>
      </w:r>
      <w:r w:rsidR="0037751B">
        <w:rPr>
          <w:rFonts w:ascii="Times New Roman" w:hAnsi="Times New Roman" w:cs="Times New Roman"/>
          <w:color w:val="000000"/>
          <w:shd w:val="clear" w:color="auto" w:fill="FFFFFF"/>
          <w:lang w:val="en-GB"/>
        </w:rPr>
        <w:t>75% for a value of</w:t>
      </w:r>
      <w:r w:rsidRPr="00BE3BFE">
        <w:rPr>
          <w:rFonts w:ascii="Times New Roman" w:hAnsi="Times New Roman" w:cs="Times New Roman"/>
          <w:color w:val="000000"/>
          <w:shd w:val="clear" w:color="auto" w:fill="FFFFFF"/>
          <w:lang w:val="en-GB"/>
        </w:rPr>
        <w:t xml:space="preserve"> £30,000 per QALY</w:t>
      </w:r>
      <w:r w:rsidR="0037751B">
        <w:rPr>
          <w:rFonts w:ascii="Times New Roman" w:hAnsi="Times New Roman" w:cs="Times New Roman"/>
          <w:color w:val="000000"/>
          <w:shd w:val="clear" w:color="auto" w:fill="FFFFFF"/>
          <w:lang w:val="en-GB"/>
        </w:rPr>
        <w:t xml:space="preserve"> </w:t>
      </w:r>
      <w:r w:rsidRPr="00BE3BFE">
        <w:rPr>
          <w:rFonts w:ascii="Times New Roman" w:hAnsi="Times New Roman" w:cs="Times New Roman"/>
          <w:color w:val="000000"/>
          <w:shd w:val="clear" w:color="auto" w:fill="FFFFFF"/>
          <w:lang w:val="en-GB"/>
        </w:rPr>
        <w:t>and the probability of the intervention being more cost-effective diminished from 12 to 26 weeks.</w:t>
      </w:r>
    </w:p>
    <w:p w14:paraId="0155BC8E"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In this study, we evaluated the cost-effectiveness of </w:t>
      </w:r>
      <w:r w:rsidR="00B20112">
        <w:rPr>
          <w:rFonts w:ascii="Times New Roman" w:hAnsi="Times New Roman" w:cs="Times New Roman"/>
          <w:lang w:val="en-US"/>
        </w:rPr>
        <w:t>AM</w:t>
      </w:r>
      <w:r w:rsidRPr="00BE3BFE">
        <w:rPr>
          <w:rFonts w:ascii="Times New Roman" w:hAnsi="Times New Roman" w:cs="Times New Roman"/>
          <w:lang w:val="en-US"/>
        </w:rPr>
        <w:t xml:space="preserve"> in comparison with antidepressants for the treatment of mild-to-moderate major depression in PC. The study aimed to evaluate </w:t>
      </w:r>
      <w:r w:rsidR="00B20112">
        <w:rPr>
          <w:rFonts w:ascii="Times New Roman" w:hAnsi="Times New Roman" w:cs="Times New Roman"/>
          <w:lang w:val="en-US"/>
        </w:rPr>
        <w:t>AM</w:t>
      </w:r>
      <w:r w:rsidRPr="00BE3BFE">
        <w:rPr>
          <w:rFonts w:ascii="Times New Roman" w:hAnsi="Times New Roman" w:cs="Times New Roman"/>
          <w:lang w:val="en-US"/>
        </w:rPr>
        <w:t xml:space="preserve"> </w:t>
      </w:r>
      <w:r w:rsidR="00E63695">
        <w:rPr>
          <w:rFonts w:ascii="Times New Roman" w:hAnsi="Times New Roman" w:cs="Times New Roman"/>
          <w:lang w:val="en-US"/>
        </w:rPr>
        <w:t>in an observational controlled trial</w:t>
      </w:r>
      <w:r w:rsidRPr="00BE3BFE">
        <w:rPr>
          <w:rFonts w:ascii="Times New Roman" w:hAnsi="Times New Roman" w:cs="Times New Roman"/>
          <w:lang w:val="en-US"/>
        </w:rPr>
        <w:t>.</w:t>
      </w:r>
    </w:p>
    <w:p w14:paraId="512F4EB4" w14:textId="77777777" w:rsidR="00BE3BFE" w:rsidRPr="00BE3BFE" w:rsidRDefault="00BE3BFE" w:rsidP="00F76044">
      <w:pPr>
        <w:pStyle w:val="Heading1"/>
        <w:rPr>
          <w:rFonts w:ascii="Times New Roman" w:hAnsi="Times New Roman"/>
          <w:lang w:val="en-US"/>
        </w:rPr>
      </w:pPr>
      <w:r w:rsidRPr="00BE3BFE">
        <w:rPr>
          <w:rFonts w:ascii="Times New Roman" w:hAnsi="Times New Roman"/>
          <w:lang w:val="en-US"/>
        </w:rPr>
        <w:t>Methods</w:t>
      </w:r>
    </w:p>
    <w:p w14:paraId="7FEDDFCE" w14:textId="468A709C"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This was a 12-month observational controlled tria</w:t>
      </w:r>
      <w:r w:rsidR="003D171B">
        <w:rPr>
          <w:rFonts w:ascii="Times New Roman" w:hAnsi="Times New Roman" w:cs="Times New Roman"/>
          <w:lang w:val="en-US"/>
        </w:rPr>
        <w:t>l</w:t>
      </w:r>
      <w:r w:rsidR="00DC2AC8">
        <w:rPr>
          <w:rFonts w:ascii="Times New Roman" w:hAnsi="Times New Roman" w:cs="Times New Roman"/>
          <w:lang w:val="en-US"/>
        </w:rPr>
        <w:t xml:space="preserve"> </w:t>
      </w:r>
      <w:r w:rsidRPr="00BE3BFE">
        <w:rPr>
          <w:rFonts w:ascii="Times New Roman" w:hAnsi="Times New Roman" w:cs="Times New Roman"/>
          <w:lang w:val="en-US"/>
        </w:rPr>
        <w:t>conducted in 12 PC practices in Barcelona (Spain)</w:t>
      </w:r>
      <w:r w:rsidR="006B7A9E">
        <w:rPr>
          <w:rFonts w:ascii="Times New Roman" w:hAnsi="Times New Roman" w:cs="Times New Roman"/>
          <w:lang w:val="en-US"/>
        </w:rPr>
        <w:t xml:space="preserve"> </w:t>
      </w:r>
      <w:r w:rsidR="003D171B">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"DOI" : "10.1186/s12888-015-0448-3", "ISSN" : "1471-244X (Electronic)", "PMID" : "25885818", "abstract" : "BACKGROUND: Clinical practice guidelines for the treatment of major depressive disorder (MDD) recommend antidepressants for patients with moderate-severe depression and active monitoring for patients with mild-moderate symptoms. The feasibility and efficiency of active monitoring has not been proven conclusively. The aim of this study is to evaluate the cost-effectiveness of active monitoring in comparison to antidepressants for primary care patients with mild-moderate MDD. METHODS/DESIGN: This is a 12-month follow-up multicenter observational prospective controlled trial. Patients are enrolled in 12 primary care centers in Barcelona (Spain). Eligible patients are adults (&gt;/=18 years-old) with a new episode of MDD that sign a written consent to participate. This is a naturalistic study in which general practitioners (GPs) use their professional judgment to allocate patients into active monitoring or antidepressants groups. GPs treat the patients following their clinical criteria. At baseline, GPs complete a questionnaire (sociodemographic/job characteristics, training, attitude towards depression, interest on mental health and participation in communication groups). Patients' measurements take place at baseline and after six and 12 months. Main outcome measures include severity of depression (PHQ-9), health-related quality of life (EuroQol-5D) and use of healthcare and social care services (Client Service Receipt Inventory). Secondary outcomes include diagnosis of MDD according to DSM-IV diagnostic criteria (SCID-I), disability (WHO-DAS), anxiety (BAI), comorbidities, medication side-effects and beliefs about medicines (BMQ). The analysis will be done according to the intention to treat analysis. Missing data will be imputed using multiple imputation by chained equations. To minimize the bias resulting from the lack of randomization, a propensity score will be used. Incremental effects and costs between groups will be modelled in each of the imputed databases using multivariate generalized linear models and then combined as per Rubin's rules. Propensity scores will be used to adjust the models. Incremental cost-effectiveness ratios will be calculated by dividing the difference in costs between groups by the difference in effects. To deal with the uncertainty, resampling techniques with bootstrapping will be used and cost-effectiveness planes and cost-effectiveness acceptability curves will be constructed. A series of sensitivity analyses will be perform\u2026", "author" : [ { "dropping-particle" : "", "family" : "Rubio-Valera", "given" : "Maria", "non-dropping-particle" : "", "parse-names" : false, "suffix" : "" }, { "dropping-particle" : "", "family" : "Beneitez", "given" : "Imma", "non-dropping-particle" : "", "parse-names" : false, "suffix" : "" }, { "dropping-particle" : "", "family" : "Penarrubia-Maria", "given" : "Maria Teresa", "non-dropping-particle" : "", "parse-names" : false, "suffix" : "" }, { "dropping-particle" : "V", "family" : "Luciano", "given" : "Juan", "non-dropping-particle" : "", "parse-names" : false, "suffix" : "" }, { "dropping-particle" : "", "family" : "Mendive", "given" : "Juan M", "non-dropping-particle" : "", "parse-names" : false, "suffix" : "" }, { "dropping-particle" : "", "family" : "McCrone", "given" : "Paul", "non-dropping-particle" : "", "parse-names" : false, "suffix" : "" }, { "dropping-particle" : "", "family" : "Knapp", "given" : "Martin", "non-dropping-particle" : "", "parse-names" : false, "suffix" : "" }, { "dropping-particle" : "", "family" : "Sabes-Figuera", "given" : "Ramon", "non-dropping-particle" : "", "parse-names" : false, "suffix" : "" }, { "dropping-particle" : "", "family" : "Kocyan", "given" : "Katarzyna", "non-dropping-particle" : "", "parse-names" : false, "suffix" : "" }, { "dropping-particle" : "", "family" : "Garcia-Campayo", "given" : "Javier", "non-dropping-particle" : "", "parse-names" : false, "suffix" : "" }, { "dropping-particle" : "", "family" : "Serrano-Blanco", "given" : "Antoni", "non-dropping-particle" : "", "parse-names" : false, "suffix" : "" } ], "container-title" : "BMC psychiatry", "id" : "ITEM-1", "issued" : { "date-parts" : [ [ "2015" ] ] }, "language" : "eng", "page" : "63", "publisher-place" : "England", "title" : "Cost-effectiveness of active monitoring versus antidepressants for major depression in primary health care: a 12-month non-randomized controlled trial (INFAP study).", "type" : "article-journal", "volume" : "15" }, "uris" : [ "http://www.mendeley.com/documents/?uuid=513079bc-5e44-4887-9e3b-e3af99d140ac", "http://www.mendeley.com/documents/?uuid=c28f90bb-4e1b-4671-8199-7badc62a7d21" ] } ], "mendeley" : { "formattedCitation" : "[14]", "plainTextFormattedCitation" : "[14]", "previouslyFormattedCitation" : "&lt;sup&gt;14&lt;/sup&gt;" }, "properties" : { "noteIndex" : 0 }, "schema" : "https://github.com/citation-style-language/schema/raw/master/csl-citation.json" }</w:instrText>
      </w:r>
      <w:r w:rsidR="003D171B">
        <w:rPr>
          <w:rFonts w:ascii="Times New Roman" w:hAnsi="Times New Roman" w:cs="Times New Roman"/>
          <w:lang w:val="en-US"/>
        </w:rPr>
        <w:fldChar w:fldCharType="separate"/>
      </w:r>
      <w:r w:rsidR="006B7A9E" w:rsidRPr="006B7A9E">
        <w:rPr>
          <w:rFonts w:ascii="Times New Roman" w:hAnsi="Times New Roman" w:cs="Times New Roman"/>
          <w:noProof/>
          <w:lang w:val="en-US"/>
        </w:rPr>
        <w:t>[14]</w:t>
      </w:r>
      <w:r w:rsidR="003D171B">
        <w:rPr>
          <w:rFonts w:ascii="Times New Roman" w:hAnsi="Times New Roman" w:cs="Times New Roman"/>
          <w:lang w:val="en-US"/>
        </w:rPr>
        <w:fldChar w:fldCharType="end"/>
      </w:r>
      <w:r w:rsidR="006B7A9E">
        <w:rPr>
          <w:rFonts w:ascii="Times New Roman" w:hAnsi="Times New Roman" w:cs="Times New Roman"/>
          <w:lang w:val="en-US"/>
        </w:rPr>
        <w:t>.</w:t>
      </w:r>
      <w:r w:rsidR="003D171B" w:rsidRPr="00BE3BFE">
        <w:rPr>
          <w:rFonts w:ascii="Times New Roman" w:hAnsi="Times New Roman" w:cs="Times New Roman"/>
          <w:lang w:val="en-US"/>
        </w:rPr>
        <w:t xml:space="preserve"> </w:t>
      </w:r>
      <w:r w:rsidRPr="00BE3BFE">
        <w:rPr>
          <w:rFonts w:ascii="Times New Roman" w:hAnsi="Times New Roman" w:cs="Times New Roman"/>
          <w:lang w:val="en-US"/>
        </w:rPr>
        <w:t xml:space="preserve">The participating </w:t>
      </w:r>
      <w:r w:rsidR="00E63695">
        <w:rPr>
          <w:rFonts w:ascii="Times New Roman" w:hAnsi="Times New Roman" w:cs="Times New Roman"/>
          <w:lang w:val="en-US"/>
        </w:rPr>
        <w:t>GP</w:t>
      </w:r>
      <w:r w:rsidRPr="00BE3BFE">
        <w:rPr>
          <w:rFonts w:ascii="Times New Roman" w:hAnsi="Times New Roman" w:cs="Times New Roman"/>
          <w:lang w:val="en-US"/>
        </w:rPr>
        <w:t>s (n=53) received two 1.5-hour training sessions on the diagnosis of major depression and non-pharmacological treatment (</w:t>
      </w:r>
      <w:r w:rsidR="00B20112">
        <w:rPr>
          <w:rFonts w:ascii="Times New Roman" w:hAnsi="Times New Roman" w:cs="Times New Roman"/>
          <w:lang w:val="en-US"/>
        </w:rPr>
        <w:t>AM</w:t>
      </w:r>
      <w:r w:rsidRPr="00BE3BFE">
        <w:rPr>
          <w:rFonts w:ascii="Times New Roman" w:hAnsi="Times New Roman" w:cs="Times New Roman"/>
          <w:lang w:val="en-US"/>
        </w:rPr>
        <w:t>, sleep hygiene, counseling, frequency of follow-up visits, health education and low-intensity psychological</w:t>
      </w:r>
      <w:r w:rsidR="00F76044">
        <w:rPr>
          <w:rFonts w:ascii="Times New Roman" w:hAnsi="Times New Roman" w:cs="Times New Roman"/>
          <w:lang w:val="en-US"/>
        </w:rPr>
        <w:t xml:space="preserve"> </w:t>
      </w:r>
      <w:r w:rsidRPr="00BE3BFE">
        <w:rPr>
          <w:rFonts w:ascii="Times New Roman" w:hAnsi="Times New Roman" w:cs="Times New Roman"/>
          <w:lang w:val="en-US"/>
        </w:rPr>
        <w:t xml:space="preserve">therapies) and pharmacological treatment for major depression. Monthly newsletters were sent to the </w:t>
      </w:r>
      <w:r w:rsidR="00E63695">
        <w:rPr>
          <w:rFonts w:ascii="Times New Roman" w:hAnsi="Times New Roman" w:cs="Times New Roman"/>
          <w:lang w:val="en-US"/>
        </w:rPr>
        <w:t>GP</w:t>
      </w:r>
      <w:r w:rsidRPr="00BE3BFE">
        <w:rPr>
          <w:rFonts w:ascii="Times New Roman" w:hAnsi="Times New Roman" w:cs="Times New Roman"/>
          <w:lang w:val="en-US"/>
        </w:rPr>
        <w:t xml:space="preserve">s to remind them about the content of the training sessions. </w:t>
      </w:r>
    </w:p>
    <w:p w14:paraId="63AFDBAB" w14:textId="79FED9E5" w:rsidR="00BE3BFE" w:rsidRPr="00BE3BFE" w:rsidRDefault="00BE3BFE" w:rsidP="00F76044">
      <w:pPr>
        <w:pStyle w:val="Heading2"/>
        <w:rPr>
          <w:rFonts w:ascii="Times New Roman" w:hAnsi="Times New Roman"/>
          <w:lang w:val="en-US"/>
        </w:rPr>
      </w:pPr>
      <w:r w:rsidRPr="00BE3BFE">
        <w:rPr>
          <w:rFonts w:ascii="Times New Roman" w:hAnsi="Times New Roman"/>
          <w:lang w:val="en-US"/>
        </w:rPr>
        <w:t>Participants</w:t>
      </w:r>
    </w:p>
    <w:p w14:paraId="6C8B1672" w14:textId="591F085C"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Adult patients with a new episode of major depression were invited to participate (</w:t>
      </w:r>
      <w:r w:rsidR="001D2EDC">
        <w:rPr>
          <w:rFonts w:ascii="Times New Roman" w:hAnsi="Times New Roman" w:cs="Times New Roman"/>
          <w:lang w:val="en-US"/>
        </w:rPr>
        <w:t>June</w:t>
      </w:r>
      <w:r w:rsidRPr="00BE3BFE">
        <w:rPr>
          <w:rFonts w:ascii="Times New Roman" w:hAnsi="Times New Roman" w:cs="Times New Roman"/>
          <w:lang w:val="en-US"/>
        </w:rPr>
        <w:t xml:space="preserve"> 2013-July 2014). We excluded patients who had taken an antidepressant medication in the previous 60 days; those presenting psychotic or bipolar disorders or those who had taken antipsychotics, lithium or </w:t>
      </w:r>
      <w:r w:rsidRPr="00BE3BFE">
        <w:rPr>
          <w:rFonts w:ascii="Times New Roman" w:hAnsi="Times New Roman" w:cs="Times New Roman"/>
          <w:lang w:val="en-US"/>
        </w:rPr>
        <w:lastRenderedPageBreak/>
        <w:t xml:space="preserve">antiepileptics in the previous six months; those with history of drug abuse or dependency; and those with cognitive impairment that prevented an assessment interview. </w:t>
      </w:r>
    </w:p>
    <w:p w14:paraId="2EE8FFC3" w14:textId="77777777" w:rsidR="00BE3BFE" w:rsidRPr="00BE3BFE" w:rsidRDefault="00BE3BFE" w:rsidP="00F76044">
      <w:pPr>
        <w:pStyle w:val="Heading2"/>
        <w:rPr>
          <w:rFonts w:ascii="Times New Roman" w:hAnsi="Times New Roman"/>
          <w:lang w:val="en-US"/>
        </w:rPr>
      </w:pPr>
      <w:r w:rsidRPr="00BE3BFE">
        <w:rPr>
          <w:rFonts w:ascii="Times New Roman" w:hAnsi="Times New Roman"/>
          <w:lang w:val="en-US"/>
        </w:rPr>
        <w:t>Interventions</w:t>
      </w:r>
    </w:p>
    <w:p w14:paraId="3BA8A87E" w14:textId="2CC50F66"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Participants were assigned to </w:t>
      </w:r>
      <w:r w:rsidR="00B20112">
        <w:rPr>
          <w:rFonts w:ascii="Times New Roman" w:hAnsi="Times New Roman" w:cs="Times New Roman"/>
          <w:lang w:val="en-US"/>
        </w:rPr>
        <w:t>AM</w:t>
      </w:r>
      <w:r w:rsidRPr="00BE3BFE">
        <w:rPr>
          <w:rFonts w:ascii="Times New Roman" w:hAnsi="Times New Roman" w:cs="Times New Roman"/>
          <w:lang w:val="en-US"/>
        </w:rPr>
        <w:t xml:space="preserve"> or antidepressants according to </w:t>
      </w:r>
      <w:r w:rsidR="00E63695">
        <w:rPr>
          <w:rFonts w:ascii="Times New Roman" w:hAnsi="Times New Roman" w:cs="Times New Roman"/>
          <w:lang w:val="en-US"/>
        </w:rPr>
        <w:t>GP</w:t>
      </w:r>
      <w:r w:rsidRPr="00BE3BFE">
        <w:rPr>
          <w:rFonts w:ascii="Times New Roman" w:hAnsi="Times New Roman" w:cs="Times New Roman"/>
          <w:lang w:val="en-US"/>
        </w:rPr>
        <w:t xml:space="preserve">s’ clinical judgment and experience. </w:t>
      </w:r>
      <w:r w:rsidR="00B20112">
        <w:rPr>
          <w:rFonts w:ascii="Times New Roman" w:hAnsi="Times New Roman" w:cs="Times New Roman"/>
          <w:lang w:val="en-US"/>
        </w:rPr>
        <w:t>AM</w:t>
      </w:r>
      <w:r w:rsidRPr="00BE3BFE">
        <w:rPr>
          <w:rFonts w:ascii="Times New Roman" w:hAnsi="Times New Roman" w:cs="Times New Roman"/>
          <w:lang w:val="en-US"/>
        </w:rPr>
        <w:t xml:space="preserve"> was delivered as in real-life routine practice. </w:t>
      </w:r>
      <w:r w:rsidR="00DC2AC8">
        <w:rPr>
          <w:rFonts w:ascii="Times New Roman" w:hAnsi="Times New Roman" w:cs="Times New Roman"/>
          <w:lang w:val="en-US"/>
        </w:rPr>
        <w:t xml:space="preserve">The </w:t>
      </w:r>
      <w:r w:rsidRPr="00BE3BFE">
        <w:rPr>
          <w:rFonts w:ascii="Times New Roman" w:hAnsi="Times New Roman" w:cs="Times New Roman"/>
          <w:lang w:val="en-US"/>
        </w:rPr>
        <w:t xml:space="preserve">Catalan </w:t>
      </w:r>
      <w:r w:rsidR="00DC2AC8">
        <w:rPr>
          <w:rFonts w:ascii="Times New Roman" w:hAnsi="Times New Roman" w:cs="Times New Roman"/>
          <w:lang w:val="en-US"/>
        </w:rPr>
        <w:t xml:space="preserve">CPG </w:t>
      </w:r>
      <w:r w:rsidRPr="00BE3BFE">
        <w:rPr>
          <w:rFonts w:ascii="Times New Roman" w:hAnsi="Times New Roman" w:cs="Times New Roman"/>
          <w:lang w:val="en-US"/>
        </w:rPr>
        <w:t xml:space="preserve">recommends monitoring the patient within 15 days following diagnosis when conducting </w:t>
      </w:r>
      <w:r w:rsidR="00B20112">
        <w:rPr>
          <w:rFonts w:ascii="Times New Roman" w:hAnsi="Times New Roman" w:cs="Times New Roman"/>
          <w:lang w:val="en-US"/>
        </w:rPr>
        <w:t>AM</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"author" : [ { "dropping-particle" : "", "family" : "Departament de Salut", "given" : "", "non-dropping-particle" : "", "parse-names" : false, "suffix" : "" } ], "id" : "ITEM-1", "issued" : { "date-parts" : [ [ "2010" ] ] }, "publisher-place" : "Barcelona: Ag\u00e8ncia d'Informaci\u00f3, Avaluaci\u00f3 i Qualitat en Salut. Pla director de salut mental i addictions", "title" : "[Adaptaci\u00f3 al model sanitari catal\u00e0 de la guia de pr\u00e0ctica cl\u00ednica sobre el maneig de la depressi\u00f3 major en l'adult]", "type" : "report" }, "uris" : [ "http://www.mendeley.com/documents/?uuid=799b5feb-879d-4113-b5d1-357beb96cecb" ] } ], "mendeley" : { "formattedCitation" : "[2]", "plainTextFormattedCitation" : "[2]", "previouslyFormattedCitation" : "&lt;sup&gt;2&lt;/sup&gt;"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[2]</w:t>
      </w:r>
      <w:r w:rsidR="009D1A87">
        <w:rPr>
          <w:rFonts w:ascii="Times New Roman" w:hAnsi="Times New Roman" w:cs="Times New Roman"/>
          <w:lang w:val="en-US"/>
        </w:rPr>
        <w:fldChar w:fldCharType="end"/>
      </w:r>
      <w:r w:rsidR="006B7A9E">
        <w:rPr>
          <w:rFonts w:ascii="Times New Roman" w:hAnsi="Times New Roman" w:cs="Times New Roman"/>
          <w:lang w:val="en-US"/>
        </w:rPr>
        <w:t>.</w:t>
      </w:r>
      <w:r w:rsidRPr="00BE3BFE">
        <w:rPr>
          <w:rFonts w:ascii="Times New Roman" w:hAnsi="Times New Roman" w:cs="Times New Roman"/>
          <w:lang w:val="en-US"/>
        </w:rPr>
        <w:t xml:space="preserve"> Over the following 10-12 weeks, the guidelines recommend six to eight follow-up visits. The </w:t>
      </w:r>
      <w:r w:rsidR="00E63695">
        <w:rPr>
          <w:rFonts w:ascii="Times New Roman" w:hAnsi="Times New Roman" w:cs="Times New Roman"/>
          <w:lang w:val="en-US"/>
        </w:rPr>
        <w:t>GP</w:t>
      </w:r>
      <w:r w:rsidRPr="00BE3BFE">
        <w:rPr>
          <w:rFonts w:ascii="Times New Roman" w:hAnsi="Times New Roman" w:cs="Times New Roman"/>
          <w:lang w:val="en-US"/>
        </w:rPr>
        <w:t xml:space="preserve">s could consider low-intensity psychosocial therapies and structured moderate-intensity exercise programs. If the patient’s condition does not improve, </w:t>
      </w:r>
      <w:r w:rsidR="00E63695">
        <w:rPr>
          <w:rFonts w:ascii="Times New Roman" w:hAnsi="Times New Roman" w:cs="Times New Roman"/>
          <w:lang w:val="en-US"/>
        </w:rPr>
        <w:t>GP</w:t>
      </w:r>
      <w:r w:rsidRPr="00BE3BFE">
        <w:rPr>
          <w:rFonts w:ascii="Times New Roman" w:hAnsi="Times New Roman" w:cs="Times New Roman"/>
          <w:lang w:val="en-US"/>
        </w:rPr>
        <w:t xml:space="preserve">s can initiate antidepressants. Adherence to </w:t>
      </w:r>
      <w:r w:rsidR="00B20112">
        <w:rPr>
          <w:rFonts w:ascii="Times New Roman" w:hAnsi="Times New Roman" w:cs="Times New Roman"/>
          <w:lang w:val="en-US"/>
        </w:rPr>
        <w:t>AM</w:t>
      </w:r>
      <w:r w:rsidRPr="00BE3BFE">
        <w:rPr>
          <w:rFonts w:ascii="Times New Roman" w:hAnsi="Times New Roman" w:cs="Times New Roman"/>
          <w:lang w:val="en-US"/>
        </w:rPr>
        <w:t xml:space="preserve"> was controlled through patient interviews.</w:t>
      </w:r>
    </w:p>
    <w:p w14:paraId="5054BCA5" w14:textId="098CD804"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The patients in the medication group received the antidepressants typically prescribed in Spanish PC at doses usually recommended according to their symptoms and characteristics. The national guidelines recommend initiating treatment with SSRIs</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"author" : [ { "dropping-particle" : "", "family" : "Departament de Salut", "given" : "", "non-dropping-particle" : "", "parse-names" : false, "suffix" : "" } ], "id" : "ITEM-1", "issued" : { "date-parts" : [ [ "2010" ] ] }, "publisher-place" : "Barcelona: Ag\u00e8ncia d'Informaci\u00f3, Avaluaci\u00f3 i Qualitat en Salut. Pla director de salut mental i addictions", "title" : "[Adaptaci\u00f3 al model sanitari catal\u00e0 de la guia de pr\u00e0ctica cl\u00ednica sobre el maneig de la depressi\u00f3 major en l'adult]", "type" : "report" }, "uris" : [ "http://www.mendeley.com/documents/?uuid=799b5feb-879d-4113-b5d1-357beb96cecb" ] } ], "mendeley" : { "formattedCitation" : "[2]", "plainTextFormattedCitation" : "[2]", "previouslyFormattedCitation" : "&lt;sup&gt;2&lt;/sup&gt;"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[2]</w:t>
      </w:r>
      <w:r w:rsidR="009D1A87">
        <w:rPr>
          <w:rFonts w:ascii="Times New Roman" w:hAnsi="Times New Roman" w:cs="Times New Roman"/>
          <w:lang w:val="en-US"/>
        </w:rPr>
        <w:fldChar w:fldCharType="end"/>
      </w:r>
      <w:r w:rsidR="006B7A9E">
        <w:rPr>
          <w:rFonts w:ascii="Times New Roman" w:hAnsi="Times New Roman" w:cs="Times New Roman"/>
          <w:lang w:val="en-US"/>
        </w:rPr>
        <w:t>.</w:t>
      </w:r>
      <w:r w:rsidRPr="00BE3BFE">
        <w:rPr>
          <w:rFonts w:ascii="Times New Roman" w:hAnsi="Times New Roman" w:cs="Times New Roman"/>
          <w:lang w:val="en-US"/>
        </w:rPr>
        <w:t xml:space="preserve"> Adherence to antidepressants was assessed though medical record information (prescription filled).</w:t>
      </w:r>
    </w:p>
    <w:p w14:paraId="5DD5DBBC" w14:textId="1EDB1E5D" w:rsidR="00BE3BFE" w:rsidRPr="00BE3BFE" w:rsidRDefault="00FA1544" w:rsidP="00F76044">
      <w:pPr>
        <w:pStyle w:val="Heading2"/>
        <w:rPr>
          <w:rFonts w:ascii="Times New Roman" w:hAnsi="Times New Roman"/>
          <w:lang w:val="en-US"/>
        </w:rPr>
      </w:pPr>
      <w:r>
        <w:rPr>
          <w:rFonts w:ascii="Times New Roman" w:hAnsi="Times New Roman"/>
          <w:lang w:val="en-US"/>
        </w:rPr>
        <w:t>Data Collection and M</w:t>
      </w:r>
      <w:r w:rsidR="00BE3BFE" w:rsidRPr="00BE3BFE">
        <w:rPr>
          <w:rFonts w:ascii="Times New Roman" w:hAnsi="Times New Roman"/>
          <w:lang w:val="en-US"/>
        </w:rPr>
        <w:t>easures</w:t>
      </w:r>
    </w:p>
    <w:p w14:paraId="045592D0" w14:textId="30A76D77" w:rsid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Prior to the study, </w:t>
      </w:r>
      <w:r w:rsidR="00E63695">
        <w:rPr>
          <w:rFonts w:ascii="Times New Roman" w:hAnsi="Times New Roman" w:cs="Times New Roman"/>
          <w:lang w:val="en-US"/>
        </w:rPr>
        <w:t>GP</w:t>
      </w:r>
      <w:r w:rsidRPr="00BE3BFE">
        <w:rPr>
          <w:rFonts w:ascii="Times New Roman" w:hAnsi="Times New Roman" w:cs="Times New Roman"/>
          <w:lang w:val="en-US"/>
        </w:rPr>
        <w:t>s completed a questionnaire on sociodemographic characteristics, job characteristics, training, attitude towards depression, interest in mental health and participation in communication groups</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"ISSN" : "0212-6567", "PMID" : "9557352", "abstract" : "OBJECTIVE: To elaborate and validate a questionnaire for identifying common styles of Primary Care doctors' practice.\n\nSETTING: Primary Health Care. Public sector in Spain.\n\nDESIGN: This was a study to validate a questionnaire administered in two phases with different samples. In the first phase, the items (item-total correlation, using Alpha on eliminating item), validity of construction, empirical validity and internal consistency, were analysed. In the second, discriminatory validity and reliability of the questionnaire (test-retest) were calculated.\n\nMEASUREMENTS AND MAIN RESULTS: 81.5% of the doctors replied in the first phase; and 100% in the second. Two factors were isolated with the Principal Components procedure, which confirmed the validity of the questionnaire's construction (52% variance explained). Internal consistency (Alphas ranged between 0.55 and 0.75) and reliability (ranging between 0.50 and 0.95 in function of the time elapsed) were also demonstrated.\n\nCONCLUSIONS: This instrument could be used to differentiate two styles in practice, characterised by focusing on the physical illness vs the psycho-social aspects of the disease process. The instrument is also useful because it gives the feeling of control over the task.", "author" : [ { "dropping-particle" : "", "family" : "Mira", "given" : "J J", "non-dropping-particle" : "", "parse-names" : false, "suffix" : "" }, { "dropping-particle" : "", "family" : "Llin\u00e1s", "given" : "G", "non-dropping-particle" : "", "parse-names" : false, "suffix" : "" }, { "dropping-particle" : "", "family" : "Gil", "given" : "V", "non-dropping-particle" : "", "parse-names" : false, "suffix" : "" }, { "dropping-particle" : "", "family" : "Orozco", "given" : "D", "non-dropping-particle" : "", "parse-names" : false, "suffix" : "" }, { "dropping-particle" : "", "family" : "Palaz\u00f3n", "given" : "I", "non-dropping-particle" : "", "parse-names" : false, "suffix" : "" }, { "dropping-particle" : "", "family" : "Vitaller", "given" : "J", "non-dropping-particle" : "", "parse-names" : false, "suffix" : "" } ], "container-title" : "Atencion primaria / Sociedad Espa\u00f1ola de Medicina de Familia y Comunitaria", "id" : "ITEM-1", "issue" : "1", "issued" : { "date-parts" : [ [ "1998", "1" ] ] }, "page" : "14-22", "title" : "[Validation of an instrument for identifying styles of the professional practice of the primary care doctor].", "type" : "article-journal", "volume" : "21" }, "uris" : [ "http://www.mendeley.com/documents/?uuid=d7ac978d-97c4-4752-a6e3-9f34fb86f9ff" ] } ], "mendeley" : { "formattedCitation" : "[15]", "plainTextFormattedCitation" : "[15]", "previouslyFormattedCitation" : "&lt;sup&gt;15&lt;/sup&gt;"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[15]</w:t>
      </w:r>
      <w:r w:rsidR="009D1A87">
        <w:rPr>
          <w:rFonts w:ascii="Times New Roman" w:hAnsi="Times New Roman" w:cs="Times New Roman"/>
          <w:lang w:val="en-US"/>
        </w:rPr>
        <w:fldChar w:fldCharType="end"/>
      </w:r>
      <w:r w:rsidR="006B7A9E">
        <w:rPr>
          <w:rFonts w:ascii="Times New Roman" w:hAnsi="Times New Roman" w:cs="Times New Roman"/>
          <w:lang w:val="en-US"/>
        </w:rPr>
        <w:t>.</w:t>
      </w:r>
      <w:r w:rsidR="00DC2AC8">
        <w:rPr>
          <w:rFonts w:ascii="Times New Roman" w:hAnsi="Times New Roman" w:cs="Times New Roman"/>
          <w:lang w:val="en-US"/>
        </w:rPr>
        <w:t xml:space="preserve"> </w:t>
      </w:r>
      <w:r w:rsidRPr="00BE3BFE">
        <w:rPr>
          <w:rFonts w:ascii="Times New Roman" w:hAnsi="Times New Roman" w:cs="Times New Roman"/>
          <w:lang w:val="en-US"/>
        </w:rPr>
        <w:t>Patients were evaluated at baseline, 6 and</w:t>
      </w:r>
      <w:r w:rsidR="00DC2AC8">
        <w:rPr>
          <w:rFonts w:ascii="Times New Roman" w:hAnsi="Times New Roman" w:cs="Times New Roman"/>
          <w:lang w:val="en-US"/>
        </w:rPr>
        <w:t xml:space="preserve"> 12-month follow-up.</w:t>
      </w:r>
    </w:p>
    <w:p w14:paraId="61EDEFA1" w14:textId="77777777" w:rsidR="00E63695" w:rsidRPr="00E63695" w:rsidRDefault="00E63695" w:rsidP="00BE3BFE">
      <w:pPr>
        <w:spacing w:line="480" w:lineRule="auto"/>
        <w:jc w:val="both"/>
        <w:rPr>
          <w:rFonts w:ascii="Times New Roman" w:hAnsi="Times New Roman" w:cs="Times New Roman"/>
          <w:u w:val="single"/>
          <w:lang w:val="en-US"/>
        </w:rPr>
      </w:pPr>
      <w:r>
        <w:rPr>
          <w:rFonts w:ascii="Times New Roman" w:hAnsi="Times New Roman" w:cs="Times New Roman"/>
          <w:u w:val="single"/>
          <w:lang w:val="en-US"/>
        </w:rPr>
        <w:t>Service utilization and cost measures</w:t>
      </w:r>
    </w:p>
    <w:p w14:paraId="000EEAEE" w14:textId="09A4A16D"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Healthcare sector and government perspectives were used for the analysis. Using the Client Service Receipt Inventory</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"abstract" : "Background: Cross-cultural comparison of mental health service utilisation and costs is complicated by the heterogeneity of service systems. For data to be locally meaningful yet internationally comparable, a carefully constructed approach to its collection is required. Aims: To develop a research method and instrument for the collection of data on the service utilisation and related characteristics of people with mental disorders, as the basis for calculating the costs of care. Method: Various approaches to the collection of service use data and key stages of instrument development were identified in order to select the most appropriate methods. Results: Based on previous work, and following translation and cross-cultural validation, an instrument was developed: the Client Socio-Demographic and Service Receipt Inventory - European Version (CSSRI-EU). This was subsequently administered to 404 people with schizophrenia across five countries. Conclusion: The CSSRI-EU provides a standardised yet adaptable method for collating service receipt and associated data alongside assessment of patient outcomes.", "author" : [ { "dropping-particle" : "", "family" : "Chisholm", "given" : "Daniel", "non-dropping-particle" : "", "parse-names" : false, "suffix" : "" }, { "dropping-particle" : "", "family" : "Knapp", "given" : "Martin R J", "non-dropping-particle" : "", "parse-names" : false, "suffix" : "" }, { "dropping-particle" : "", "family" : "Knudsen", "given" : "Helie Charlotte", "non-dropping-particle" : "", "parse-names" : false, "suffix" : "" }, { "dropping-particle" : "", "family" : "Amaddeo", "given" : "Amaddeo", "non-dropping-particle" : "", "parse-names" : false, "suffix" : "" }, { "dropping-particle" : "", "family" : "Gaite", "given" : "Luis", "non-dropping-particle" : "", "parse-names" : false, "suffix" : "" }, { "dropping-particle" : "", "family" : "Wijngaarden", "given" : "Bob", "non-dropping-particle" : "Van", "parse-names" : false, "suffix" : "" } ], "container-title" : "British Journal of Psychiatry", "id" : "ITEM-1", "issue" : "SUPPL. 39", "issued" : { "date-parts" : [ [ "2000" ] ] }, "title" : "Client socio-demographic and service receipt inventory - European version: Development of an instrument for international research. EPSILON study 5", "type" : "article-journal", "volume" : "177" }, "uris" : [ "http://www.mendeley.com/documents/?uuid=3f80b14a-d743-4cab-9d3e-4153cbd016b6" ] } ], "mendeley" : { "formattedCitation" : "[16]", "plainTextFormattedCitation" : "[16]", "previouslyFormattedCitation" : "&lt;sup&gt;16&lt;/sup&gt;"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[16]</w:t>
      </w:r>
      <w:r w:rsidR="009D1A87">
        <w:rPr>
          <w:rFonts w:ascii="Times New Roman" w:hAnsi="Times New Roman" w:cs="Times New Roman"/>
          <w:lang w:val="en-US"/>
        </w:rPr>
        <w:fldChar w:fldCharType="end"/>
      </w:r>
      <w:r w:rsidR="006B7A9E">
        <w:rPr>
          <w:rFonts w:ascii="Times New Roman" w:hAnsi="Times New Roman" w:cs="Times New Roman"/>
          <w:lang w:val="en-US"/>
        </w:rPr>
        <w:t>,</w:t>
      </w:r>
      <w:r w:rsidRPr="00BE3BFE">
        <w:rPr>
          <w:rFonts w:ascii="Times New Roman" w:hAnsi="Times New Roman" w:cs="Times New Roman"/>
          <w:lang w:val="en-US"/>
        </w:rPr>
        <w:t xml:space="preserve"> we collected information on medical tests, </w:t>
      </w:r>
      <w:r w:rsidR="006122FB">
        <w:rPr>
          <w:rFonts w:ascii="Times New Roman" w:hAnsi="Times New Roman" w:cs="Times New Roman"/>
          <w:lang w:val="en-US"/>
        </w:rPr>
        <w:t xml:space="preserve">emergency visits, </w:t>
      </w:r>
      <w:r w:rsidRPr="00BE3BFE">
        <w:rPr>
          <w:rFonts w:ascii="Times New Roman" w:hAnsi="Times New Roman" w:cs="Times New Roman"/>
          <w:lang w:val="en-US"/>
        </w:rPr>
        <w:t>hospital stays</w:t>
      </w:r>
      <w:r w:rsidR="006122FB">
        <w:rPr>
          <w:rFonts w:ascii="Times New Roman" w:hAnsi="Times New Roman" w:cs="Times New Roman"/>
          <w:lang w:val="en-US"/>
        </w:rPr>
        <w:t xml:space="preserve"> and </w:t>
      </w:r>
      <w:r w:rsidRPr="00BE3BFE">
        <w:rPr>
          <w:rFonts w:ascii="Times New Roman" w:hAnsi="Times New Roman" w:cs="Times New Roman"/>
          <w:lang w:val="en-US"/>
        </w:rPr>
        <w:t>visits to psychologists, psychiatrists</w:t>
      </w:r>
      <w:r w:rsidR="006122FB">
        <w:rPr>
          <w:rFonts w:ascii="Times New Roman" w:hAnsi="Times New Roman" w:cs="Times New Roman"/>
          <w:lang w:val="en-US"/>
        </w:rPr>
        <w:t xml:space="preserve">, </w:t>
      </w:r>
      <w:r w:rsidRPr="00BE3BFE">
        <w:rPr>
          <w:rFonts w:ascii="Times New Roman" w:hAnsi="Times New Roman" w:cs="Times New Roman"/>
          <w:lang w:val="en-US"/>
        </w:rPr>
        <w:t xml:space="preserve">other specialists, </w:t>
      </w:r>
      <w:r w:rsidR="00E63695">
        <w:rPr>
          <w:rFonts w:ascii="Times New Roman" w:hAnsi="Times New Roman" w:cs="Times New Roman"/>
          <w:lang w:val="en-US"/>
        </w:rPr>
        <w:t>GP</w:t>
      </w:r>
      <w:r w:rsidR="006122FB">
        <w:rPr>
          <w:rFonts w:ascii="Times New Roman" w:hAnsi="Times New Roman" w:cs="Times New Roman"/>
          <w:lang w:val="en-US"/>
        </w:rPr>
        <w:t>,</w:t>
      </w:r>
      <w:r w:rsidRPr="00BE3BFE">
        <w:rPr>
          <w:rFonts w:ascii="Times New Roman" w:hAnsi="Times New Roman" w:cs="Times New Roman"/>
          <w:lang w:val="en-US"/>
        </w:rPr>
        <w:t xml:space="preserve"> nurse and social worker. Information on the use of psychotropic medicines and productivity losses were collected from medical records to improve accuracy.</w:t>
      </w:r>
    </w:p>
    <w:p w14:paraId="57574E1A" w14:textId="019751DA" w:rsid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lastRenderedPageBreak/>
        <w:t xml:space="preserve">The Catalan Government Official Bulletin was reviewed to retrieve public health service tariffs for 2015. The reference price of the generic version of drugs was extracted from the Spanish Drugs Catalogue and used to calculate the mean price per milligram of the </w:t>
      </w:r>
      <w:r w:rsidR="00DC2AC8">
        <w:rPr>
          <w:rFonts w:ascii="Times New Roman" w:hAnsi="Times New Roman" w:cs="Times New Roman"/>
          <w:lang w:val="en-US"/>
        </w:rPr>
        <w:t>antidepressants</w:t>
      </w:r>
      <w:r w:rsidRPr="00BE3BFE">
        <w:rPr>
          <w:rFonts w:ascii="Times New Roman" w:hAnsi="Times New Roman" w:cs="Times New Roman"/>
          <w:lang w:val="en-US"/>
        </w:rPr>
        <w:t xml:space="preserve"> prescribed. Productivity losses were calculated based on the human capital approach using information on the minimum and average daily wage in Spain</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"URL" : "www.ine.es", "author" : [ { "dropping-particle" : "", "family" : "Spanish National Institute of Statistics", "given" : "", "non-dropping-particle" : "", "parse-names" : false, "suffix" : "" } ], "id" : "ITEM-1", "issued" : { "date-parts" : [ [ "2015" ] ] }, "title" : "Minimum wage survey", "type" : "webpage" }, "uris" : [ "http://www.mendeley.com/documents/?uuid=abb4b12d-21a9-46f2-8e59-2e2e64e8cf5a" ] } ], "mendeley" : { "formattedCitation" : "[17]", "plainTextFormattedCitation" : "[17]", "previouslyFormattedCitation" : "&lt;sup&gt;17&lt;/sup&gt;"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[17]</w:t>
      </w:r>
      <w:r w:rsidR="009D1A87">
        <w:rPr>
          <w:rFonts w:ascii="Times New Roman" w:hAnsi="Times New Roman" w:cs="Times New Roman"/>
          <w:lang w:val="en-US"/>
        </w:rPr>
        <w:fldChar w:fldCharType="end"/>
      </w:r>
      <w:r w:rsidR="006B7A9E">
        <w:rPr>
          <w:rFonts w:ascii="Times New Roman" w:hAnsi="Times New Roman" w:cs="Times New Roman"/>
          <w:lang w:val="en-US"/>
        </w:rPr>
        <w:t>.</w:t>
      </w:r>
      <w:r w:rsidRPr="00BE3BFE">
        <w:rPr>
          <w:rFonts w:ascii="Times New Roman" w:hAnsi="Times New Roman" w:cs="Times New Roman"/>
          <w:lang w:val="en-US"/>
        </w:rPr>
        <w:t xml:space="preserve"> Table 1 shows unit costs used in the study.</w:t>
      </w:r>
    </w:p>
    <w:p w14:paraId="4B5C2AA4" w14:textId="77777777" w:rsidR="00E63695" w:rsidRPr="000E6884" w:rsidRDefault="00E63695" w:rsidP="00BE3BFE">
      <w:pPr>
        <w:spacing w:line="480" w:lineRule="auto"/>
        <w:jc w:val="both"/>
        <w:rPr>
          <w:rFonts w:ascii="Times New Roman" w:hAnsi="Times New Roman" w:cs="Times New Roman"/>
          <w:lang w:val="en-US"/>
        </w:rPr>
      </w:pPr>
      <w:r>
        <w:rPr>
          <w:rFonts w:ascii="Times New Roman" w:hAnsi="Times New Roman" w:cs="Times New Roman"/>
          <w:u w:val="single"/>
          <w:lang w:val="en-US"/>
        </w:rPr>
        <w:t>Clinical outcomes</w:t>
      </w:r>
    </w:p>
    <w:p w14:paraId="29DCABF9" w14:textId="520FD093" w:rsidR="00BE3BFE" w:rsidRPr="00BE3BFE" w:rsidRDefault="008A258A" w:rsidP="00BE3BFE">
      <w:pPr>
        <w:spacing w:line="480" w:lineRule="auto"/>
        <w:jc w:val="both"/>
        <w:rPr>
          <w:rFonts w:ascii="Times New Roman" w:hAnsi="Times New Roman" w:cs="Times New Roman"/>
          <w:lang w:val="en-US"/>
        </w:rPr>
      </w:pPr>
      <w:r w:rsidRPr="000E6884">
        <w:rPr>
          <w:rFonts w:ascii="Times New Roman" w:hAnsi="Times New Roman" w:cs="Times New Roman"/>
          <w:lang w:val="en-US"/>
        </w:rPr>
        <w:t xml:space="preserve">Clinical outcomes were assessed at baseline, six and twelve months by an external researcher. </w:t>
      </w:r>
      <w:r w:rsidR="00BE3BFE" w:rsidRPr="00BE3BFE">
        <w:rPr>
          <w:rFonts w:ascii="Times New Roman" w:hAnsi="Times New Roman" w:cs="Times New Roman"/>
          <w:lang w:val="en-US"/>
        </w:rPr>
        <w:t>The European Quality of Life instrument (EuroQol-5D-3L) was used to measure health-related quality of life</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"PMID" : "9610215", "abstract" : "Spanish and Catalan versions of the EuroQoi 5-D (EQ-5D) were included in the Catalan Health Interview Survey (CHIS) and administered to a randomly selected cross-section of 12,245 individuals from the Catalan general population. This paper analyses the feasibility, convergent validity and construct validity of three parts of the EQ-5D (the descriptive system, the visual analogue scale (VAS) and the Spanish tariff) using the results obtained in the CHIS. The feasibility was assessed by the number of missing responses. The convergent validity was based on the correlations between the EQ-5D scores and the scores on the General Health Questionnaire (GHQ) and on an index of self-perceived overall health. The construct validity was assessed by analysing the degree to which lower scores on the EQ-5D correlated positively with increasing age, being female, being in a lower social class or having a lower level of education and with increasing levels of disability, co-morbidity, restricted activity, mental health problems and poor self-perceived health. A low number of missing responses on the descriptive system and the VAS (1.5%) indicated a high level of acceptance. A marked ceiling effect was found, with 67% of the sample reporting no problem in any EQ dimension. The convergent validity with the GHQ was generally low, though moderate on the mood dimension. Self-perceived overall health correlated moderately to strongly with the mean VAS and tariff values. The positive correlations between lower scores on all three elements of the EQ-5D and increasing age, increasing levels of disability, comorbidity, restricted activity, mental health problems and poor self-perceived health provide some evidence of the instrument's construct validity, as does the fact that women reported more problems than men. Multivariate analyses using the VAS and tariff values as dependent variables and all of the sociodemographic and health variables as independent variables reached R2 values of 0.45 and 0.81, respectively. The Spanish and Catalan versions of the EQ-5D have proved to be feasible and valid for use in health interview surveys.", "author" : [ { "dropping-particle" : "", "family" : "Badia", "given" : "X.", "non-dropping-particle" : "", "parse-names" : false, "suffix" : "" }, { "dropping-particle" : "", "family" : "Schiaffino", "given" : "A.", "non-dropping-particle" : "", "parse-names" : false, "suffix" : "" }, { "dropping-particle" : "", "family" : "Alonso", "given" : "J.", "non-dropping-particle" : "", "parse-names" : false, "suffix" : "" }, { "dropping-particle" : "", "family" : "Herdman", "given" : "M.", "non-dropping-particle" : "", "parse-names" : false, "suffix" : "" } ], "container-title" : "Quality of Life Research", "id" : "ITEM-1", "issue" : "4", "issued" : { "date-parts" : [ [ "1998" ] ] }, "page" : "311-322", "title" : "Using the EuroQol 5-D in the Catalan general population: Feasibility and construct validity", "type" : "article-journal", "volume" : "7" }, "uris" : [ "http://www.mendeley.com/documents/?uuid=a7c84265-a58f-4950-9897-ffb7b2a30e5d" ] }, { "id" : "ITEM-2", "itemData" : { "ISSN" : "0168-8510", "PMID" : "10109801", "abstract" : "In the course of developing a standardised, non-disease-specific instrument for describing and valuing health states (based on the items in Table 1), the EuroQol Group (whose members are listed in the Appendix) conducted postal surveys in England, The Netherlands and Sweden which indicate a striking similarity in the relative valuations attached to 14 different health states. The data were collected using a visual analogue scale similar to a thermometer. The EuroQol instrument is intended to complement other quality-of-life measures and to facilitate the collection of a common data set for reference purposes. Others interested in participating in the extension of this work are invited to contact the EuroQol Group.", "author" : [ { "dropping-particle" : "", "family" : "EuroQol Group", "given" : "", "non-dropping-particle" : "", "parse-names" : false, "suffix" : "" } ], "container-title" : "Health policy (Amsterdam, Netherlands)", "id" : "ITEM-2", "issue" : "3", "issued" : { "date-parts" : [ [ "1990", "12" ] ] }, "page" : "199-208", "title" : "EuroQol-a new facility for the measurement of health-related quality of life.", "type" : "article-journal", "volume" : "16" }, "uris" : [ "http://www.mendeley.com/documents/?uuid=461154fe-9933-357f-8fb9-8f00a7b8cda9" ] } ], "mendeley" : { "formattedCitation" : "[18, 19]", "plainTextFormattedCitation" : "[18, 19]", "previouslyFormattedCitation" : "&lt;sup&gt;18,19&lt;/sup&gt;"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lang w:val="en-US"/>
        </w:rPr>
        <w:t>[18, 19]</w:t>
      </w:r>
      <w:r w:rsidR="009D1A87">
        <w:rPr>
          <w:rFonts w:ascii="Times New Roman" w:hAnsi="Times New Roman" w:cs="Times New Roman"/>
          <w:lang w:val="en-US"/>
        </w:rPr>
        <w:fldChar w:fldCharType="end"/>
      </w:r>
      <w:r w:rsidR="006B7A9E">
        <w:rPr>
          <w:rFonts w:ascii="Times New Roman" w:hAnsi="Times New Roman" w:cs="Times New Roman"/>
          <w:lang w:val="en-US"/>
        </w:rPr>
        <w:t>.</w:t>
      </w:r>
      <w:r w:rsidR="00BE3BFE" w:rsidRPr="00BE3BFE">
        <w:rPr>
          <w:rFonts w:ascii="Times New Roman" w:hAnsi="Times New Roman" w:cs="Times New Roman"/>
          <w:lang w:val="en-US"/>
        </w:rPr>
        <w:t xml:space="preserve"> QALYs were calculated by multiplying the utility based on EQ5D by the amount of time a patient spent in this particular health state. Transitions between health states were linearly interpolated</w:t>
      </w:r>
      <w:r w:rsidR="006B7A9E">
        <w:rPr>
          <w:rFonts w:ascii="Times New Roman" w:hAnsi="Times New Roman" w:cs="Times New Roman"/>
          <w:lang w:val="en-US"/>
        </w:rPr>
        <w:t xml:space="preserve"> </w:t>
      </w:r>
      <w:r w:rsidR="00952D1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"author" : [ { "dropping-particle" : "", "family" : "Glick", "given" : "HA", "non-dropping-particle" : "", "parse-names" : false, "suffix" : "" }, { "dropping-particle" : "", "family" : "Doshi", "given" : "JA", "non-dropping-particle" : "", "parse-names" : false, "suffix" : "" }, { "dropping-particle" : "", "family" : "Sonrad", "given" : "SS", "non-dropping-particle" : "", "parse-names" : false, "suffix" : "" } ], "edition" : "Second Edi", "id" : "ITEM-1", "issued" : { "date-parts" : [ [ "2014" ] ] }, "publisher" : "Oxford University Press", "title" : "Economic Evaluation in Clinical Trials", "type" : "book" }, "uris" : [ "http://www.mendeley.com/documents/?uuid=a615c5da-da50-4b71-99b5-5399dac17ed6" ] } ], "mendeley" : { "formattedCitation" : "[20]", "plainTextFormattedCitation" : "[20]", "previouslyFormattedCitation" : "&lt;sup&gt;20&lt;/sup&gt;" }, "properties" : { "noteIndex" : 0 }, "schema" : "https://github.com/citation-style-language/schema/raw/master/csl-citation.json" }</w:instrText>
      </w:r>
      <w:r w:rsidR="00952D17">
        <w:rPr>
          <w:rFonts w:ascii="Times New Roman" w:hAnsi="Times New Roman" w:cs="Times New Roman"/>
          <w:lang w:val="en-US"/>
        </w:rPr>
        <w:fldChar w:fldCharType="separate"/>
      </w:r>
      <w:r w:rsidR="006B7A9E" w:rsidRPr="006B7A9E">
        <w:rPr>
          <w:rFonts w:ascii="Times New Roman" w:hAnsi="Times New Roman" w:cs="Times New Roman"/>
          <w:lang w:val="en-US"/>
        </w:rPr>
        <w:t>[20]</w:t>
      </w:r>
      <w:r w:rsidR="00952D17">
        <w:rPr>
          <w:rFonts w:ascii="Times New Roman" w:hAnsi="Times New Roman" w:cs="Times New Roman"/>
          <w:lang w:val="en-US"/>
        </w:rPr>
        <w:fldChar w:fldCharType="end"/>
      </w:r>
      <w:r w:rsidR="006B7A9E">
        <w:rPr>
          <w:rFonts w:ascii="Times New Roman" w:hAnsi="Times New Roman" w:cs="Times New Roman"/>
          <w:lang w:val="en-US"/>
        </w:rPr>
        <w:t>.</w:t>
      </w:r>
      <w:r w:rsidR="00DC2AC8" w:rsidRPr="00DC2AC8">
        <w:rPr>
          <w:rFonts w:ascii="Times New Roman" w:hAnsi="Times New Roman" w:cs="Times New Roman"/>
          <w:lang w:val="en-US"/>
        </w:rPr>
        <w:t xml:space="preserve"> </w:t>
      </w:r>
      <w:r w:rsidR="00DC2AC8" w:rsidRPr="00BE3BFE">
        <w:rPr>
          <w:rFonts w:ascii="Times New Roman" w:hAnsi="Times New Roman" w:cs="Times New Roman"/>
          <w:lang w:val="en-US"/>
        </w:rPr>
        <w:t>We used the Patient Health Questionnaire 9 (PHQ-9) to assess changes in depression severity</w:t>
      </w:r>
      <w:r w:rsidR="006B7A9E">
        <w:rPr>
          <w:rFonts w:ascii="Times New Roman" w:hAnsi="Times New Roman" w:cs="Times New Roman"/>
          <w:lang w:val="en-US"/>
        </w:rPr>
        <w:t xml:space="preserve"> </w:t>
      </w:r>
      <w:r w:rsidR="00DC2AC8">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"ISSN" : "0033-3174", "PMID" : "11485122", "abstract" : "OBJECTIVE: To determine whether the Spanish version of the patient health questionnaire (PHQ) has validity and utility for diagnosing mental disorders in general hospital inpatients. METHODS: Participants in the study were 1003 general hospital inpatients, randomly selected from all admissions over an 18-month period. All of them completed the PHQ, the Beck Depression Inventory (BDI), and measures of functional status, disability days, and health care use, including length of hospital stay. They also had a structured interview with a mental health professional. RESULTS: A total of 416 (42%) of the 1003 general hospital inpatients had a PHQ diagnosis. There was good agreement between PHQ diagnoses and those of an independent mental health professional (for the diagnosis of any PHQ disorder, kappa = 0.74; overall accuracy, 88%; sensitivity, 87%; specificity, 88%), similar to the original English version of the PHQ in primary care patients. Patients with PHQ diagnoses had more functional impairment, disability days, and health care use than did patients without PHQ diagnoses (group main effects for functional status measures and disability days, p &lt; .001; group main effects for health care use, p &lt; .01). The group main effect for hospital length of stay was not significant. An index of depression symptom severity calculated from the PHQ correlated significantly both with the number of depressive symptoms detected at interview and the total BDI score. PHQ administration was well accepted by patients. CONCLUSIONS: The Spanish version of the PHQ has diagnostic validity in general hospital inpatients comparable to the original English version in primary care.", "author" : [ { "dropping-particle" : "", "family" : "Diez-Quevedo", "given" : "C", "non-dropping-particle" : "", "parse-names" : false, "suffix" : "" }, { "dropping-particle" : "", "family" : "Rangil", "given" : "T", "non-dropping-particle" : "", "parse-names" : false, "suffix" : "" }, { "dropping-particle" : "", "family" : "Sanchez-Planell", "given" : "L", "non-dropping-particle" : "", "parse-names" : false, "suffix" : "" }, { "dropping-particle" : "", "family" : "Kroenke", "given" : "K", "non-dropping-particle" : "", "parse-names" : false, "suffix" : "" }, { "dropping-particle" : "", "family" : "Spitzer", "given" : "R L", "non-dropping-particle" : "", "parse-names" : false, "suffix" : "" } ], "container-title" : "Psychosomatic medicine", "id" : "ITEM-1", "issue" : "4", "issued" : { "date-parts" : [ [ "2001" ] ] }, "page" : "679-86", "title" : "Validation and utility of the patient health questionnaire in diagnosing mental disorders in 1003 general hospital Spanish inpatients.", "type" : "article-journal", "volume" : "63" }, "uris" : [ "http://www.mendeley.com/documents/?uuid=b4c8f9e8-26cd-4a68-a032-fcea87287595" ] }, { "id" : "ITEM-2", "itemData" : { "PMID" : "11556941", "abstract" : "OBJECTIVE: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 "author" : [ { "dropping-particle" : "", "family" : "Kroenke", "given" : "K.", "non-dropping-particle" : "", "parse-names" : false, "suffix" : "" }, { "dropping-particle" : "", "family" : "Spitzer", "given" : "R. L.", "non-dropping-particle" : "", "parse-names" : false, "suffix" : "" }, { "dropping-particle" : "", "family" : "Williams", "given" : "J. B W", "non-dropping-particle" : "", "parse-names" : false, "suffix" : "" } ], "container-title" : "Journal of General Internal Medicine", "id" : "ITEM-2", "issue" : "9", "issued" : { "date-parts" : [ [ "2001" ] ] }, "page" : "606-613", "title" : "The PHQ-9: Validity of a brief depression severity measure", "type" : "article-journal", "volume" : "16" }, "uris" : [ "http://www.mendeley.com/documents/?uuid=909d2d4a-617d-4ada-b018-25f1c11f41d9" ] }, { "id" : "ITEM-3", "itemData" : { "ISSN" : "00987484", "PMID" : "10568646", "abstract" : "CONTEXT: The Primary Care Evaluation of Mental Disorders (PRIME-MD) was developed as a screening instrument but its administration time has limited its clinical usefulness. OBJECTIVE: To determine if the self-administered PRIME-MD Patient Health Questionnaire (PHQ) has validity and utility for diagnosing mental disorders in primary care comparable to the original clinician-administered PRIME-MD. DESIGN: Criterion standard study undertaken between May 1997 and November 1998. SETTING: Eight primary care clinics in the United States. PARTICIPANTS: Of a total of 3000 adult patients (selected by site-specific methods to avoid sampling bias) assessed by 62 primary care physicians (21 general internal medicine, 41 family practice), 585 patients had an interview with a mental health professional within 48 hours of completing the PHQ. MAIN OUTCOME MEASURES: Patient Health Questionnaire diagnoses compared with independent diagnoses made by mental health professionals; functional status measures; disability days; health care use; and treatment/referral decisions. RESULTS: A total of 825 (28%) of the 3000 individuals and 170 (29%) of the 585 had a PHQ diagnosis. There was good agreement between PHQ diagnoses and those of independent mental health professionals (for the diagnosis of any 1 or more PHQ disorder, kappa = 0.65; overall accuracy, 85%; sensitivity, 75%; specificity, 90%), similar to the original PRIME-MD. Patients with PHQ diagnoses had more functional impairment, disability days, and health care use than did patients without PHQ diagnoses (for all group main effects, P&lt;.001). The average time required of the physician to review the PHQ was far less than to administer the original PRIME-MD (&lt;3 minutes for 85% vs 16% of the cases). Although 80% of the physicians reported that routine use of the PHQ would be useful, new management actions were initiated or planned for only 117 (32%) of the 363 patients with 1 or more PHQ diagnoses not previously recognized. CONCLUSION: Our study suggests that the PHQ has diagnostic validity comparable to the original clinician-administered PRIME-MD, and is more efficient to use.", "author" : [ { "dropping-particle" : "", "family" : "Spitzer", "given" : "R L", "non-dropping-particle" : "", "parse-names" : false, "suffix" : "" }, { "dropping-particle" : "", "family" : "Kroenke", "given" : "K", "non-dropping-particle" : "", "parse-names" : false, "suffix" : "" }, { "dropping-particle" : "", "family" : "Williams", "given" : "J B", "non-dropping-particle" : "", "parse-names" : false, "suffix" : "" } ], "container-title" : "JAMA : the journal of the American Medical Association", "id" : "ITEM-3", "issue" : "18", "issued" : { "date-parts" : [ [ "1999" ] ] }, "page" : "1737-1744", "title" : "Validation and utility of a self-report version of PRIME-MD: the PHQ primary care study. Primary Care Evaluation of Mental Disorders. Patient Health Questionnaire.", "type" : "article-journal", "volume" : "282" }, "uris" : [ "http://www.mendeley.com/documents/?uuid=bc1c1c06-135c-41f7-b1ca-5c8a4ff10664" ] } ], "mendeley" : { "formattedCitation" : "[21\u201323]", "plainTextFormattedCitation" : "[21\u201323]", "previouslyFormattedCitation" : "&lt;sup&gt;21\u201323&lt;/sup&gt;" }, "properties" : { "noteIndex" : 0 }, "schema" : "https://github.com/citation-style-language/schema/raw/master/csl-citation.json" }</w:instrText>
      </w:r>
      <w:r w:rsidR="00DC2AC8">
        <w:rPr>
          <w:rFonts w:ascii="Times New Roman" w:hAnsi="Times New Roman" w:cs="Times New Roman"/>
          <w:lang w:val="en-US"/>
        </w:rPr>
        <w:fldChar w:fldCharType="separate"/>
      </w:r>
      <w:r w:rsidR="006B7A9E" w:rsidRPr="006B7A9E">
        <w:rPr>
          <w:rFonts w:ascii="Times New Roman" w:hAnsi="Times New Roman" w:cs="Times New Roman"/>
          <w:lang w:val="en-US"/>
        </w:rPr>
        <w:t>[21–23]</w:t>
      </w:r>
      <w:r w:rsidR="00DC2AC8">
        <w:rPr>
          <w:rFonts w:ascii="Times New Roman" w:hAnsi="Times New Roman" w:cs="Times New Roman"/>
          <w:lang w:val="en-US"/>
        </w:rPr>
        <w:fldChar w:fldCharType="end"/>
      </w:r>
      <w:r w:rsidR="006B7A9E">
        <w:rPr>
          <w:rFonts w:ascii="Times New Roman" w:hAnsi="Times New Roman" w:cs="Times New Roman"/>
          <w:lang w:val="en-US"/>
        </w:rPr>
        <w:t>.</w:t>
      </w:r>
    </w:p>
    <w:p w14:paraId="11BE337F" w14:textId="644ED503"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The Structured Clinical Interview for DSM-IV Axis I Disorders (SCID-I) was used to confirm clinical diagnosis</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"PMID" : "2769", "abstract" : "This efficient, user-friendly instrument will help clinicians make standardized, reliable, and accurate diagnoses and avoid the common problem of premature closurethe premature focus on one diagnostic possibility. It will also help clinicians of all levels of experience improve their clinical assessment and interviewing techniques and provides extensive documentation of the diagnostic process, an essential procedure in todays managed care world. Specifically adapted from the research standard for Axis I structured clinical interviewing for use in clinical settings, the SCID-I covers those DSM-IV diagnoses most commonly seen by clinicians and includes the diagnostic criteria for these disorders with corresponding interview questions. The SCID-I is divided into six self-contained modules that can be administered in sequence: mood episodes; psychotic symptoms; psychotic disorders; mood disorders; substance use disorders; and anxiety, adjustment, and other disorders.The Users Guide provides instructions on how to use the SCID-I effectively. It contains sections describing the rationale and structure of the SCID-I and detailed discussions on how to assess the specific DSM-IV criteria. A number of sample cases are also included to help clinicians learn how to use SCID-I.", "author" : [ { "dropping-particle" : "", "family" : "First", "given" : "M B et", "non-dropping-particle" : "", "parse-names" : false, "suffix" : "" }, { "dropping-particle" : "", "family" : "Spitzer", "given" : "R L", "non-dropping-particle" : "", "parse-names" : false, "suffix" : "" }, { "dropping-particle" : "", "family" : "Gibbon", "given" : "M", "non-dropping-particle" : "", "parse-names" : false, "suffix" : "" }, { "dropping-particle" : "", "family" : "Williams", "given" : "J B W", "non-dropping-particle" : "", "parse-names" : false, "suffix" : "" } ], "container-title" : "for DSMIV", "id" : "ITEM-1", "issued" : { "date-parts" : [ [ "1997" ] ] }, "number-of-pages" : "132", "title" : "Structured Clinical Interview for DSM-IV Axis I Disorders, Clinician Version (SCID-CV)", "type" : "book" }, "uris" : [ "http://www.mendeley.com/documents/?uuid=99d57706-a42f-43fc-bcf6-1f6ce06db709" ] } ], "mendeley" : { "formattedCitation" : "[24]", "plainTextFormattedCitation" : "[24]", "previouslyFormattedCitation" : "&lt;sup&gt;24&lt;/sup&gt;"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[24]</w:t>
      </w:r>
      <w:r w:rsidR="009D1A87">
        <w:rPr>
          <w:rFonts w:ascii="Times New Roman" w:hAnsi="Times New Roman" w:cs="Times New Roman"/>
          <w:lang w:val="en-US"/>
        </w:rPr>
        <w:fldChar w:fldCharType="end"/>
      </w:r>
      <w:r w:rsidR="006B7A9E">
        <w:rPr>
          <w:rFonts w:ascii="Times New Roman" w:hAnsi="Times New Roman" w:cs="Times New Roman"/>
          <w:lang w:val="en-US"/>
        </w:rPr>
        <w:t>.</w:t>
      </w:r>
      <w:r w:rsidRPr="00BE3BFE">
        <w:rPr>
          <w:rFonts w:ascii="Times New Roman" w:hAnsi="Times New Roman" w:cs="Times New Roman"/>
          <w:lang w:val="en-US"/>
        </w:rPr>
        <w:t xml:space="preserve"> </w:t>
      </w:r>
      <w:r w:rsidR="00E63695">
        <w:rPr>
          <w:rFonts w:ascii="Times New Roman" w:hAnsi="Times New Roman" w:cs="Times New Roman"/>
          <w:lang w:val="en-US"/>
        </w:rPr>
        <w:t>GP</w:t>
      </w:r>
      <w:r w:rsidRPr="00BE3BFE">
        <w:rPr>
          <w:rFonts w:ascii="Times New Roman" w:hAnsi="Times New Roman" w:cs="Times New Roman"/>
          <w:lang w:val="en-US"/>
        </w:rPr>
        <w:t>s were blind to the DSM-IV diagnosis and patient inclusion was based on their criteria. Sociodemographic characteristics</w:t>
      </w:r>
      <w:r w:rsidR="00DC2AC8">
        <w:rPr>
          <w:rFonts w:ascii="Times New Roman" w:hAnsi="Times New Roman" w:cs="Times New Roman"/>
          <w:lang w:val="en-US"/>
        </w:rPr>
        <w:t xml:space="preserve"> and</w:t>
      </w:r>
      <w:r w:rsidRPr="00BE3BFE">
        <w:rPr>
          <w:rFonts w:ascii="Times New Roman" w:hAnsi="Times New Roman" w:cs="Times New Roman"/>
          <w:lang w:val="en-US"/>
        </w:rPr>
        <w:t xml:space="preserve"> chronic physical conditions were assessed using check-lists. </w:t>
      </w:r>
    </w:p>
    <w:p w14:paraId="48CA3FEA" w14:textId="070D5BFA"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Further details on the battery of measures are provided elsewhere</w:t>
      </w:r>
      <w:r w:rsidR="006B7A9E">
        <w:rPr>
          <w:rFonts w:ascii="Times New Roman" w:hAnsi="Times New Roman" w:cs="Times New Roman"/>
          <w:lang w:val="en-US"/>
        </w:rPr>
        <w:t xml:space="preserve"> </w:t>
      </w:r>
      <w:r w:rsidR="009D1A8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"DOI" : "10.1186/s12888-015-0448-3", "ISSN" : "1471-244X (Electronic)", "PMID" : "25885818", "abstract" : "BACKGROUND: Clinical practice guidelines for the treatment of major depressive disorder (MDD) recommend antidepressants for patients with moderate-severe depression and active monitoring for patients with mild-moderate symptoms. The feasibility and efficiency of active monitoring has not been proven conclusively. The aim of this study is to evaluate the cost-effectiveness of active monitoring in comparison to antidepressants for primary care patients with mild-moderate MDD. METHODS/DESIGN: This is a 12-month follow-up multicenter observational prospective controlled trial. Patients are enrolled in 12 primary care centers in Barcelona (Spain). Eligible patients are adults (&gt;/=18 years-old) with a new episode of MDD that sign a written consent to participate. This is a naturalistic study in which general practitioners (GPs) use their professional judgment to allocate patients into active monitoring or antidepressants groups. GPs treat the patients following their clinical criteria. At baseline, GPs complete a questionnaire (sociodemographic/job characteristics, training, attitude towards depression, interest on mental health and participation in communication groups). Patients' measurements take place at baseline and after six and 12 months. Main outcome measures include severity of depression (PHQ-9), health-related quality of life (EuroQol-5D) and use of healthcare and social care services (Client Service Receipt Inventory). Secondary outcomes include diagnosis of MDD according to DSM-IV diagnostic criteria (SCID-I), disability (WHO-DAS), anxiety (BAI), comorbidities, medication side-effects and beliefs about medicines (BMQ). The analysis will be done according to the intention to treat analysis. Missing data will be imputed using multiple imputation by chained equations. To minimize the bias resulting from the lack of randomization, a propensity score will be used. Incremental effects and costs between groups will be modelled in each of the imputed databases using multivariate generalized linear models and then combined as per Rubin's rules. Propensity scores will be used to adjust the models. Incremental cost-effectiveness ratios will be calculated by dividing the difference in costs between groups by the difference in effects. To deal with the uncertainty, resampling techniques with bootstrapping will be used and cost-effectiveness planes and cost-effectiveness acceptability curves will be constructed. A series of sensitivity analyses will be perform\u2026", "author" : [ { "dropping-particle" : "", "family" : "Rubio-Valera", "given" : "Maria", "non-dropping-particle" : "", "parse-names" : false, "suffix" : "" }, { "dropping-particle" : "", "family" : "Beneitez", "given" : "Imma", "non-dropping-particle" : "", "parse-names" : false, "suffix" : "" }, { "dropping-particle" : "", "family" : "Penarrubia-Maria", "given" : "Maria Teresa", "non-dropping-particle" : "", "parse-names" : false, "suffix" : "" }, { "dropping-particle" : "V", "family" : "Luciano", "given" : "Juan", "non-dropping-particle" : "", "parse-names" : false, "suffix" : "" }, { "dropping-particle" : "", "family" : "Mendive", "given" : "Juan M", "non-dropping-particle" : "", "parse-names" : false, "suffix" : "" }, { "dropping-particle" : "", "family" : "McCrone", "given" : "Paul", "non-dropping-particle" : "", "parse-names" : false, "suffix" : "" }, { "dropping-particle" : "", "family" : "Knapp", "given" : "Martin", "non-dropping-particle" : "", "parse-names" : false, "suffix" : "" }, { "dropping-particle" : "", "family" : "Sabes-Figuera", "given" : "Ramon", "non-dropping-particle" : "", "parse-names" : false, "suffix" : "" }, { "dropping-particle" : "", "family" : "Kocyan", "given" : "Katarzyna", "non-dropping-particle" : "", "parse-names" : false, "suffix" : "" }, { "dropping-particle" : "", "family" : "Garcia-Campayo", "given" : "Javier", "non-dropping-particle" : "", "parse-names" : false, "suffix" : "" }, { "dropping-particle" : "", "family" : "Serrano-Blanco", "given" : "Antoni", "non-dropping-particle" : "", "parse-names" : false, "suffix" : "" } ], "container-title" : "BMC psychiatry", "id" : "ITEM-1", "issued" : { "date-parts" : [ [ "2015" ] ] }, "language" : "eng", "page" : "63", "publisher-place" : "England", "title" : "Cost-effectiveness of active monitoring versus antidepressants for major depression in primary health care: a 12-month non-randomized controlled trial (INFAP study).", "type" : "article-journal", "volume" : "15" }, "uris" : [ "http://www.mendeley.com/documents/?uuid=c28f90bb-4e1b-4671-8199-7badc62a7d21", "http://www.mendeley.com/documents/?uuid=513079bc-5e44-4887-9e3b-e3af99d140ac", "http://www.mendeley.com/documents/?uuid=f828855c-08b5-430f-a966-7325393e0190" ] } ], "mendeley" : { "formattedCitation" : "[14]", "plainTextFormattedCitation" : "[14]", "previouslyFormattedCitation" : "&lt;sup&gt;14&lt;/sup&gt;" }, "properties" : { "noteIndex" : 0 }, "schema" : "https://github.com/citation-style-language/schema/raw/master/csl-citation.json" }</w:instrText>
      </w:r>
      <w:r w:rsidR="009D1A87">
        <w:rPr>
          <w:rFonts w:ascii="Times New Roman" w:hAnsi="Times New Roman" w:cs="Times New Roman"/>
          <w:lang w:val="en-US"/>
        </w:rPr>
        <w:fldChar w:fldCharType="separate"/>
      </w:r>
      <w:r w:rsidR="006B7A9E" w:rsidRPr="006B7A9E">
        <w:rPr>
          <w:rFonts w:ascii="Times New Roman" w:hAnsi="Times New Roman" w:cs="Times New Roman"/>
          <w:noProof/>
          <w:lang w:val="en-US"/>
        </w:rPr>
        <w:t>[14]</w:t>
      </w:r>
      <w:r w:rsidR="009D1A87">
        <w:rPr>
          <w:rFonts w:ascii="Times New Roman" w:hAnsi="Times New Roman" w:cs="Times New Roman"/>
          <w:lang w:val="en-US"/>
        </w:rPr>
        <w:fldChar w:fldCharType="end"/>
      </w:r>
      <w:r w:rsidR="006B7A9E">
        <w:rPr>
          <w:rFonts w:ascii="Times New Roman" w:hAnsi="Times New Roman" w:cs="Times New Roman"/>
          <w:lang w:val="en-US"/>
        </w:rPr>
        <w:t>.</w:t>
      </w:r>
    </w:p>
    <w:p w14:paraId="1202D75E" w14:textId="77777777" w:rsidR="00BE3BFE" w:rsidRPr="00BE3BFE" w:rsidRDefault="00464E67" w:rsidP="00F76044">
      <w:pPr>
        <w:pStyle w:val="Heading2"/>
        <w:rPr>
          <w:rFonts w:ascii="Times New Roman" w:hAnsi="Times New Roman"/>
          <w:lang w:val="en-US"/>
        </w:rPr>
      </w:pPr>
      <w:r>
        <w:rPr>
          <w:rFonts w:ascii="Times New Roman" w:hAnsi="Times New Roman"/>
          <w:lang w:val="en-US"/>
        </w:rPr>
        <w:t>Statistical A</w:t>
      </w:r>
      <w:r w:rsidR="00BE3BFE" w:rsidRPr="00BE3BFE">
        <w:rPr>
          <w:rFonts w:ascii="Times New Roman" w:hAnsi="Times New Roman"/>
          <w:lang w:val="en-US"/>
        </w:rPr>
        <w:t>nalysis</w:t>
      </w:r>
    </w:p>
    <w:p w14:paraId="120CDF15" w14:textId="55B8DE96" w:rsidR="00D2754C" w:rsidRDefault="00D2754C" w:rsidP="00D2754C">
      <w:pPr>
        <w:spacing w:line="480" w:lineRule="auto"/>
        <w:jc w:val="both"/>
        <w:rPr>
          <w:rFonts w:ascii="Times New Roman" w:hAnsi="Times New Roman" w:cs="Times New Roman"/>
          <w:lang w:val="en-US"/>
        </w:rPr>
      </w:pPr>
      <w:r>
        <w:rPr>
          <w:rFonts w:ascii="Times New Roman" w:hAnsi="Times New Roman" w:cs="Times New Roman"/>
          <w:lang w:val="en-US"/>
        </w:rPr>
        <w:t>A detailed description of the statistical methods is provided in the Supplementary files. The base-case analysis was an intention-to-treat analysis</w:t>
      </w:r>
      <w:r w:rsidRPr="00BE3BFE">
        <w:rPr>
          <w:rFonts w:ascii="Times New Roman" w:hAnsi="Times New Roman" w:cs="Times New Roman"/>
          <w:lang w:val="en-US"/>
        </w:rPr>
        <w:t>.</w:t>
      </w:r>
      <w:r>
        <w:rPr>
          <w:rFonts w:ascii="Times New Roman" w:hAnsi="Times New Roman" w:cs="Times New Roman"/>
          <w:lang w:val="en-US"/>
        </w:rPr>
        <w:t xml:space="preserve"> To deal with m</w:t>
      </w:r>
      <w:r w:rsidRPr="00BE3BFE">
        <w:rPr>
          <w:rFonts w:ascii="Times New Roman" w:hAnsi="Times New Roman" w:cs="Times New Roman"/>
          <w:lang w:val="en-US"/>
        </w:rPr>
        <w:t>issing data</w:t>
      </w:r>
      <w:r>
        <w:rPr>
          <w:rFonts w:ascii="Times New Roman" w:hAnsi="Times New Roman" w:cs="Times New Roman"/>
          <w:lang w:val="en-US"/>
        </w:rPr>
        <w:t xml:space="preserve">, we used </w:t>
      </w:r>
      <w:r w:rsidRPr="00BE3BFE">
        <w:rPr>
          <w:rFonts w:ascii="Times New Roman" w:hAnsi="Times New Roman" w:cs="Times New Roman"/>
          <w:lang w:val="en-US"/>
        </w:rPr>
        <w:t xml:space="preserve">multiple imputations by chained equations. </w:t>
      </w:r>
      <w:r>
        <w:rPr>
          <w:rFonts w:ascii="Times New Roman" w:hAnsi="Times New Roman" w:cs="Times New Roman"/>
          <w:lang w:val="en-US"/>
        </w:rPr>
        <w:t xml:space="preserve">To minimize the bias resulting from non-randomization, a </w:t>
      </w:r>
      <w:r w:rsidR="00FF5D40">
        <w:rPr>
          <w:rFonts w:ascii="Times New Roman" w:hAnsi="Times New Roman" w:cs="Times New Roman"/>
          <w:lang w:val="en-US"/>
        </w:rPr>
        <w:t>p</w:t>
      </w:r>
      <w:r w:rsidRPr="00BE3BFE">
        <w:rPr>
          <w:rFonts w:ascii="Times New Roman" w:hAnsi="Times New Roman" w:cs="Times New Roman"/>
          <w:lang w:val="en-US"/>
        </w:rPr>
        <w:t xml:space="preserve">ropensity score-based method </w:t>
      </w:r>
      <w:r>
        <w:rPr>
          <w:rFonts w:ascii="Times New Roman" w:hAnsi="Times New Roman" w:cs="Times New Roman"/>
          <w:lang w:val="en-US"/>
        </w:rPr>
        <w:t>–</w:t>
      </w:r>
      <w:r w:rsidRPr="00BE3BFE">
        <w:rPr>
          <w:rFonts w:ascii="Times New Roman" w:hAnsi="Times New Roman" w:cs="Times New Roman"/>
          <w:lang w:val="en-US"/>
        </w:rPr>
        <w:t>the inverse probability-weighted and regression-adjustment method (IPWRA)</w:t>
      </w:r>
      <w:r>
        <w:rPr>
          <w:rFonts w:ascii="Times New Roman" w:hAnsi="Times New Roman" w:cs="Times New Roman"/>
          <w:lang w:val="en-US"/>
        </w:rPr>
        <w:t xml:space="preserve">– </w:t>
      </w:r>
      <w:r w:rsidRPr="00BE3BFE">
        <w:rPr>
          <w:rFonts w:ascii="Times New Roman" w:hAnsi="Times New Roman" w:cs="Times New Roman"/>
          <w:lang w:val="en-US"/>
        </w:rPr>
        <w:t>was used</w:t>
      </w:r>
      <w:r w:rsidR="006B7A9E">
        <w:rPr>
          <w:rFonts w:ascii="Times New Roman" w:hAnsi="Times New Roman" w:cs="Times New Roman"/>
          <w:lang w:val="en-US"/>
        </w:rPr>
        <w:t xml:space="preserve"> </w:t>
      </w:r>
      <w:r w:rsidR="00952D17">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"DOI" : "10.1177/0962280212445945", "ISSN" : "0962-2802", "PMID" : "22687877", "abstract" : "In many observational studies, analysts estimate treatment effects using propensity scores, e.g. by matching or sub-classifying on the scores. When some values of the covariates are missing, analysts can use multiple imputation to fill in the missing data, estimate propensity scores based on the m completed datasets, and use the propensity scores to estimate treatment effects. We compare two approaches to implement this process. In the first, the analyst estimates the treatment effect using propensity score matching within each completed data set, and averages the m treatment effect estimates. In the second approach, the analyst averages the m propensity scores for each record across the completed datasets, and performs propensity score matching with these averaged scores to estimate the treatment effect. We compare properties of both methods via simulation studies using artificial and real data. The simulations suggest that the second method has greater potential to produce substantial bias reductions than the first, particularly when the missing values are predictive of treatment assignment.", "author" : [ { "dropping-particle" : "", "family" : "Mitra", "given" : "Robin", "non-dropping-particle" : "", "parse-names" : false, "suffix" : "" }, { "dropping-particle" : "", "family" : "Reiter", "given" : "Jerome P", "non-dropping-particle" : "", "parse-names" : false, "suffix" : "" } ], "container-title" : "Statistical Methods in Medical Research", "id" : "ITEM-1", "issue" : "1", "issued" : { "date-parts" : [ [ "2016", "2" ] ] }, "page" : "188-204", "title" : "A comparison of two methods of estimating propensity scores after multiple imputation", "type" : "article-journal", "volume" : "25" }, "uris" : [ "http://www.mendeley.com/documents/?uuid=3235ad87-6abb-3614-960e-443fb57ed2bf" ] } ], "mendeley" : { "formattedCitation" : "[25]", "plainTextFormattedCitation" : "[25]", "previouslyFormattedCitation" : "&lt;sup&gt;25&lt;/sup&gt;" }, "properties" : { "noteIndex" : 0 }, "schema" : "https://github.com/citation-style-language/schema/raw/master/csl-citation.json" }</w:instrText>
      </w:r>
      <w:r w:rsidR="00952D17">
        <w:rPr>
          <w:rFonts w:ascii="Times New Roman" w:hAnsi="Times New Roman" w:cs="Times New Roman"/>
          <w:lang w:val="en-US"/>
        </w:rPr>
        <w:fldChar w:fldCharType="separate"/>
      </w:r>
      <w:r w:rsidR="006B7A9E" w:rsidRPr="006B7A9E">
        <w:rPr>
          <w:rFonts w:ascii="Times New Roman" w:hAnsi="Times New Roman" w:cs="Times New Roman"/>
          <w:noProof/>
          <w:lang w:val="en-US"/>
        </w:rPr>
        <w:t>[25]</w:t>
      </w:r>
      <w:r w:rsidR="00952D17">
        <w:rPr>
          <w:rFonts w:ascii="Times New Roman" w:hAnsi="Times New Roman" w:cs="Times New Roman"/>
          <w:lang w:val="en-US"/>
        </w:rPr>
        <w:fldChar w:fldCharType="end"/>
      </w:r>
      <w:r w:rsidR="006B7A9E">
        <w:rPr>
          <w:rFonts w:ascii="Times New Roman" w:hAnsi="Times New Roman" w:cs="Times New Roman"/>
          <w:lang w:val="en-US"/>
        </w:rPr>
        <w:t>.</w:t>
      </w:r>
    </w:p>
    <w:p w14:paraId="12D6E95F" w14:textId="77777777" w:rsidR="00D2754C" w:rsidRPr="00BE3BFE" w:rsidRDefault="00D2754C" w:rsidP="00D2754C">
      <w:pPr>
        <w:spacing w:line="480" w:lineRule="auto"/>
        <w:jc w:val="both"/>
        <w:rPr>
          <w:rFonts w:ascii="Times New Roman" w:hAnsi="Times New Roman" w:cs="Times New Roman"/>
          <w:lang w:val="en-US"/>
        </w:rPr>
      </w:pPr>
      <w:r>
        <w:rPr>
          <w:rFonts w:ascii="Times New Roman" w:eastAsia="Calibri" w:hAnsi="Times New Roman"/>
          <w:lang w:val="en-US"/>
        </w:rPr>
        <w:lastRenderedPageBreak/>
        <w:t xml:space="preserve">Differences in costs and QALYs </w:t>
      </w:r>
      <w:r w:rsidRPr="00BE3BFE">
        <w:rPr>
          <w:rFonts w:ascii="Times New Roman" w:hAnsi="Times New Roman" w:cs="Times New Roman"/>
          <w:lang w:val="en-US"/>
        </w:rPr>
        <w:t>between groups</w:t>
      </w:r>
      <w:r>
        <w:rPr>
          <w:rFonts w:ascii="Times New Roman" w:hAnsi="Times New Roman" w:cs="Times New Roman"/>
          <w:lang w:val="en-US"/>
        </w:rPr>
        <w:t xml:space="preserve"> were estimated using weighted regression models. </w:t>
      </w:r>
      <w:r w:rsidRPr="00BE3BFE">
        <w:rPr>
          <w:rFonts w:ascii="Times New Roman" w:hAnsi="Times New Roman" w:cs="Times New Roman"/>
          <w:lang w:val="en-US"/>
        </w:rPr>
        <w:t>A secondary analysis was performed in which effects were measured in terms of increased probability of remission of depressive symptoms. We ran these models in each of the imputed databases and combined resulting estimates in differences in costs and QALYs to calculate incremental cost-effectiveness ratios (ICER=mean difference in costs/mean difference in effects).</w:t>
      </w:r>
    </w:p>
    <w:p w14:paraId="59C39297" w14:textId="77777777" w:rsidR="00D2754C" w:rsidRPr="00BE3BFE" w:rsidRDefault="00D2754C" w:rsidP="00D2754C">
      <w:pPr>
        <w:spacing w:line="480" w:lineRule="auto"/>
        <w:jc w:val="both"/>
        <w:rPr>
          <w:rFonts w:ascii="Times New Roman" w:eastAsia="Calibri" w:hAnsi="Times New Roman"/>
          <w:lang w:val="en-US"/>
        </w:rPr>
      </w:pPr>
      <w:bookmarkStart w:id="0" w:name="article1.body1.sec2.sec7.p1"/>
      <w:bookmarkEnd w:id="0"/>
      <w:r w:rsidRPr="00BE3BFE">
        <w:rPr>
          <w:rFonts w:ascii="Times New Roman" w:hAnsi="Times New Roman" w:cs="Times New Roman"/>
          <w:lang w:val="en-US"/>
        </w:rPr>
        <w:t>We used bootstrapping</w:t>
      </w:r>
      <w:r>
        <w:rPr>
          <w:rFonts w:ascii="Times New Roman" w:hAnsi="Times New Roman" w:cs="Times New Roman"/>
          <w:lang w:val="en-US"/>
        </w:rPr>
        <w:t xml:space="preserve"> (5000 replications)</w:t>
      </w:r>
      <w:r w:rsidRPr="00BE3BFE">
        <w:rPr>
          <w:rFonts w:ascii="Times New Roman" w:hAnsi="Times New Roman" w:cs="Times New Roman"/>
          <w:lang w:val="en-US"/>
        </w:rPr>
        <w:t xml:space="preserve"> to assess uncertainty </w:t>
      </w:r>
      <w:r>
        <w:rPr>
          <w:rFonts w:ascii="Times New Roman" w:hAnsi="Times New Roman" w:cs="Times New Roman"/>
          <w:lang w:val="en-US"/>
        </w:rPr>
        <w:t>and to construct</w:t>
      </w:r>
      <w:r w:rsidRPr="00BE3BFE">
        <w:rPr>
          <w:rFonts w:ascii="Times New Roman" w:hAnsi="Times New Roman" w:cs="Times New Roman"/>
          <w:lang w:val="en-US"/>
        </w:rPr>
        <w:t xml:space="preserve"> cost-effectiveness planes and cost-effectiveness acceptability curves. </w:t>
      </w:r>
    </w:p>
    <w:p w14:paraId="3EDB83B9" w14:textId="78B683EF" w:rsidR="00D2754C" w:rsidRPr="00BE3BFE" w:rsidRDefault="00D2754C" w:rsidP="00D2754C">
      <w:pPr>
        <w:spacing w:line="480" w:lineRule="auto"/>
        <w:jc w:val="both"/>
        <w:rPr>
          <w:rFonts w:ascii="Times New Roman" w:hAnsi="Times New Roman" w:cs="Times New Roman"/>
          <w:lang w:val="en-US"/>
        </w:rPr>
      </w:pPr>
      <w:r>
        <w:rPr>
          <w:rFonts w:ascii="Times New Roman" w:hAnsi="Times New Roman" w:cs="Times New Roman"/>
          <w:lang w:val="en-US"/>
        </w:rPr>
        <w:t xml:space="preserve">Five </w:t>
      </w:r>
      <w:r w:rsidRPr="00BE3BFE">
        <w:rPr>
          <w:rFonts w:ascii="Times New Roman" w:hAnsi="Times New Roman" w:cs="Times New Roman"/>
          <w:lang w:val="en-US"/>
        </w:rPr>
        <w:t>sensitivity analyses were performed: 1) an analysis not adjusted for the propensity score; 2) an analysis including only patients that fulfilled DSM-IV criteria for MDD; 3) an analysis using the mean average salary instead of the minimum average salary for productivity losses; 4) a per protocol</w:t>
      </w:r>
      <w:r w:rsidR="00F76044">
        <w:rPr>
          <w:rFonts w:ascii="Times New Roman" w:hAnsi="Times New Roman" w:cs="Times New Roman"/>
          <w:lang w:val="en-US"/>
        </w:rPr>
        <w:t xml:space="preserve"> (PP)</w:t>
      </w:r>
      <w:r w:rsidRPr="00BE3BFE">
        <w:rPr>
          <w:rFonts w:ascii="Times New Roman" w:hAnsi="Times New Roman" w:cs="Times New Roman"/>
          <w:lang w:val="en-US"/>
        </w:rPr>
        <w:t xml:space="preserve"> analysis; 5) an analysis of completers. </w:t>
      </w:r>
    </w:p>
    <w:p w14:paraId="06591405" w14:textId="7DCDE68C" w:rsidR="00D2754C" w:rsidRPr="00BE3BFE" w:rsidRDefault="00D2754C" w:rsidP="00D2754C">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For the </w:t>
      </w:r>
      <w:r w:rsidR="00F76044">
        <w:rPr>
          <w:rFonts w:ascii="Times New Roman" w:hAnsi="Times New Roman" w:cs="Times New Roman"/>
          <w:lang w:val="en-US"/>
        </w:rPr>
        <w:t>PP</w:t>
      </w:r>
      <w:r w:rsidRPr="00BE3BFE">
        <w:rPr>
          <w:rFonts w:ascii="Times New Roman" w:hAnsi="Times New Roman" w:cs="Times New Roman"/>
          <w:lang w:val="en-US"/>
        </w:rPr>
        <w:t xml:space="preserve"> analysis, adherence in the </w:t>
      </w:r>
      <w:r>
        <w:rPr>
          <w:rFonts w:ascii="Times New Roman" w:hAnsi="Times New Roman" w:cs="Times New Roman"/>
          <w:lang w:val="en-US"/>
        </w:rPr>
        <w:t>AM</w:t>
      </w:r>
      <w:r w:rsidRPr="00BE3BFE">
        <w:rPr>
          <w:rFonts w:ascii="Times New Roman" w:hAnsi="Times New Roman" w:cs="Times New Roman"/>
          <w:lang w:val="en-US"/>
        </w:rPr>
        <w:t xml:space="preserve"> group was defined as receiving at least 3 follow-up visits and one of the recommended interventions. Adherence in the antidepressants group was defined as having a medication possession ratio≥0.8.</w:t>
      </w:r>
    </w:p>
    <w:p w14:paraId="2261C60E" w14:textId="43909111" w:rsidR="00D2754C" w:rsidRPr="00BE3BFE" w:rsidRDefault="00D2754C" w:rsidP="00D2754C">
      <w:pPr>
        <w:spacing w:line="480" w:lineRule="auto"/>
        <w:jc w:val="both"/>
        <w:rPr>
          <w:rFonts w:ascii="Times New Roman" w:hAnsi="Times New Roman" w:cs="Times New Roman"/>
          <w:lang w:val="en-US"/>
        </w:rPr>
      </w:pPr>
      <w:r>
        <w:rPr>
          <w:rFonts w:ascii="Times New Roman" w:hAnsi="Times New Roman" w:cs="Times New Roman"/>
          <w:lang w:val="en-US"/>
        </w:rPr>
        <w:t>B</w:t>
      </w:r>
      <w:r w:rsidRPr="00BE3BFE">
        <w:rPr>
          <w:rFonts w:ascii="Times New Roman" w:hAnsi="Times New Roman" w:cs="Times New Roman"/>
          <w:lang w:val="en-US"/>
        </w:rPr>
        <w:t>ased on previous experience in studies with similar populations and setting</w:t>
      </w:r>
      <w:r w:rsidR="00F76044">
        <w:rPr>
          <w:rFonts w:ascii="Times New Roman" w:hAnsi="Times New Roman" w:cs="Times New Roman"/>
          <w:lang w:val="en-US"/>
        </w:rPr>
        <w:t>,</w:t>
      </w:r>
      <w:r>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"PMID" : "21205952", "abstract" : "Pharmacists can play a decisive role in the management of ambulatory patients with depression who have poor adherence to antidepressant drugs.", "author" : [ { "dropping-particle" : "", "family" : "Rubio-Valera", "given" : "Maria", "non-dropping-particle" : "", "parse-names" : false, "suffix" : "" }, { "dropping-particle" : "", "family" : "Serrano-Blanco", "given" : "Antoni", "non-dropping-particle" : "", "parse-names" : false, "suffix" : "" }, { "dropping-particle" : "", "family" : "Magdalena-Bel\u00edo", "given" : "Jes\u00fas", "non-dropping-particle" : "", "parse-names" : false, "suffix" : "" }, { "dropping-particle" : "", "family" : "Fern\u00e1ndez", "given" : "Ana", "non-dropping-particle" : "", "parse-names" : false, "suffix" : "" }, { "dropping-particle" : "", "family" : "Garc\u00eda-Campayo", "given" : "Javier", "non-dropping-particle" : "", "parse-names" : false, "suffix" : "" }, { "dropping-particle" : "", "family" : "Pujol", "given" : "Marian March", "non-dropping-particle" : "", "parse-names" : false, "suffix" : "" }, { "dropping-particle" : "Del", "family" : "Hoyo", "given" : "Yolanda L\u00f3pez", "non-dropping-particle" : "", "parse-names" : false, "suffix" : "" } ], "container-title" : "Annals of Pharmacotherapy", "id" : "ITEM-1", "issue" : "1", "issued" : { "date-parts" : [ [ "2011" ] ] }, "page" : "39-48", "title" : "Effectiveness of pharmacist care in the improvement of adherence to antidepressants: A systematic review and meta-analysis", "type" : "article-journal", "volume" : "45" }, "uris" : [ "http://www.mendeley.com/documents/?uuid=52049d9c-307e-4aa4-a3fc-1fa944d5044d" ] }, { "id" : "ITEM-2", "itemData" : { "DOI" : "10.1111/j.1600-0447.2006.00918.x", "ISSN" : "0065-1591", "PMID" : "17087814", "abstract" : "To determine the cost-utility of selective serotonin reuptake inhibitors (SSRIs) for treating depressive disorders prescribed in primary care (PC).", "author" : [ { "dropping-particle" : "", "family" : "Serrano-Blanco", "given" : "A", "non-dropping-particle" : "", "parse-names" : false, "suffix" : "" }, { "dropping-particle" : "", "family" : "Pinto-Meza", "given" : "A", "non-dropping-particle" : "", "parse-names" : false, "suffix" : "" }, { "dropping-particle" : "", "family" : "Su\u00e1rez", "given" : "D", "non-dropping-particle" : "", "parse-names" : false, "suffix" : "" }, { "dropping-particle" : "", "family" : "Pe\u00f1arrubia", "given" : "M T", "non-dropping-particle" : "", "parse-names" : false, "suffix" : "" }, { "dropping-particle" : "", "family" : "Haro", "given" : "J M", "non-dropping-particle" : "", "parse-names" : false, "suffix" : "" } ], "container-title" : "Acta Psychiatr Scand Suppl", "id" : "ITEM-2", "issue" : "432", "issued" : { "date-parts" : [ [ "2006" ] ] }, "page" : "39-47", "title" : "Cost-utility of selective serotonin reuptake inhibitors for depression in primary care in Catalonia.", "type" : "article-journal", "volume" : "114" }, "uris" : [ "http://www.mendeley.com/documents/?uuid=10c9d28c-61c0-402f-b458-b482c3f8fe64" ] }, { "id" : "ITEM-3", "itemData" : { "DOI" : "10.1371/journal.pone.0070588", "ISSN" : "1932-6203", "PMID" : "23950967", "abstract" : "BACKGROUND: Non-adherence to antidepressants generates higher costs for the treatment of depression. Little is known about the cost-effectiveness of pharmacist's interventions aimed at improving adherence to antidepressants. The study aimed to evaluate the cost-effectiveness of a community pharmacist intervention in comparison with usual care in depressed patients initiating treatment with antidepressants in primary care.\n\nMETHODS: Patients were recruited by general practitioners and randomized to community pharmacist intervention (87) that received an educational intervention and usual care (92). Adherence to antidepressants, clinical symptoms, Quality-Adjusted Life-Years (QALYs), use of healthcare services and productivity losses were measured at baseline, 3 and 6 months.\n\nRESULTS: There were no significant differences between groups in costs or effects. From a societal perspective, the incremental cost-effectiveness ratio (ICER) for the community pharmacist intervention compared with usual care was \u20ac1,866 for extra adherent patient and \u20ac9,872 per extra QALY. In terms of remission of depressive symptoms, the usual care dominated the community pharmacist intervention. If willingness to pay (WTP) is \u20ac30,000 per extra adherent patient, remission of symptoms or QALYs, the probability of the community pharmacist intervention being cost-effective was 0.71, 0.46 and 0.75, respectively (societal perspective). From a healthcare perspective, the probability of the community pharmacist intervention being cost-effective in terms of adherence, QALYs and remission was of 0.71, 0.76 and 0.46, respectively, if WTP is \u20ac30,000.\n\nCONCLUSION: A brief community pharmacist intervention addressed to depressed patients initiating antidepressant treatment showed a probability of being cost-effective of 0.71 and 0.75 in terms of improvement of adherence and QALYs, respectively, when compared to usual care. Regular implementation of the community pharmacist intervention is not recommended.\n\nTRIAL REGISTRATION: ClinicalTrials.gov NCT00794196.", "author" : [ { "dropping-particle" : "", "family" : "Rubio-Valera", "given" : "Maria", "non-dropping-particle" : "", "parse-names" : false, "suffix" : "" }, { "dropping-particle" : "", "family" : "Bosmans", "given" : "Judith", "non-dropping-particle" : "", "parse-names" : false, "suffix" : "" }, { "dropping-particle" : "", "family" : "Fern\u00e1ndez", "given" : "Ana", "non-dropping-particle" : "", "parse-names" : false, "suffix" : "" }, { "dropping-particle" : "", "family" : "Pe\u00f1arrubia-Mar\u00eda", "given" : "Maite", "non-dropping-particle" : "", "parse-names" : false, "suffix" : "" }, { "dropping-particle" : "", "family" : "March", "given" : "Marian", "non-dropping-particle" : "", "parse-names" : false, "suffix" : "" }, { "dropping-particle" : "", "family" : "Trav\u00e9", "given" : "Pere", "non-dropping-particle" : "", "parse-names" : false, "suffix" : "" }, { "dropping-particle" : "", "family" : "Bell\u00f3n", "given" : "Juan a", "non-dropping-particle" : "", "parse-names" : false, "suffix" : "" }, { "dropping-particle" : "", "family" : "Serrano-Blanco", "given" : "Antoni", "non-dropping-particle" : "", "parse-names" : false, "suffix" : "" } ], "container-title" : "PloS one", "id" : "ITEM-3", "issue" : "8", "issued" : { "date-parts" : [ [ "2013", "1" ] ] }, "page" : "e70588", "title" : "Cost-effectiveness of a community pharmacist intervention in patients with depression: a randomized controlled trial (PRODEFAR Study).", "type" : "article-journal", "volume" : "8" }, "uris" : [ "http://www.mendeley.com/documents/?uuid=e5d544c7-0bd5-4669-92b2-f203a2e8f6ac" ] } ], "mendeley" : { "formattedCitation" : "[26\u201328]", "plainTextFormattedCitation" : "[26\u201328]", "previouslyFormattedCitation" : "&lt;sup&gt;26\u201328&lt;/sup&gt;" }, "properties" : { "noteIndex" : 0 }, "schema" : "https://github.com/citation-style-language/schema/raw/master/csl-citation.json" }</w:instrText>
      </w:r>
      <w:r>
        <w:rPr>
          <w:rFonts w:ascii="Times New Roman" w:hAnsi="Times New Roman" w:cs="Times New Roman"/>
          <w:lang w:val="en-US"/>
        </w:rPr>
        <w:fldChar w:fldCharType="separate"/>
      </w:r>
      <w:r w:rsidR="006B7A9E" w:rsidRPr="006B7A9E">
        <w:rPr>
          <w:rFonts w:ascii="Times New Roman" w:hAnsi="Times New Roman" w:cs="Times New Roman"/>
          <w:noProof/>
          <w:lang w:val="en-US"/>
        </w:rPr>
        <w:t>[26–28]</w:t>
      </w:r>
      <w:r>
        <w:rPr>
          <w:rFonts w:ascii="Times New Roman" w:hAnsi="Times New Roman" w:cs="Times New Roman"/>
          <w:lang w:val="en-US"/>
        </w:rPr>
        <w:fldChar w:fldCharType="end"/>
      </w:r>
      <w:r>
        <w:rPr>
          <w:rFonts w:ascii="Times New Roman" w:hAnsi="Times New Roman" w:cs="Times New Roman"/>
          <w:lang w:val="en-US"/>
        </w:rPr>
        <w:t xml:space="preserve"> w</w:t>
      </w:r>
      <w:r w:rsidRPr="00BE3BFE">
        <w:rPr>
          <w:rFonts w:ascii="Times New Roman" w:hAnsi="Times New Roman" w:cs="Times New Roman"/>
          <w:lang w:val="en-US"/>
        </w:rPr>
        <w:t>e aimed to include 150 patients per treatment arm</w:t>
      </w:r>
      <w:r w:rsidR="006B7A9E">
        <w:rPr>
          <w:rFonts w:ascii="Times New Roman" w:hAnsi="Times New Roman" w:cs="Times New Roman"/>
          <w:lang w:val="en-US"/>
        </w:rPr>
        <w:t xml:space="preserve"> </w:t>
      </w:r>
      <w:r>
        <w:rPr>
          <w:rFonts w:ascii="Times New Roman" w:hAnsi="Times New Roman" w:cs="Times New Roman"/>
          <w:lang w:val="en-US"/>
        </w:rPr>
        <w:fldChar w:fldCharType="begin" w:fldLock="1"/>
      </w:r>
      <w:r w:rsidR="006B7A9E">
        <w:rPr>
          <w:rFonts w:ascii="Times New Roman" w:hAnsi="Times New Roman" w:cs="Times New Roman"/>
          <w:lang w:val="en-US"/>
        </w:rPr>
        <w:instrText>ADDIN CSL_CITATION { "citationItems" : [ { "id" : "ITEM-1", "itemData" : { "DOI" : "10.1186/s12888-015-0448-3", "ISSN" : "1471-244X (Electronic)", "PMID" : "25885818", "abstract" : "BACKGROUND: Clinical practice guidelines for the treatment of major depressive disorder (MDD) recommend antidepressants for patients with moderate-severe depression and active monitoring for patients with mild-moderate symptoms. The feasibility and efficiency of active monitoring has not been proven conclusively. The aim of this study is to evaluate the cost-effectiveness of active monitoring in comparison to antidepressants for primary care patients with mild-moderate MDD. METHODS/DESIGN: This is a 12-month follow-up multicenter observational prospective controlled trial. Patients are enrolled in 12 primary care centers in Barcelona (Spain). Eligible patients are adults (&gt;/=18 years-old) with a new episode of MDD that sign a written consent to participate. This is a naturalistic study in which general practitioners (GPs) use their professional judgment to allocate patients into active monitoring or antidepressants groups. GPs treat the patients following their clinical criteria. At baseline, GPs complete a questionnaire (sociodemographic/job characteristics, training, attitude towards depression, interest on mental health and participation in communication groups). Patients' measurements take place at baseline and after six and 12 months. Main outcome measures include severity of depression (PHQ-9), health-related quality of life (EuroQol-5D) and use of healthcare and social care services (Client Service Receipt Inventory). Secondary outcomes include diagnosis of MDD according to DSM-IV diagnostic criteria (SCID-I), disability (WHO-DAS), anxiety (BAI), comorbidities, medication side-effects and beliefs about medicines (BMQ). The analysis will be done according to the intention to treat analysis. Missing data will be imputed using multiple imputation by chained equations. To minimize the bias resulting from the lack of randomization, a propensity score will be used. Incremental effects and costs between groups will be modelled in each of the imputed databases using multivariate generalized linear models and then combined as per Rubin's rules. Propensity scores will be used to adjust the models. Incremental cost-effectiveness ratios will be calculated by dividing the difference in costs between groups by the difference in effects. To deal with the uncertainty, resampling techniques with bootstrapping will be used and cost-effectiveness planes and cost-effectiveness acceptability curves will be constructed. A series of sensitivity analyses will be perform\u2026", "author" : [ { "dropping-particle" : "", "family" : "Rubio-Valera", "given" : "Maria", "non-dropping-particle" : "", "parse-names" : false, "suffix" : "" }, { "dropping-particle" : "", "family" : "Beneitez", "given" : "Imma", "non-dropping-particle" : "", "parse-names" : false, "suffix" : "" }, { "dropping-particle" : "", "family" : "Penarrubia-Maria", "given" : "Maria Teresa", "non-dropping-particle" : "", "parse-names" : false, "suffix" : "" }, { "dropping-particle" : "V", "family" : "Luciano", "given" : "Juan", "non-dropping-particle" : "", "parse-names" : false, "suffix" : "" }, { "dropping-particle" : "", "family" : "Mendive", "given" : "Juan M", "non-dropping-particle" : "", "parse-names" : false, "suffix" : "" }, { "dropping-particle" : "", "family" : "McCrone", "given" : "Paul", "non-dropping-particle" : "", "parse-names" : false, "suffix" : "" }, { "dropping-particle" : "", "family" : "Knapp", "given" : "Martin", "non-dropping-particle" : "", "parse-names" : false, "suffix" : "" }, { "dropping-particle" : "", "family" : "Sabes-Figuera", "given" : "Ramon", "non-dropping-particle" : "", "parse-names" : false, "suffix" : "" }, { "dropping-particle" : "", "family" : "Kocyan", "given" : "Katarzyna", "non-dropping-particle" : "", "parse-names" : false, "suffix" : "" }, { "dropping-particle" : "", "family" : "Garcia-Campayo", "given" : "Javier", "non-dropping-particle" : "", "parse-names" : false, "suffix" : "" }, { "dropping-particle" : "", "family" : "Serrano-Blanco", "given" : "Antoni", "non-dropping-particle" : "", "parse-names" : false, "suffix" : "" } ], "container-title" : "BMC psychiatry", "id" : "ITEM-1", "issued" : { "date-parts" : [ [ "2015" ] ] }, "language" : "eng", "page" : "63", "publisher-place" : "England", "title" : "Cost-effectiveness of active monitoring versus antidepressants for major depression in primary health care: a 12-month non-randomized controlled trial (INFAP study).", "type" : "article-journal", "volume" : "15" }, "uris" : [ "http://www.mendeley.com/documents/?uuid=c28f90bb-4e1b-4671-8199-7badc62a7d21", "http://www.mendeley.com/documents/?uuid=f828855c-08b5-430f-a966-7325393e0190", "http://www.mendeley.com/documents/?uuid=513079bc-5e44-4887-9e3b-e3af99d140ac" ] } ], "mendeley" : { "formattedCitation" : "[14]", "plainTextFormattedCitation" : "[14]", "previouslyFormattedCitation" : "&lt;sup&gt;14&lt;/sup&gt;" }, "properties" : { "noteIndex" : 0 }, "schema" : "https://github.com/citation-style-language/schema/raw/master/csl-citation.json" }</w:instrText>
      </w:r>
      <w:r>
        <w:rPr>
          <w:rFonts w:ascii="Times New Roman" w:hAnsi="Times New Roman" w:cs="Times New Roman"/>
          <w:lang w:val="en-US"/>
        </w:rPr>
        <w:fldChar w:fldCharType="separate"/>
      </w:r>
      <w:r w:rsidR="006B7A9E" w:rsidRPr="006B7A9E">
        <w:rPr>
          <w:rFonts w:ascii="Times New Roman" w:hAnsi="Times New Roman" w:cs="Times New Roman"/>
          <w:noProof/>
          <w:lang w:val="en-US"/>
        </w:rPr>
        <w:t>[14]</w:t>
      </w:r>
      <w:r>
        <w:rPr>
          <w:rFonts w:ascii="Times New Roman" w:hAnsi="Times New Roman" w:cs="Times New Roman"/>
          <w:lang w:val="en-US"/>
        </w:rPr>
        <w:fldChar w:fldCharType="end"/>
      </w:r>
      <w:r w:rsidR="006B7A9E">
        <w:rPr>
          <w:rFonts w:ascii="Times New Roman" w:hAnsi="Times New Roman" w:cs="Times New Roman"/>
          <w:lang w:val="en-US"/>
        </w:rPr>
        <w:t>.</w:t>
      </w:r>
    </w:p>
    <w:p w14:paraId="1BF7D071" w14:textId="77777777" w:rsidR="00BE3BFE" w:rsidRPr="00BE3BFE" w:rsidRDefault="00BE3BFE" w:rsidP="00F76044">
      <w:pPr>
        <w:pStyle w:val="Heading1"/>
        <w:rPr>
          <w:rFonts w:ascii="Times New Roman" w:hAnsi="Times New Roman"/>
          <w:lang w:val="en-US"/>
        </w:rPr>
      </w:pPr>
      <w:r w:rsidRPr="00BE3BFE">
        <w:rPr>
          <w:rFonts w:ascii="Times New Roman" w:hAnsi="Times New Roman"/>
          <w:lang w:val="en-US"/>
        </w:rPr>
        <w:t>Results</w:t>
      </w:r>
    </w:p>
    <w:p w14:paraId="0D04523A" w14:textId="79E1732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Figure 1 presents the study flow chart. Overall, 263 patients with a new episode of mild-moderate major depressive disorder were included in the study and received </w:t>
      </w:r>
      <w:r w:rsidR="00B20112">
        <w:rPr>
          <w:rFonts w:ascii="Times New Roman" w:hAnsi="Times New Roman" w:cs="Times New Roman"/>
          <w:lang w:val="en-US"/>
        </w:rPr>
        <w:t>AM</w:t>
      </w:r>
      <w:r w:rsidRPr="00BE3BFE">
        <w:rPr>
          <w:rFonts w:ascii="Times New Roman" w:hAnsi="Times New Roman" w:cs="Times New Roman"/>
          <w:lang w:val="en-US"/>
        </w:rPr>
        <w:t xml:space="preserve"> (118) or antidepressants (145). Some 26% of the participants were lost to follow-up and there were no statistically significant differences between study arms in attrition rate. </w:t>
      </w:r>
      <w:r w:rsidR="008A4261">
        <w:rPr>
          <w:rFonts w:ascii="Times New Roman" w:hAnsi="Times New Roman" w:cs="Times New Roman"/>
          <w:lang w:val="en-US"/>
        </w:rPr>
        <w:t>Forty</w:t>
      </w:r>
      <w:r w:rsidR="003104CC">
        <w:rPr>
          <w:rFonts w:ascii="Times New Roman" w:hAnsi="Times New Roman" w:cs="Times New Roman"/>
          <w:lang w:val="en-US"/>
        </w:rPr>
        <w:t xml:space="preserve"> (AM) and 88 (antidepressants) </w:t>
      </w:r>
      <w:r w:rsidR="008A4261">
        <w:rPr>
          <w:rFonts w:ascii="Times New Roman" w:hAnsi="Times New Roman" w:cs="Times New Roman"/>
          <w:lang w:val="en-US"/>
        </w:rPr>
        <w:t>patients adhered to the intervention</w:t>
      </w:r>
      <w:r w:rsidR="003104CC">
        <w:rPr>
          <w:rFonts w:ascii="Times New Roman" w:hAnsi="Times New Roman" w:cs="Times New Roman"/>
          <w:lang w:val="en-US"/>
        </w:rPr>
        <w:t xml:space="preserve"> and were included in the PP analysis.</w:t>
      </w:r>
    </w:p>
    <w:p w14:paraId="79D32002"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Table 2 presents the characteristics of the sample. Most participants were women, with a mean age of 49 years and either primary or primary/secondary level of education. Only 30% of </w:t>
      </w:r>
      <w:r w:rsidRPr="00BE3BFE">
        <w:rPr>
          <w:rFonts w:ascii="Times New Roman" w:hAnsi="Times New Roman" w:cs="Times New Roman"/>
          <w:lang w:val="en-US"/>
        </w:rPr>
        <w:lastRenderedPageBreak/>
        <w:t xml:space="preserve">participants were in paid employment and only 31% had major depressive disorder according to DSM-IV criteria. Most </w:t>
      </w:r>
      <w:r w:rsidR="00E63695">
        <w:rPr>
          <w:rFonts w:ascii="Times New Roman" w:hAnsi="Times New Roman" w:cs="Times New Roman"/>
          <w:lang w:val="en-US"/>
        </w:rPr>
        <w:t>GP</w:t>
      </w:r>
      <w:r w:rsidRPr="00BE3BFE">
        <w:rPr>
          <w:rFonts w:ascii="Times New Roman" w:hAnsi="Times New Roman" w:cs="Times New Roman"/>
          <w:lang w:val="en-US"/>
        </w:rPr>
        <w:t>s were women (85%; n=45) with a mean age of 44.3 (SE=1.03) (range: 30-60).</w:t>
      </w:r>
    </w:p>
    <w:p w14:paraId="337FDB9F"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At baseline, </w:t>
      </w:r>
      <w:r w:rsidR="00C25864">
        <w:rPr>
          <w:rFonts w:ascii="Times New Roman" w:hAnsi="Times New Roman" w:cs="Times New Roman"/>
          <w:lang w:val="en-US"/>
        </w:rPr>
        <w:t xml:space="preserve">patients with a panic disorder </w:t>
      </w:r>
      <w:r w:rsidR="00BF2DC2">
        <w:rPr>
          <w:rFonts w:ascii="Times New Roman" w:hAnsi="Times New Roman" w:cs="Times New Roman"/>
          <w:lang w:val="en-US"/>
        </w:rPr>
        <w:t xml:space="preserve">with agoraphobia or dysthymia </w:t>
      </w:r>
      <w:r w:rsidR="00F9097B">
        <w:rPr>
          <w:rFonts w:ascii="Times New Roman" w:hAnsi="Times New Roman" w:cs="Times New Roman"/>
          <w:lang w:val="en-US"/>
        </w:rPr>
        <w:t xml:space="preserve">and those with </w:t>
      </w:r>
      <w:r w:rsidR="00F9097B" w:rsidRPr="00BE3BFE">
        <w:rPr>
          <w:rFonts w:ascii="Times New Roman" w:hAnsi="Times New Roman" w:cs="Times New Roman"/>
          <w:lang w:val="en-US"/>
        </w:rPr>
        <w:t>more positive perceptions about medications</w:t>
      </w:r>
      <w:r w:rsidR="00F9097B">
        <w:rPr>
          <w:rFonts w:ascii="Times New Roman" w:hAnsi="Times New Roman" w:cs="Times New Roman"/>
          <w:lang w:val="en-US"/>
        </w:rPr>
        <w:t xml:space="preserve"> </w:t>
      </w:r>
      <w:r w:rsidR="00F456EB">
        <w:rPr>
          <w:rFonts w:ascii="Times New Roman" w:hAnsi="Times New Roman" w:cs="Times New Roman"/>
          <w:lang w:val="en-US"/>
        </w:rPr>
        <w:t xml:space="preserve">or a higher disability </w:t>
      </w:r>
      <w:r w:rsidR="00C25864">
        <w:rPr>
          <w:rFonts w:ascii="Times New Roman" w:hAnsi="Times New Roman" w:cs="Times New Roman"/>
          <w:lang w:val="en-US"/>
        </w:rPr>
        <w:t>had a higher probability of receiving antidepressants (p</w:t>
      </w:r>
      <w:r w:rsidR="00F9097B">
        <w:rPr>
          <w:rFonts w:ascii="Times New Roman" w:hAnsi="Times New Roman" w:cs="Times New Roman"/>
          <w:lang w:val="en-US"/>
        </w:rPr>
        <w:t>&lt;0.05)</w:t>
      </w:r>
      <w:r w:rsidRPr="00BE3BFE">
        <w:rPr>
          <w:rFonts w:ascii="Times New Roman" w:hAnsi="Times New Roman" w:cs="Times New Roman"/>
          <w:lang w:val="en-US"/>
        </w:rPr>
        <w:t xml:space="preserve">. After adjusting for the propensity score, no statistically significant differences existed between groups. </w:t>
      </w:r>
    </w:p>
    <w:p w14:paraId="4B193602"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Table 2 shows the number and type of non-pharmacological interventions applied, as reported by patients. The </w:t>
      </w:r>
      <w:r w:rsidR="00B20112">
        <w:rPr>
          <w:rFonts w:ascii="Times New Roman" w:hAnsi="Times New Roman" w:cs="Times New Roman"/>
          <w:lang w:val="en-US"/>
        </w:rPr>
        <w:t>AM</w:t>
      </w:r>
      <w:r w:rsidRPr="00BE3BFE">
        <w:rPr>
          <w:rFonts w:ascii="Times New Roman" w:hAnsi="Times New Roman" w:cs="Times New Roman"/>
          <w:lang w:val="en-US"/>
        </w:rPr>
        <w:t xml:space="preserve"> arm received a greater number of interventions although a low number of interventions were applied.</w:t>
      </w:r>
      <w:r w:rsidR="00F9097B">
        <w:rPr>
          <w:rFonts w:ascii="Times New Roman" w:hAnsi="Times New Roman" w:cs="Times New Roman"/>
          <w:lang w:val="en-US"/>
        </w:rPr>
        <w:t xml:space="preserve"> </w:t>
      </w:r>
      <w:r w:rsidRPr="00BE3BFE">
        <w:rPr>
          <w:rFonts w:ascii="Times New Roman" w:hAnsi="Times New Roman" w:cs="Times New Roman"/>
          <w:lang w:val="en-US"/>
        </w:rPr>
        <w:t xml:space="preserve">Considering specific interventions, the only differences between groups were observed in the proportion of patients receiving </w:t>
      </w:r>
      <w:r w:rsidR="00F456EB">
        <w:rPr>
          <w:rFonts w:ascii="Times New Roman" w:hAnsi="Times New Roman" w:cs="Times New Roman"/>
          <w:lang w:val="en-US"/>
        </w:rPr>
        <w:t xml:space="preserve">physical exercise recommendations </w:t>
      </w:r>
      <w:r w:rsidRPr="00BE3BFE">
        <w:rPr>
          <w:rFonts w:ascii="Times New Roman" w:hAnsi="Times New Roman" w:cs="Times New Roman"/>
          <w:lang w:val="en-US"/>
        </w:rPr>
        <w:t>and alternative therapies. There were no differences between arms in the mean number of follow-up visits.</w:t>
      </w:r>
    </w:p>
    <w:p w14:paraId="2139BD00" w14:textId="77777777" w:rsidR="00BE3BFE" w:rsidRPr="00BE3BFE" w:rsidRDefault="00BE3BFE" w:rsidP="00F76044">
      <w:pPr>
        <w:pStyle w:val="Heading2"/>
        <w:rPr>
          <w:rFonts w:ascii="Times New Roman" w:hAnsi="Times New Roman"/>
          <w:lang w:val="en-US"/>
        </w:rPr>
      </w:pPr>
      <w:r w:rsidRPr="00BE3BFE">
        <w:rPr>
          <w:rFonts w:ascii="Times New Roman" w:hAnsi="Times New Roman"/>
          <w:lang w:val="en-US"/>
        </w:rPr>
        <w:t xml:space="preserve">Cost-effectiveness of antidepressants vs </w:t>
      </w:r>
      <w:r w:rsidR="00B20112">
        <w:rPr>
          <w:rFonts w:ascii="Times New Roman" w:hAnsi="Times New Roman"/>
          <w:lang w:val="en-US"/>
        </w:rPr>
        <w:t>AM</w:t>
      </w:r>
    </w:p>
    <w:p w14:paraId="3F146D69" w14:textId="31F2031A" w:rsidR="00BE3BFE" w:rsidRPr="00BE3BFE" w:rsidRDefault="00214534" w:rsidP="00BE3BFE">
      <w:pPr>
        <w:spacing w:line="480" w:lineRule="auto"/>
        <w:jc w:val="both"/>
        <w:rPr>
          <w:rFonts w:ascii="Times New Roman" w:hAnsi="Times New Roman" w:cs="Times New Roman"/>
          <w:lang w:val="en-US"/>
        </w:rPr>
      </w:pPr>
      <w:r>
        <w:rPr>
          <w:rFonts w:ascii="Times New Roman" w:hAnsi="Times New Roman" w:cs="Times New Roman"/>
          <w:lang w:val="en-US"/>
        </w:rPr>
        <w:t xml:space="preserve">A comparison of components of costs is provided in </w:t>
      </w:r>
      <w:r w:rsidR="004F3E5A">
        <w:rPr>
          <w:rFonts w:ascii="Times New Roman" w:hAnsi="Times New Roman" w:cs="Times New Roman"/>
          <w:lang w:val="en-US"/>
        </w:rPr>
        <w:t>Supplementary t</w:t>
      </w:r>
      <w:r>
        <w:rPr>
          <w:rFonts w:ascii="Times New Roman" w:hAnsi="Times New Roman" w:cs="Times New Roman"/>
          <w:lang w:val="en-US"/>
        </w:rPr>
        <w:t xml:space="preserve">able </w:t>
      </w:r>
      <w:r w:rsidR="004F3E5A">
        <w:rPr>
          <w:rFonts w:ascii="Times New Roman" w:hAnsi="Times New Roman" w:cs="Times New Roman"/>
          <w:lang w:val="en-US"/>
        </w:rPr>
        <w:t>1</w:t>
      </w:r>
      <w:r>
        <w:rPr>
          <w:rFonts w:ascii="Times New Roman" w:hAnsi="Times New Roman" w:cs="Times New Roman"/>
          <w:lang w:val="en-US"/>
        </w:rPr>
        <w:t xml:space="preserve">. Both at 6 and 12 months, </w:t>
      </w:r>
      <w:r w:rsidR="005E75DC">
        <w:rPr>
          <w:rFonts w:ascii="Times New Roman" w:hAnsi="Times New Roman" w:cs="Times New Roman"/>
          <w:lang w:val="en-US"/>
        </w:rPr>
        <w:t>the antidepressants arm made higher costs on pharmacological treatment. No other statistically significant differences in costs were observed.</w:t>
      </w:r>
      <w:r>
        <w:rPr>
          <w:rFonts w:ascii="Times New Roman" w:hAnsi="Times New Roman" w:cs="Times New Roman"/>
          <w:lang w:val="en-US"/>
        </w:rPr>
        <w:t xml:space="preserve"> Table 4</w:t>
      </w:r>
      <w:r w:rsidR="00BE3BFE" w:rsidRPr="00BE3BFE">
        <w:rPr>
          <w:rFonts w:ascii="Times New Roman" w:hAnsi="Times New Roman" w:cs="Times New Roman"/>
          <w:lang w:val="en-US"/>
        </w:rPr>
        <w:t xml:space="preserve"> shows the results of the cost-effectiveness analysis after 6 and 12-month follow-up for the base-case and all the sensitivity analyses.</w:t>
      </w:r>
      <w:r w:rsidR="00F9097B">
        <w:rPr>
          <w:rFonts w:ascii="Times New Roman" w:hAnsi="Times New Roman" w:cs="Times New Roman"/>
          <w:lang w:val="en-US"/>
        </w:rPr>
        <w:t xml:space="preserve"> </w:t>
      </w:r>
    </w:p>
    <w:p w14:paraId="0DB628C5" w14:textId="77777777" w:rsidR="00BE3BFE" w:rsidRPr="00BE3BFE" w:rsidRDefault="00464E67" w:rsidP="00F76044">
      <w:pPr>
        <w:pStyle w:val="Heading3"/>
        <w:rPr>
          <w:rFonts w:ascii="Times New Roman" w:hAnsi="Times New Roman"/>
          <w:lang w:val="en-US"/>
        </w:rPr>
      </w:pPr>
      <w:r>
        <w:rPr>
          <w:rFonts w:ascii="Times New Roman" w:hAnsi="Times New Roman"/>
          <w:lang w:val="en-US"/>
        </w:rPr>
        <w:t>Base-case A</w:t>
      </w:r>
      <w:r w:rsidR="00BE3BFE" w:rsidRPr="00BE3BFE">
        <w:rPr>
          <w:rFonts w:ascii="Times New Roman" w:hAnsi="Times New Roman"/>
          <w:lang w:val="en-US"/>
        </w:rPr>
        <w:t>nalysis</w:t>
      </w:r>
    </w:p>
    <w:p w14:paraId="2046B5F4"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At 6 months, there was a small non-statistically significant difference in costs between groups from both the government and healthcare perspectives. Non-statistically significant gains in QALY were observed in favor of patients prescribed antidepressants. The incremental cost-utility ratio was 2,177€/QALY gained (government perspective) and 2,549€/QALY gained (healthcare perspective) in the antidepressants treatment arm.  </w:t>
      </w:r>
    </w:p>
    <w:p w14:paraId="53BF27CF" w14:textId="3DAD2E49"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lastRenderedPageBreak/>
        <w:t>Figure 2 shows cost-</w:t>
      </w:r>
      <w:r w:rsidR="008A258A">
        <w:rPr>
          <w:rFonts w:ascii="Times New Roman" w:hAnsi="Times New Roman" w:cs="Times New Roman"/>
          <w:lang w:val="en-US"/>
        </w:rPr>
        <w:t xml:space="preserve">utility </w:t>
      </w:r>
      <w:r w:rsidRPr="00BE3BFE">
        <w:rPr>
          <w:rFonts w:ascii="Times New Roman" w:hAnsi="Times New Roman" w:cs="Times New Roman"/>
          <w:lang w:val="en-US"/>
        </w:rPr>
        <w:t xml:space="preserve">planes from the government and healthcare perspectives at 6-month follow-up. In the analysis using the government perspective, 53.8% </w:t>
      </w:r>
      <w:r w:rsidR="00F9097B">
        <w:rPr>
          <w:rFonts w:ascii="Times New Roman" w:hAnsi="Times New Roman" w:cs="Times New Roman"/>
          <w:lang w:val="en-US"/>
        </w:rPr>
        <w:t>of the cost-</w:t>
      </w:r>
      <w:r w:rsidR="008A258A">
        <w:rPr>
          <w:rFonts w:ascii="Times New Roman" w:hAnsi="Times New Roman" w:cs="Times New Roman"/>
          <w:lang w:val="en-US"/>
        </w:rPr>
        <w:t xml:space="preserve">utility </w:t>
      </w:r>
      <w:r w:rsidR="00F9097B">
        <w:rPr>
          <w:rFonts w:ascii="Times New Roman" w:hAnsi="Times New Roman" w:cs="Times New Roman"/>
          <w:lang w:val="en-US"/>
        </w:rPr>
        <w:t xml:space="preserve">pairs were </w:t>
      </w:r>
      <w:r w:rsidRPr="00BE3BFE">
        <w:rPr>
          <w:rFonts w:ascii="Times New Roman" w:hAnsi="Times New Roman" w:cs="Times New Roman"/>
          <w:lang w:val="en-US"/>
        </w:rPr>
        <w:t>in the north-east quadrant (more effective and more expensive) and 40.9% in the south-east quadrant (more effective and less expensive). Similar results were found from the healthcare perspective.</w:t>
      </w:r>
    </w:p>
    <w:p w14:paraId="676705B1" w14:textId="0BF9493F"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Figure </w:t>
      </w:r>
      <w:r w:rsidR="004F3E5A">
        <w:rPr>
          <w:rFonts w:ascii="Times New Roman" w:hAnsi="Times New Roman" w:cs="Times New Roman"/>
          <w:lang w:val="en-US"/>
        </w:rPr>
        <w:t>2</w:t>
      </w:r>
      <w:r w:rsidRPr="00BE3BFE">
        <w:rPr>
          <w:rFonts w:ascii="Times New Roman" w:hAnsi="Times New Roman" w:cs="Times New Roman"/>
          <w:lang w:val="en-US"/>
        </w:rPr>
        <w:t xml:space="preserve"> shows the cost-utility acceptability curves. For a </w:t>
      </w:r>
      <w:r w:rsidR="00F9097B">
        <w:rPr>
          <w:rFonts w:ascii="Times New Roman" w:hAnsi="Times New Roman" w:cs="Times New Roman"/>
          <w:lang w:val="en-US"/>
        </w:rPr>
        <w:t>willingness to pay (</w:t>
      </w:r>
      <w:r w:rsidRPr="00BE3BFE">
        <w:rPr>
          <w:rFonts w:ascii="Times New Roman" w:hAnsi="Times New Roman" w:cs="Times New Roman"/>
          <w:lang w:val="en-US"/>
        </w:rPr>
        <w:t>WTP</w:t>
      </w:r>
      <w:r w:rsidR="00F9097B">
        <w:rPr>
          <w:rFonts w:ascii="Times New Roman" w:hAnsi="Times New Roman" w:cs="Times New Roman"/>
          <w:lang w:val="en-US"/>
        </w:rPr>
        <w:t>)</w:t>
      </w:r>
      <w:r w:rsidRPr="00BE3BFE">
        <w:rPr>
          <w:rFonts w:ascii="Times New Roman" w:hAnsi="Times New Roman" w:cs="Times New Roman"/>
          <w:lang w:val="en-US"/>
        </w:rPr>
        <w:t xml:space="preserve"> of 25,000€/QALY gained, the probability of antidepressants being more cost-effective than </w:t>
      </w:r>
      <w:r w:rsidR="00B20112">
        <w:rPr>
          <w:rFonts w:ascii="Times New Roman" w:hAnsi="Times New Roman" w:cs="Times New Roman"/>
          <w:lang w:val="en-US"/>
        </w:rPr>
        <w:t>AM</w:t>
      </w:r>
      <w:r w:rsidRPr="00BE3BFE">
        <w:rPr>
          <w:rFonts w:ascii="Times New Roman" w:hAnsi="Times New Roman" w:cs="Times New Roman"/>
          <w:lang w:val="en-US"/>
        </w:rPr>
        <w:t xml:space="preserve"> was 80.8% from the healthcare perspective and 89.1% from the government perspective.</w:t>
      </w:r>
    </w:p>
    <w:p w14:paraId="76523ACD"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At 12 months, no statistically significant differences in costs or effects were observed between groups. The mean difference in QALYs was 0.03 in favor of patients in the antidepressants arm. Patients receiving antidepressants generated a mean of 269€ (government perspective) and 156€ (healthcare perspective) extra costs, resulting in an ICUR of 10,593€/QALY and 6,142€/QALY from the government and healthcare perspectives, respectively.</w:t>
      </w:r>
    </w:p>
    <w:p w14:paraId="4BA6D311" w14:textId="77777777" w:rsidR="00BE3BFE" w:rsidRPr="00BE3BFE" w:rsidRDefault="00BE3BFE" w:rsidP="00F9097B">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Concerning cost-effectiveness planes, similar results were observed from both perspectives, with most of the cost-effectiveness pairs in the north-east quadrant (76.5% from the government perspective and 77% from the health-care perspective). Antidepressants had a 72.6% and 86.1% probability of being more cost-effective than </w:t>
      </w:r>
      <w:r w:rsidR="00B20112">
        <w:rPr>
          <w:rFonts w:ascii="Times New Roman" w:hAnsi="Times New Roman" w:cs="Times New Roman"/>
          <w:lang w:val="en-US"/>
        </w:rPr>
        <w:t>AM</w:t>
      </w:r>
      <w:r w:rsidRPr="00BE3BFE">
        <w:rPr>
          <w:rFonts w:ascii="Times New Roman" w:hAnsi="Times New Roman" w:cs="Times New Roman"/>
          <w:lang w:val="en-US"/>
        </w:rPr>
        <w:t xml:space="preserve"> if WTP was 25,000€ from the government and healthcare perspectives, respectively (Figure 3).</w:t>
      </w:r>
    </w:p>
    <w:p w14:paraId="59FC121C" w14:textId="197BD1CB" w:rsidR="00BE3BFE" w:rsidRPr="00BE3BFE" w:rsidRDefault="00464E67" w:rsidP="00F76044">
      <w:pPr>
        <w:pStyle w:val="Heading3"/>
        <w:rPr>
          <w:rFonts w:ascii="Times New Roman" w:hAnsi="Times New Roman"/>
          <w:lang w:val="en-US"/>
        </w:rPr>
      </w:pPr>
      <w:r>
        <w:rPr>
          <w:rFonts w:ascii="Times New Roman" w:hAnsi="Times New Roman"/>
          <w:lang w:val="en-US"/>
        </w:rPr>
        <w:t>Sensitivity A</w:t>
      </w:r>
      <w:r w:rsidR="00BE3BFE" w:rsidRPr="00BE3BFE">
        <w:rPr>
          <w:rFonts w:ascii="Times New Roman" w:hAnsi="Times New Roman"/>
          <w:lang w:val="en-US"/>
        </w:rPr>
        <w:t>nalys</w:t>
      </w:r>
      <w:r w:rsidR="00096D36">
        <w:rPr>
          <w:rFonts w:ascii="Times New Roman" w:hAnsi="Times New Roman"/>
          <w:lang w:val="en-US"/>
        </w:rPr>
        <w:t>e</w:t>
      </w:r>
      <w:r w:rsidR="00BE3BFE" w:rsidRPr="00BE3BFE">
        <w:rPr>
          <w:rFonts w:ascii="Times New Roman" w:hAnsi="Times New Roman"/>
          <w:lang w:val="en-US"/>
        </w:rPr>
        <w:t>s</w:t>
      </w:r>
    </w:p>
    <w:p w14:paraId="364F9B55" w14:textId="77777777"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All five sensitivity analyses showed mostly consistent results with small differences in costs and effects between groups both at six and twelve-month follow-up. These results were in line with the findings of the main analyses.  Statistically significant differences in QALYs were seen at 6 and/or 12 months in favor of antidepressants in the sensitivity analysis using generalized linear models without propensity score correction and when only those patients with major depression according to DSM-IV criteria were included.</w:t>
      </w:r>
    </w:p>
    <w:p w14:paraId="2706D995" w14:textId="55E7B90A"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lastRenderedPageBreak/>
        <w:t xml:space="preserve">At 6 months, differences in costs ranged from -548.3€ to 137.6€ while differences in QALY ranged between 0.01 and 0.03. In three scenarios (patients with a DSM-IV diagnosis of depression, </w:t>
      </w:r>
      <w:r w:rsidR="00F76044">
        <w:rPr>
          <w:rFonts w:ascii="Times New Roman" w:hAnsi="Times New Roman" w:cs="Times New Roman"/>
          <w:lang w:val="en-US"/>
        </w:rPr>
        <w:t>PP</w:t>
      </w:r>
      <w:r w:rsidRPr="00BE3BFE">
        <w:rPr>
          <w:rFonts w:ascii="Times New Roman" w:hAnsi="Times New Roman" w:cs="Times New Roman"/>
          <w:lang w:val="en-US"/>
        </w:rPr>
        <w:t xml:space="preserve"> analysis and completers’ analysis) antidepressants dominated </w:t>
      </w:r>
      <w:r w:rsidR="00B20112">
        <w:rPr>
          <w:rFonts w:ascii="Times New Roman" w:hAnsi="Times New Roman" w:cs="Times New Roman"/>
          <w:lang w:val="en-US"/>
        </w:rPr>
        <w:t>AM</w:t>
      </w:r>
      <w:r w:rsidRPr="00BE3BFE">
        <w:rPr>
          <w:rFonts w:ascii="Times New Roman" w:hAnsi="Times New Roman" w:cs="Times New Roman"/>
          <w:lang w:val="en-US"/>
        </w:rPr>
        <w:t xml:space="preserve">. In the other analyses, the highest ICUR was 10,226€/QALY. Cost differences at 12 months varied from -162€ to 688€ while effect differences were 0.03 to 0.08. In the </w:t>
      </w:r>
      <w:r w:rsidR="00F76044">
        <w:rPr>
          <w:rFonts w:ascii="Times New Roman" w:hAnsi="Times New Roman" w:cs="Times New Roman"/>
          <w:lang w:val="en-US"/>
        </w:rPr>
        <w:t>PP</w:t>
      </w:r>
      <w:r w:rsidRPr="00BE3BFE">
        <w:rPr>
          <w:rFonts w:ascii="Times New Roman" w:hAnsi="Times New Roman" w:cs="Times New Roman"/>
          <w:lang w:val="en-US"/>
        </w:rPr>
        <w:t xml:space="preserve"> analysis, antidepressants dominated </w:t>
      </w:r>
      <w:r w:rsidR="00B20112">
        <w:rPr>
          <w:rFonts w:ascii="Times New Roman" w:hAnsi="Times New Roman" w:cs="Times New Roman"/>
          <w:lang w:val="en-US"/>
        </w:rPr>
        <w:t>AM</w:t>
      </w:r>
      <w:r w:rsidRPr="00BE3BFE">
        <w:rPr>
          <w:rFonts w:ascii="Times New Roman" w:hAnsi="Times New Roman" w:cs="Times New Roman"/>
          <w:lang w:val="en-US"/>
        </w:rPr>
        <w:t>. In the remaining analyses, the ICUR ranged from 690 to 27,092€/QALY.</w:t>
      </w:r>
    </w:p>
    <w:p w14:paraId="4CD5EA77" w14:textId="77777777" w:rsidR="00BE3BFE" w:rsidRPr="00F76044" w:rsidRDefault="00464E67" w:rsidP="00F76044">
      <w:pPr>
        <w:spacing w:line="480" w:lineRule="auto"/>
        <w:rPr>
          <w:rFonts w:ascii="Times New Roman" w:hAnsi="Times New Roman"/>
          <w:i/>
          <w:lang w:val="en-US"/>
        </w:rPr>
      </w:pPr>
      <w:r w:rsidRPr="00F76044">
        <w:rPr>
          <w:rFonts w:ascii="Times New Roman" w:hAnsi="Times New Roman"/>
          <w:i/>
          <w:lang w:val="en-US"/>
        </w:rPr>
        <w:t>Remission of S</w:t>
      </w:r>
      <w:r w:rsidR="00BE3BFE" w:rsidRPr="00F76044">
        <w:rPr>
          <w:rFonts w:ascii="Times New Roman" w:hAnsi="Times New Roman"/>
          <w:i/>
          <w:lang w:val="en-US"/>
        </w:rPr>
        <w:t>ymptoms</w:t>
      </w:r>
    </w:p>
    <w:p w14:paraId="4590C00E" w14:textId="4D62EDF0" w:rsidR="00BE3BFE" w:rsidRPr="00BE3BFE" w:rsidRDefault="00BE3BFE" w:rsidP="00BE3BFE">
      <w:pPr>
        <w:spacing w:line="480" w:lineRule="auto"/>
        <w:jc w:val="both"/>
        <w:rPr>
          <w:rFonts w:ascii="Times New Roman" w:hAnsi="Times New Roman" w:cs="Times New Roman"/>
          <w:lang w:val="en-US"/>
        </w:rPr>
      </w:pPr>
      <w:r w:rsidRPr="00BE3BFE">
        <w:rPr>
          <w:rFonts w:ascii="Times New Roman" w:hAnsi="Times New Roman" w:cs="Times New Roman"/>
          <w:lang w:val="en-US"/>
        </w:rPr>
        <w:t xml:space="preserve">Supplementary </w:t>
      </w:r>
      <w:r w:rsidR="00944713">
        <w:rPr>
          <w:rFonts w:ascii="Times New Roman" w:hAnsi="Times New Roman" w:cs="Times New Roman"/>
          <w:lang w:val="en-US"/>
        </w:rPr>
        <w:t>table 2</w:t>
      </w:r>
      <w:r w:rsidRPr="00BE3BFE">
        <w:rPr>
          <w:rFonts w:ascii="Times New Roman" w:hAnsi="Times New Roman" w:cs="Times New Roman"/>
          <w:lang w:val="en-US"/>
        </w:rPr>
        <w:t xml:space="preserve"> show the results of the cost-effectiveness analysis in terms of remission of depressive symptoms after 6 and 12-month follow-up for the base-case and all the sensitivity analyses. No statistically significant differences between groups were observed in either difference of costs or remission of symptoms at any follow-up point or sensitivity analysis.  At 6-month follow-up, the antidepressants arm generated higher costs and effects in the main analysis and most sensitivity analyses. Antidepressants dominated </w:t>
      </w:r>
      <w:r w:rsidR="00B20112">
        <w:rPr>
          <w:rFonts w:ascii="Times New Roman" w:hAnsi="Times New Roman" w:cs="Times New Roman"/>
          <w:lang w:val="en-US"/>
        </w:rPr>
        <w:t>AM</w:t>
      </w:r>
      <w:r w:rsidRPr="00BE3BFE">
        <w:rPr>
          <w:rFonts w:ascii="Times New Roman" w:hAnsi="Times New Roman" w:cs="Times New Roman"/>
          <w:lang w:val="en-US"/>
        </w:rPr>
        <w:t xml:space="preserve"> in the </w:t>
      </w:r>
      <w:r w:rsidR="00F76044">
        <w:rPr>
          <w:rFonts w:ascii="Times New Roman" w:hAnsi="Times New Roman" w:cs="Times New Roman"/>
          <w:lang w:val="en-US"/>
        </w:rPr>
        <w:t>PP</w:t>
      </w:r>
      <w:r w:rsidRPr="00BE3BFE">
        <w:rPr>
          <w:rFonts w:ascii="Times New Roman" w:hAnsi="Times New Roman" w:cs="Times New Roman"/>
          <w:lang w:val="en-US"/>
        </w:rPr>
        <w:t xml:space="preserve"> and completers’ analyses. At 12 months, antidepressants generated higher costs and had a lower probability of leading to a remission of symptoms in most of the analyses.</w:t>
      </w:r>
    </w:p>
    <w:p w14:paraId="5D24B758" w14:textId="5D44E398" w:rsidR="00BE3BFE" w:rsidRDefault="00BE3BFE" w:rsidP="00F76044">
      <w:pPr>
        <w:pStyle w:val="Heading1"/>
        <w:rPr>
          <w:rFonts w:ascii="Times New Roman" w:hAnsi="Times New Roman"/>
          <w:lang w:val="en-US"/>
        </w:rPr>
      </w:pPr>
      <w:r w:rsidRPr="00BE3BFE">
        <w:rPr>
          <w:rFonts w:ascii="Times New Roman" w:hAnsi="Times New Roman"/>
          <w:lang w:val="en-US"/>
        </w:rPr>
        <w:t>Discussion</w:t>
      </w:r>
    </w:p>
    <w:p w14:paraId="682F30DD" w14:textId="54C65718" w:rsidR="00D8004B" w:rsidRDefault="00BE3BFE" w:rsidP="00F0545A">
      <w:pPr>
        <w:spacing w:line="480" w:lineRule="auto"/>
        <w:jc w:val="both"/>
        <w:rPr>
          <w:rStyle w:val="Ninguno"/>
          <w:rFonts w:ascii="Times New Roman" w:hAnsi="Times New Roman" w:cs="Times New Roman"/>
          <w:lang w:val="en-GB"/>
        </w:rPr>
      </w:pPr>
      <w:r w:rsidRPr="00BE3BFE">
        <w:rPr>
          <w:rStyle w:val="Ninguno"/>
          <w:rFonts w:ascii="Times New Roman" w:hAnsi="Times New Roman" w:cs="Times New Roman"/>
          <w:lang w:val="en-GB"/>
        </w:rPr>
        <w:t xml:space="preserve">Although many </w:t>
      </w:r>
      <w:r w:rsidR="003D171B">
        <w:rPr>
          <w:rStyle w:val="Ninguno"/>
          <w:rFonts w:ascii="Times New Roman" w:hAnsi="Times New Roman" w:cs="Times New Roman"/>
          <w:lang w:val="en-GB"/>
        </w:rPr>
        <w:t>CPG</w:t>
      </w:r>
      <w:r w:rsidRPr="00BE3BFE">
        <w:rPr>
          <w:rStyle w:val="Ninguno"/>
          <w:rFonts w:ascii="Times New Roman" w:hAnsi="Times New Roman" w:cs="Times New Roman"/>
          <w:lang w:val="en-GB"/>
        </w:rPr>
        <w:t xml:space="preserve"> recommend </w:t>
      </w:r>
      <w:r w:rsidR="00B20112">
        <w:rPr>
          <w:rStyle w:val="Ninguno"/>
          <w:rFonts w:ascii="Times New Roman" w:hAnsi="Times New Roman" w:cs="Times New Roman"/>
          <w:lang w:val="en-GB"/>
        </w:rPr>
        <w:t>AM</w:t>
      </w:r>
      <w:r w:rsidRPr="00BE3BFE">
        <w:rPr>
          <w:rStyle w:val="Ninguno"/>
          <w:rFonts w:ascii="Times New Roman" w:hAnsi="Times New Roman" w:cs="Times New Roman"/>
          <w:lang w:val="en-GB"/>
        </w:rPr>
        <w:t xml:space="preserve"> for the treatment of mild-to-moderate major depression in primary care</w:t>
      </w:r>
      <w:r w:rsidR="006B7A9E">
        <w:rPr>
          <w:rStyle w:val="Ninguno"/>
          <w:rFonts w:ascii="Times New Roman" w:hAnsi="Times New Roman" w:cs="Times New Roman"/>
          <w:lang w:val="en-GB"/>
        </w:rPr>
        <w:t xml:space="preserve"> </w:t>
      </w:r>
      <w:r w:rsidR="00773EB1">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"author" : [ { "dropping-particle" : "", "family" : "Anderson, I., Pilling, S., Barnes, A., Bayliss, L., Bird, V., Burbeck, R., Chew-Graham, C., Clarke, J., Dyer, M., Flanagan, E., Harris, C., Hopkins, S., Kenwright, M., Kuyken, W., Lewis, A., Lewis, G., Li, R., Masterson, B., Meader, N., Meudell, A., Mitch", "given" : "J.", "non-dropping-particle" : "", "parse-names" : false, "suffix" : "" } ], "container-title" : "Clinical guideline of depression in adult", "id" : "ITEM-1", "issue" : "October", "issued" : { "date-parts" : [ [ "2009" ] ] }, "page" : "63", "title" : "Depression in adults : recognition and management", "type" : "article-journal" }, "uris" : [ "http://www.mendeley.com/documents/?uuid=1ea371fe-6205-40d6-9267-20c2dd7b3d3d", "http://www.mendeley.com/documents/?uuid=778b24c8-67e8-4133-8c33-f1893cbc5954", "http://www.mendeley.com/documents/?uuid=658323b4-09a8-4812-b4b8-f99c01b1d3ae" ] }, { "id" : "ITEM-2", "itemData" : { "author" : [ { "dropping-particle" : "", "family" : "Departament de Salut", "given" : "", "non-dropping-particle" : "", "parse-names" : false, "suffix" : "" } ], "id" : "ITEM-2", "issued" : { "date-parts" : [ [ "2010" ] ] }, "publisher-place" : "Barcelona: Ag\u00e8ncia d'Informaci\u00f3, Avaluaci\u00f3 i Qualitat en Salut. Pla director de salut mental i addictions", "title" : "[Adaptaci\u00f3 al model sanitari catal\u00e0 de la guia de pr\u00e0ctica cl\u00ednica sobre el maneig de la depressi\u00f3 major en l'adult]", "type" : "report" }, "uris" : [ "http://www.mendeley.com/documents/?uuid=799b5feb-879d-4113-b5d1-357beb96cecb" ] } ], "mendeley" : { "formattedCitation" : "[1, 2]", "plainTextFormattedCitation" : "[1, 2]", "previouslyFormattedCitation" : "&lt;sup&gt;1,2&lt;/sup&gt;" }, "properties" : { "noteIndex" : 0 }, "schema" : "https://github.com/citation-style-language/schema/raw/master/csl-citation.json" }</w:instrText>
      </w:r>
      <w:r w:rsidR="00773EB1">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[1, 2]</w:t>
      </w:r>
      <w:r w:rsidR="00773EB1">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r w:rsidRPr="00BE3BFE">
        <w:rPr>
          <w:rStyle w:val="Ninguno"/>
          <w:rFonts w:ascii="Times New Roman" w:hAnsi="Times New Roman" w:cs="Times New Roman"/>
          <w:lang w:val="en-GB"/>
        </w:rPr>
        <w:t xml:space="preserve"> evidence regarding its effectiveness and efficiency is scarce and contradictory</w:t>
      </w:r>
      <w:r w:rsidR="006B7A9E">
        <w:rPr>
          <w:rStyle w:val="Ninguno"/>
          <w:rFonts w:ascii="Times New Roman" w:hAnsi="Times New Roman" w:cs="Times New Roman"/>
          <w:lang w:val="en-GB"/>
        </w:rPr>
        <w:t xml:space="preserve"> </w:t>
      </w:r>
      <w:r w:rsidR="0017361A">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"DOI" : "10.1186/1741-7015-5-36", "ISSN" : "1741-7015", "abstract" : "Minor and mild-major depression are highly prevalent in primary care. There is insufficient evidence for the effectiveness of antidepressants in the treatment of minor and mild-major depression. We compared the effectiveness of usual primary care treatment, with or without antidepressants, in minor and mild-major depression. A pragmatic patient-randomized equivalence trial with 52 weeks follow-up was conducted in The Netherlands. In total, 59 primary care physicians (PCPs) recruited and treated 181 adult patients with minor or mild-major depression. Patients were randomized to four consultations within 3 months of usual care plus antidepressants (UCandAD) or usual care alone (UCnoAD). The Montgomery \u00c5sberg Depression Rating Scale (MADRS) was used to assess changes in severity of depressive symptoms. The predefined equivalence margin was set at five points. Multilevel analysis was used to analyze the data. Secondary outcome measures were the Short-Form 36 (SF-36), and the Client Satisfaction Questionnaire (CSQ-8). Patients received on average 3.0 (SD 1.4) 15-min consultations within 3 months with (n = 85) or without paroxetine (n = 96). Equivalence of UCandAD and UCnoAD was demonstrated in the intention-to-treat analyses as well as the per-protocol analysis after 6 weeks, but not at 13, 26 and 52 weeks follow-up. No statistical differences in effectiveness between treatment groups were found in the intention-to-treat analysis. No differences in the physical and mental functioning (SF-36) were found between the treatment groups. Patients allocated to UCandAD were slightly more satisfied with their treatment at 13 weeks follow-up (but not at 52 weeks follow-up) than patients allocated to UCnoAD. Preliminary analyses suggested that subgroups such as patients with mild-major (instead of a minor) depression might benefit from antidepressant treatment. Patients who were assigned to their preferred treatment (in particular to UCnoAD) were more often compliant and had better clinical outcomes. UCandAD was as effective as UCnoAD over the first 6 weeks, but not at 13, 26, and 52 weeks. However, superiority of either treatment could not be demonstrated either. The question whether antidepressants add any clinical effect to usual care remains unresolved. We recommend future studies to look for subgroups of patients who may benefit from antidepressants. Dutch Trial Registry ISRCN03007807.", "author" : [ { "dropping-particle" : "", "family" : "Hermens", "given" : "Marleen LM", "non-dropping-particle" : "", "parse-names" : false, "suffix" : "" }, { "dropping-particle" : "", "family" : "Hout", "given" : "Hein PJ", "non-dropping-particle" : "van", "parse-names" : false, "suffix" : "" }, { "dropping-particle" : "", "family" : "Terluin", "given" : "Berend", "non-dropping-particle" : "", "parse-names" : false, "suffix" : "" }, { "dropping-particle" : "", "family" : "Ad\u00e8r", "given" : "Herman J", "non-dropping-particle" : "", "parse-names" : false, "suffix" : "" }, { "dropping-particle" : "", "family" : "Penninx", "given" : "Brenda WJH", "non-dropping-particle" : "", "parse-names" : false, "suffix" : "" }, { "dropping-particle" : "", "family" : "Marwijk", "given" : "Harm WJ", "non-dropping-particle" : "van", "parse-names" : false, "suffix" : "" }, { "dropping-particle" : "", "family" : "Bosmans", "given" : "Judith E", "non-dropping-particle" : "", "parse-names" : false, "suffix" : "" }, { "dropping-particle" : "", "family" : "Dyck", "given" : "Richard", "non-dropping-particle" : "van", "parse-names" : false, "suffix" : "" }, { "dropping-particle" : "", "family" : "Haan", "given" : "Marten", "non-dropping-particle" : "de", "parse-names" : false, "suffix" : "" }, { "dropping-particle" : "", "family" : "Katon", "given" : "W", "non-dropping-particle" : "", "parse-names" : false, "suffix" : "" }, { "dropping-particle" : "", "family" : "Schulberg", "given" : "H", "non-dropping-particle" : "", "parse-names" : false, "suffix" : "" }, { "dropping-particle" : "", "family" : "Ackermann", "given" : "RT", "non-dropping-particle" : "", "parse-names" : false, "suffix" : "" }, { "dropping-particle" : "", "family" : "Williams", "given" : "JW", "non-dropping-particle" : "", "parse-names" : false, "suffix" : "" }, { "dropping-particle" : "", "family" : "Doogan", "given" : "DP", "non-dropping-particle" : "", "parse-names" : false, "suffix" : "" }, { "dropping-particle" : "", "family" : "Langdon", "given" : "CJ", "non-dropping-particle" : "", "parse-names" : false, "suffix" : "" }, { "dropping-particle" : "", "family" : "Elkin", "given" : "I", "non-dropping-particle" : "", "parse-names" : false, "suffix" : "" }, { "dropping-particle" : "", "family" : "Shea", "given" : "MT", "non-dropping-particle" : "", "parse-names" : false, "suffix" : "" }, { "dropping-particle" : "", "family" : "Watkins", "given" : "JT", "non-dropping-particle" : "", "parse-names" : false, "suffix" : "" }, { "dropping-particle" : "", "family" : "Imber", "given" : "SD", "non-dropping-particle" : "", "parse-names" : false, "suffix" : "" }, { "dropping-particle" : "", "family" : "Sotsky", "given" : "SM", "non-dropping-particle" : "", "parse-names" : false, "suffix" : "" }, { "dropping-particle" : "", "family" : "Collins", "given" : "JF", "non-dropping-particle" : "", "parse-names" : false, "suffix" : "" }, { "dropping-particle" : "", "family" : "Glass", "given" : "DR", "non-dropping-particle" : "", "parse-names" : false, "suffix" : "" }, { "dropping-particle" : "", "family" : "Pilkonis", "given" : "PA", "non-dropping-particle" : "", "parse-names" : false, "suffix" : "" }, { "dropping-particle" : "", "family" : "Leber", "given" : "WR", "non-dropping-particle" : "", "parse-names" : false, "suffix" : "" }, { "dropping-particle" : "", "family" : "Docherty", "given" : "JP", "non-dropping-particle" : "", "parse-names" : false, "suffix" : "" }, { "dropping-particle" : "", "family" : "Middleton", "given" : "H", "non-dropping-particle" : "", "parse-names" : false, "suffix" : "" }, { "dropping-particle" : "", "family" : "Shaw", "given" : "I", "non-dropping-particle" : "", "parse-names" : false, "suffix" : "" }, { "dropping-particle" : "", "family" : "Hull", "given" : "S", "non-dropping-particle" : "", "parse-names" : false, "suffix" : "" }, { "dropping-particle" : "", "family" : "Feder", "given" : "G", "non-dropping-particle" : "", "parse-names" : false, "suffix" : "" }, { "dropping-particle" : "", "family" : "Oxman", "given" : "TE", "non-dropping-particle" : "", "parse-names" : false, "suffix" : "" }, { "dropping-particle" : "", "family" : "Sengupta", "given" : "A", "non-dropping-particle" : "", "parse-names" : false, "suffix" : "" }, { "dropping-particle" : "De", "family" : "Waal", "given" : "MW", "non-dropping-particle" : "", "parse-names" : false, "suffix" : "" }, { "dropping-particle" : "", "family" : "Stolk", "given" : "J", "non-dropping-particle" : "", "parse-names" : false, "suffix" : "" }, { "dropping-particle" : "van", "family" : "Marwijk", "given" : "HW", "non-dropping-particle" : "", "parse-names" : false, "suffix" : "" }, { "dropping-particle" : "", "family" : "Springer", "given" : "MP", "non-dropping-particle" : "", "parse-names" : false, "suffix" : "" }, { "dropping-particle" : "", "family" : "Spies", "given" : "T", "non-dropping-particle" : "", "parse-names" : false, "suffix" : "" }, { "dropping-particle" : "", "family" : "Mokkink", "given" : "H", "non-dropping-particle" : "", "parse-names" : false, "suffix" : "" }, { "dropping-particle" : "", "family" : "Robb\u00e9", "given" : "P De Vries", "non-dropping-particle" : "", "parse-names" : false, "suffix" : "" }, { "dropping-particle" : "", "family" : "Grol", "given" : "R", "non-dropping-particle" : "", "parse-names" : false, "suffix" : "" }, { "dropping-particle" : "Van", "family" : "Marwijk", "given" : "HWJ", "non-dropping-particle" : "", "parse-names" : false, "suffix" : "" }, { "dropping-particle" : "", "family" : "Grundmeijer", "given" : "HGLM", "non-dropping-particle" : "", "parse-names" : false, "suffix" : "" }, { "dropping-particle" : "", "family" : "Brueren", "given" : "MM", "non-dropping-particle" : "", "parse-names" : false, "suffix" : "" }, { "dropping-particle" : "", "family" : "Sigling", "given" : "HOHJ", "non-dropping-particle" : "", "parse-names" : false, "suffix" : "" }, { "dropping-particle" : "", "family" : "Stolk", "given" : "J", "non-dropping-particle" : "", "parse-names" : false, "suffix" : "" }, { "dropping-particle" : "Van", "family" : "Gelderen", "given" : "MG", "non-dropping-particle" : "", "parse-names" : false, "suffix" : "" }, { "dropping-particle" : "", "family" : "Vintges", "given" : "M", "non-dropping-particle" : "", "parse-names" : false, "suffix" : "" }, { "dropping-particle" : "", "family" : "Eizenga", "given" : "WH", "non-dropping-particle" : "", "parse-names" : false, "suffix" : "" }, { "dropping-particle" : "", "family" : "Burgers", "given" : "JS", "non-dropping-particle" : "", "parse-names" : false, "suffix" : "" }, { "dropping-particle" : "Van", "family" : "Marwijk", "given" : "HW", "non-dropping-particle" : "", "parse-names" : false, "suffix" : "" }, { "dropping-particle" : "", "family" : "Bijl", "given" : "D", "non-dropping-particle" : "", "parse-names" : false, "suffix" : "" }, { "dropping-particle" : "", "family" : "Ader", "given" : "HJ", "non-dropping-particle" : "", "parse-names" : false, "suffix" : "" }, { "dropping-particle" : "De", "family" : "Haan", "given" : "M", "non-dropping-particle" : "", "parse-names" : false, "suffix" : "" }, { "dropping-particle" : "", "family" : "MacGillivray", "given" : "S", "non-dropping-particle" : "", "parse-names" : false, "suffix" : "" }, { "dropping-particle" : "", "family" : "Arroll", "given" : "B", "non-dropping-particle" : "", "parse-names" : false, "suffix" : "" }, { "dropping-particle" : "", "family" : "Hatcher", "given" : "S", "non-dropping-particle" : "", "parse-names" : false, "suffix" : "" }, { "dropping-particle" : "", "family" : "Ogston", "given" : "S", "non-dropping-particle" : "", "parse-names" : false, "suffix" : "" }, { "dropping-particle" : "", "family" : "Reid", "given" : "I", "non-dropping-particle" : "", "parse-names" : false, "suffix" : "" }, { "dropping-particle" : "", "family" : "Sullivan", "given" : "F", "non-dropping-particle" : "", "parse-names" : false, "suffix" : "" }, { "dropping-particle" : "", "family" : "Williams", "given" : "B", "non-dropping-particle" : "", "parse-names" : false, "suffix" : "" }, { "dropping-particle" : "", "family" : "Crombie", "given" : "I", "non-dropping-particle" : "", "parse-names" : false, "suffix" : "" }, { "dropping-particle" : "", "family" : "Brugha", "given" : "TS", "non-dropping-particle" : "", "parse-names" : false, "suffix" : "" }, { "dropping-particle" : "", "family" : "Cragg", "given" : "D", "non-dropping-particle" : "", "parse-names" : false, "suffix" : "" }, { "dropping-particle" : "", "family" : "Costa", "given" : "PP", "non-dropping-particle" : "", "parse-names" : false, "suffix" : "" }, { "dropping-particle" : "", "family" : "McCrae", "given" : "RR", "non-dropping-particle" : "", "parse-names" : false, "suffix" : "" }, { "dropping-particle" : "", "family" : "Andrews", "given" : "G", "non-dropping-particle" : "", "parse-names" : false, "suffix" : "" }, { "dropping-particle" : "", "family" : "Peters", "given" : "L", "non-dropping-particle" : "", "parse-names" : false, "suffix" : "" }, { "dropping-particle" : "", "family" : "Montgomery", "given" : "SA", "non-dropping-particle" : "", "parse-names" : false, "suffix" : "" }, { "dropping-particle" : "", "family" : "Asberg", "given" : "M", "non-dropping-particle" : "", "parse-names" : false, "suffix" : "" }, { "dropping-particle" : "", "family" : "Hermens", "given" : "ML", "non-dropping-particle" : "", "parse-names" : false, "suffix" : "" }, { "dropping-particle" : "", "family" : "Ad\u00e8r", "given" : "HJ", "non-dropping-particle" : "", "parse-names" : false, "suffix" : "" }, { "dropping-particle" : "van", "family" : "Hout", "given" : "HP", "non-dropping-particle" : "", "parse-names" : false, "suffix" : "" }, { "dropping-particle" : "", "family" : "Terluin", "given" : "B", "non-dropping-particle" : "", "parse-names" : false, "suffix" : "" }, { "dropping-particle" : "van", "family" : "Dyck", "given" : "R", "non-dropping-particle" : "", "parse-names" : false, "suffix" : "" }, { "dropping-particle" : "de", "family" : "Haan", "given" : "M", "non-dropping-particle" : "", "parse-names" : false, "suffix" : "" }, { "dropping-particle" : "", "family" : "Ware", "given" : "JE", "non-dropping-particle" : "", "parse-names" : false, "suffix" : "" }, { "dropping-particle" : "", "family" : "Sherbourne", "given" : "CD", "non-dropping-particle" : "", "parse-names" : false, "suffix" : "" }, { "dropping-particle" : "", "family" : "Ware", "given" : "JE", "non-dropping-particle" : "", "parse-names" : false, "suffix" : "" }, { "dropping-particle" : "", "family" : "Koshinski", "given" : "M", "non-dropping-particle" : "", "parse-names" : false, "suffix" : "" }, { "dropping-particle" : "", "family" : "Keller", "given" : "SD", "non-dropping-particle" : "", "parse-names" : false, "suffix" : "" }, { "dropping-particle" : "", "family" : "Larsen", "given" : "DL", "non-dropping-particle" : "", "parse-names" : false, "suffix" : "" }, { "dropping-particle" : "", "family" : "Attkisson", "given" : "CC", "non-dropping-particle" : "", "parse-names" : false, "suffix" : "" }, { "dropping-particle" : "", "family" : "Hargreaves", "given" : "WA", "non-dropping-particle" : "", "parse-names" : false, "suffix" : "" }, { "dropping-particle" : "", "family" : "Nguyen", "given" : "TD", "non-dropping-particle" : "", "parse-names" : false, "suffix" : "" }, { "dropping-particle" : "", "family" : "Malt", "given" : "UF", "non-dropping-particle" : "", "parse-names" : false, "suffix" : "" }, { "dropping-particle" : "", "family" : "Robak", "given" : "OH", "non-dropping-particle" : "", "parse-names" : false, "suffix" : "" }, { "dropping-particle" : "", "family" : "Madsbu", "given" : "HP", "non-dropping-particle" : "", "parse-names" : false, "suffix" : "" }, { "dropping-particle" : "", "family" : "Bakke", "given" : "O", "non-dropping-particle" : "", "parse-names" : false, "suffix" : "" }, { "dropping-particle" : "", "family" : "Loeb", "given" : "M", "non-dropping-particle" : "", "parse-names" : false, "suffix" : "" }, { "dropping-particle" : "", "family" : "Cohen", "given" : "J", "non-dropping-particle" : "", "parse-names" : false, "suffix" : "" }, { "dropping-particle" : "", "family" : "Jones", "given" : "B", "non-dropping-particle" : "", "parse-names" : false, "suffix" : "" }, { "dropping-particle" : "", "family" : "Jarvis", "given" : "P", "non-dropping-particle" : "", "parse-names" : false, "suffix" : "" }, { "dropping-particle" : "", "family" : "Lewis", "given" : "JA", "non-dropping-particle" : "", "parse-names" : false, "suffix" : "" }, { "dropping-particle" : "", "family" : "Ebbutt", "given" : "AF", "non-dropping-particle" : "", "parse-names" : false, "suffix" : "" }, { "dropping-particle" : "", "family" : "Rasbash", "given" : "J", "non-dropping-particle" : "", "parse-names" : false, "suffix" : "" }, { "dropping-particle" : "", "family" : "Browne", "given" : "W", "non-dropping-particle" : "", "parse-names" : false, "suffix" : "" }, { "dropping-particle" : "", "family" : "Goldstein", "given" : "H", "non-dropping-particle" : "", "parse-names" : false, "suffix" : "" }, { "dropping-particle" : "", "family" : "Yang", "given" : "M", "non-dropping-particle" : "", "parse-names" : false, "suffix" : "" }, { "dropping-particle" : "", "family" : "Woodhouse", "given" : "G", "non-dropping-particle" : "", "parse-names" : false, "suffix" : "" }, { "dropping-particle" : "", "family" : "Healy", "given" : "M", "non-dropping-particle" : "", "parse-names" : false, "suffix" : "" }, { "dropping-particle" : "", "family" : "Hauck", "given" : "W", "non-dropping-particle" : "", "parse-names" : false, "suffix" : "" }, { "dropping-particle" : "", "family" : "Anderson", "given" : "S", "non-dropping-particle" : "", "parse-names" : false, "suffix" : "" }, { "dropping-particle" : "van", "family" : "Schaik", "given" : "DJ", "non-dropping-particle" : "", "parse-names" : false, "suffix" : "" }, { "dropping-particle" : "", "family" : "Klijn", "given" : "AF", "non-dropping-particle" : "", "parse-names" : false, "suffix" : "" }, { "dropping-particle" : "van", "family" : "Hout", "given" : "HP", "non-dropping-particle" : "", "parse-names" : false, "suffix" : "" }, { "dropping-particle" : "van", "family" : "Marwijk", "given" : "HW", "non-dropping-particle" : "", "parse-names" : false, "suffix" : "" }, { "dropping-particle" : "", "family" : "Beekman", "given" : "AT", "non-dropping-particle" : "", "parse-names" : false, "suffix" : "" }, { "dropping-particle" : "De", "family" : "Haan", "given" : "M", "non-dropping-particle" : "", "parse-names" : false, "suffix" : "" }, { "dropping-particle" : "van", "family" : "Dyck", "given" : "R", "non-dropping-particle" : "", "parse-names" : false, "suffix" : "" }, { "dropping-particle" : "", "family" : "Piaggio", "given" : "G", "non-dropping-particle" : "", "parse-names" : false, "suffix" : "" }, { "dropping-particle" : "", "family" : "Elbourne", "given" : "DR", "non-dropping-particle" : "", "parse-names" : false, "suffix" : "" }, { "dropping-particle" : "", "family" : "Altman", "given" : "DG", "non-dropping-particle" : "", "parse-names" : false, "suffix" : "" }, { "dropping-particle" : "", "family" : "Pocock", "given" : "SJ", "non-dropping-particle" : "", "parse-names" : false, "suffix" : "" }, { "dropping-particle" : "", "family" : "Evans", "given" : "SJ", "non-dropping-particle" : "", "parse-names" : false, "suffix" : "" }, { "dropping-particle" : "", "family" : "Barrett", "given" : "JE", "non-dropping-particle" : "", "parse-names" : false, "suffix" : "" }, { "dropping-particle" : "", "family" : "Williams", "given" : "JW", "non-dropping-particle" : "", "parse-names" : false, "suffix" : "" }, { "dropping-particle" : "", "family" : "Oxman", "given" : "TE", "non-dropping-particle" : "", "parse-names" : false, "suffix" : "" }, { "dropping-particle" : "", "family" : "Frank", "given" : "E", "non-dropping-particle" : "", "parse-names" : false, "suffix" : "" }, { "dropping-particle" : "", "family" : "Katon", "given" : "W", "non-dropping-particle" : "", "parse-names" : false, "suffix" : "" }, { "dropping-particle" : "", "family" : "Sullivan", "given" : "M", "non-dropping-particle" : "", "parse-names" : false, "suffix" : "" }, { "dropping-particle" : "", "family" : "Hegel", "given" : "MT", "non-dropping-particle" : "", "parse-names" : false, "suffix" : "" }, { "dropping-particle" : "", "family" : "Cornell", "given" : "JF", "non-dropping-particle" : "", "parse-names" : false, "suffix" : "" }, { "dropping-particle" : "", "family" : "Sengupta", "given" : "AS", "non-dropping-particle" : "", "parse-names" : false, "suffix" : "" }, { "dropping-particle" : "", "family" : "Paykel", "given" : "ES", "non-dropping-particle" : "", "parse-names" : false, "suffix" : "" }, { "dropping-particle" : "", "family" : "Hollyman", "given" : "JA", "non-dropping-particle" : "", "parse-names" : false, "suffix" : "" }, { "dropping-particle" : "", "family" : "Freeling", "given" : "P", "non-dropping-particle" : "", "parse-names" : false, "suffix" : "" }, { "dropping-particle" : "", "family" : "Sedgwick", "given" : "P", "non-dropping-particle" : "", "parse-names" : false, "suffix" : "" }, { "dropping-particle" : "", "family" : "Bedi", "given" : "N", "non-dropping-particle" : "", "parse-names" : false, "suffix" : "" }, { "dropping-particle" : "", "family" : "Chilvers", "given" : "C", "non-dropping-particle" : "", "parse-names" : false, "suffix" : "" }, { "dropping-particle" : "", "family" : "Churchill", "given" : "R", "non-dropping-particle" : "", "parse-names" : false, "suffix" : "" }, { "dropping-particle" : "", "family" : "Dewey", "given" : "M", "non-dropping-particle" : "", "parse-names" : false, "suffix" : "" }, { "dropping-particle" : "", "family" : "Duggan", "given" : "C", "non-dropping-particle" : "", "parse-names" : false, "suffix" : "" }, { "dropping-particle" : "", "family" : "Fielding", "given" : "K", "non-dropping-particle" : "", "parse-names" : false, "suffix" : "" }, { "dropping-particle" : "", "family" : "Gretton", "given" : "V", "non-dropping-particle" : "", "parse-names" : false, "suffix" : "" }, { "dropping-particle" : "", "family" : "Miller", "given" : "P", "non-dropping-particle" : "", "parse-names" : false, "suffix" : "" }, { "dropping-particle" : "", "family" : "Harrison", "given" : "G", "non-dropping-particle" : "", "parse-names" : false, "suffix" : "" }, { "dropping-particle" : "", "family" : "Lee", "given" : "A", "non-dropping-particle" : "", "parse-names" : false, "suffix" : "" }, { "dropping-particle" : "", "family" : "Williams", "given" : "I", "non-dropping-particle" : "", "parse-names" : false, "suffix" : "" }, { "dropping-particle" : "", "family" : "Chilvers", "given" : "C", "non-dropping-particle" : "", "parse-names" : false, "suffix" : "" }, { "dropping-particle" : "", "family" : "Dewey", "given" : "M", "non-dropping-particle" : "", "parse-names" : false, "suffix" : "" }, { "dropping-particle" : "", "family" : "Fielding", "given" : "K", "non-dropping-particle" : "", "parse-names" : false, "suffix" : "" }, { "dropping-particle" : "", "family" : "Gretton", "given" : "V", "non-dropping-particle" : "", "parse-names" : false, "suffix" : "" }, { "dropping-particle" : "", "family" : "Miller", "given" : "P", "non-dropping-particle" : "", "parse-names" : false, "suffix" : "" }, { "dropping-particle" : "", "family" : "Palmer", "given" : "B", "non-dropping-particle" : "", "parse-names" : false, "suffix" : "" }, { "dropping-particle" : "", "family" : "Weller", "given" : "D", "non-dropping-particle" : "", "parse-names" : false, "suffix" : "" }, { "dropping-particle" : "", "family" : "Churchill", "given" : "R", "non-dropping-particle" : "", "parse-names" : false, "suffix" : "" }, { "dropping-particle" : "", "family" : "Williams", "given" : "I", "non-dropping-particle" : "", "parse-names" : false, "suffix" : "" }, { "dropping-particle" : "", "family" : "Bedi", "given" : "N", "non-dropping-particle" : "", "parse-names" : false, "suffix" : "" }, { "dropping-particle" : "", "family" : "Duggan", "given" : "C", "non-dropping-particle" : "", "parse-names" : false, "suffix" : "" }, { "dropping-particle" : "", "family" : "Lee", "given" : "A", "non-dropping-particle" : "", "parse-names" : false, "suffix" : "" }, { "dropping-particle" : "", "family" : "Harrison", "given" : "G", "non-dropping-particle" : "", "parse-names" : false, "suffix" : "" }, { "dropping-particle" : "", "family" : "Mynors-Wallis", "given" : "LM", "non-dropping-particle" : "", "parse-names" : false, "suffix" : "" }, { "dropping-particle" : "", "family" : "Gath", "given" : "DH", "non-dropping-particle" : "", "parse-names" : false, "suffix" : "" }, { "dropping-particle" : "", "family" : "Day", "given" : "A", "non-dropping-particle" : "", "parse-names" : false, "suffix" : "" }, { "dropping-particle" : "", "family" : "Baker", "given" : "F", "non-dropping-particle" : "", "parse-names" : false, "suffix" : "" }, { "dropping-particle" : "van", "family" : "Marwijk", "given" : "H", "non-dropping-particle" : "", "parse-names" : false, "suffix" : "" } ], "container-title" : "BMC Medicine", "id" : "ITEM-1", "issue" : "1", "issued" : { "date-parts" : [ [ "2007", "12" ] ] }, "page" : "36", "publisher" : "BioMed Central", "title" : "Clinical effectiveness of usual care with or without antidepressant medication for primary care patients with minor or mild-major depression: a randomized equivalence trial", "type" : "article-journal", "volume" : "5" }, "uris" : [ "http://www.mendeley.com/documents/?uuid=4036ed36-f283-40ad-bb36-7de172175a68" ] }, { "id" : "ITEM-2", "itemData" : { "DOI" : "10.1017/S0033291714000701", "ISSN" : "1469-8978", "PMID" : "25065653", "abstract" : "BACKGROUND In stepped care models patients typically start with a low-intensity evidence-based treatment. Progress is monitored systematically and those patients who do not respond adequately step up to a subsequent treatment of higher intensity. Despite the fact that many guidelines have endorsed this stepped care principle it is not clear if stepped care really delivers similar or better patient outcomes against lower costs compared with other systems. We performed a systematic review and meta-analysis of all randomized trials on stepped care for depression. METHOD We carried out a comprehensive literature search. Selection of studies, evaluation of study quality and extraction of data were performed independently by two authors. RESULTS A total of 14 studies were included and 10 were used in the meta-analyses (4580 patients). All studies used screening to identify possible patients and care as usual as a comparator. Study quality was relatively high. Stepped care had a moderate effect on depression (pooled 6-month between-group effect size Cohen's d was 0.34; 95% confidence interval 0.20-0.48). The stepped care interventions varied greatly in number and duration of treatment steps, treatments offered, professionals involved, and criteria to step up. CONCLUSIONS There is currently only limited evidence to suggest that stepped care should be the dominant model of treatment organization. Evidence on (cost-) effectiveness compared with high-intensity psychological therapy alone, as well as with matched care, is required.", "author" : [ { "dropping-particle" : "", "family" : "Straten", "given" : "A", "non-dropping-particle" : "van", "parse-names" : false, "suffix" : "" }, { "dropping-particle" : "", "family" : "Hill", "given" : "J", "non-dropping-particle" : "", "parse-names" : false, "suffix" : "" }, { "dropping-particle" : "", "family" : "Richards", "given" : "D A", "non-dropping-particle" : "", "parse-names" : false, "suffix" : "" }, { "dropping-particle" : "", "family" : "Cuijpers", "given" : "P", "non-dropping-particle" : "", "parse-names" : false, "suffix" : "" } ], "container-title" : "Psychological medicine", "id" : "ITEM-2", "issue" : "2", "issued" : { "date-parts" : [ [ "2015", "1" ] ] }, "page" : "231-46", "title" : "Stepped care treatment delivery for depression: a systematic review and meta-analysis.", "type" : "article-journal", "volume" : "45" }, "uris" : [ "http://www.mendeley.com/documents/?uuid=9575a699-caaf-4b3f-9cb3-f4aba05ecaae" ] } ], "mendeley" : { "formattedCitation" : "[29, 30]", "plainTextFormattedCitation" : "[29, 30]", "previouslyFormattedCitation" : "&lt;sup&gt;29,30&lt;/sup&gt;" }, "properties" : { "noteIndex" : 0 }, "schema" : "https://github.com/citation-style-language/schema/raw/master/csl-citation.json" }</w:instrText>
      </w:r>
      <w:r w:rsidR="0017361A">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[29, 30]</w:t>
      </w:r>
      <w:r w:rsidR="0017361A">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r w:rsidRPr="00BE3BFE">
        <w:rPr>
          <w:rStyle w:val="Ninguno"/>
          <w:rFonts w:ascii="Times New Roman" w:hAnsi="Times New Roman" w:cs="Times New Roman"/>
          <w:lang w:val="en-GB"/>
        </w:rPr>
        <w:t xml:space="preserve"> Results from our </w:t>
      </w:r>
      <w:r w:rsidR="00494B89">
        <w:rPr>
          <w:rStyle w:val="Ninguno"/>
          <w:rFonts w:ascii="Times New Roman" w:hAnsi="Times New Roman" w:cs="Times New Roman"/>
          <w:lang w:val="en-GB"/>
        </w:rPr>
        <w:t xml:space="preserve">non-randomized </w:t>
      </w:r>
      <w:r w:rsidRPr="00BE3BFE">
        <w:rPr>
          <w:rStyle w:val="Ninguno"/>
          <w:rFonts w:ascii="Times New Roman" w:hAnsi="Times New Roman" w:cs="Times New Roman"/>
          <w:lang w:val="en-GB"/>
        </w:rPr>
        <w:t xml:space="preserve">study </w:t>
      </w:r>
      <w:r w:rsidR="00096D36">
        <w:rPr>
          <w:rStyle w:val="Ninguno"/>
          <w:rFonts w:ascii="Times New Roman" w:hAnsi="Times New Roman" w:cs="Times New Roman"/>
          <w:lang w:val="en-GB"/>
        </w:rPr>
        <w:t>show that</w:t>
      </w:r>
      <w:r w:rsidR="00096D36" w:rsidRPr="00BE3BFE">
        <w:rPr>
          <w:rStyle w:val="Ninguno"/>
          <w:rFonts w:ascii="Times New Roman" w:hAnsi="Times New Roman" w:cs="Times New Roman"/>
          <w:lang w:val="en-GB"/>
        </w:rPr>
        <w:t xml:space="preserve"> </w:t>
      </w:r>
      <w:r w:rsidR="000324E0">
        <w:rPr>
          <w:rStyle w:val="Ninguno"/>
          <w:rFonts w:ascii="Times New Roman" w:hAnsi="Times New Roman" w:cs="Times New Roman"/>
          <w:lang w:val="en-GB"/>
        </w:rPr>
        <w:t>i</w:t>
      </w:r>
      <w:r w:rsidR="000324E0" w:rsidRPr="000324E0">
        <w:rPr>
          <w:rStyle w:val="Ninguno"/>
          <w:rFonts w:ascii="Times New Roman" w:hAnsi="Times New Roman" w:cs="Times New Roman"/>
          <w:lang w:val="en-GB"/>
        </w:rPr>
        <w:t xml:space="preserve">ncremental cost-utility ratios favor </w:t>
      </w:r>
      <w:r w:rsidR="000324E0">
        <w:rPr>
          <w:rStyle w:val="Ninguno"/>
          <w:rFonts w:ascii="Times New Roman" w:hAnsi="Times New Roman" w:cs="Times New Roman"/>
          <w:lang w:val="en-GB"/>
        </w:rPr>
        <w:t>antidepressants</w:t>
      </w:r>
      <w:r w:rsidR="000324E0" w:rsidRPr="000324E0">
        <w:rPr>
          <w:rStyle w:val="Ninguno"/>
          <w:rFonts w:ascii="Times New Roman" w:hAnsi="Times New Roman" w:cs="Times New Roman"/>
          <w:lang w:val="en-GB"/>
        </w:rPr>
        <w:t xml:space="preserve"> as a first-line approach for patients with mild-moderate major depressive disorder</w:t>
      </w:r>
      <w:r w:rsidR="000324E0">
        <w:rPr>
          <w:rStyle w:val="Ninguno"/>
          <w:rFonts w:ascii="Times New Roman" w:hAnsi="Times New Roman" w:cs="Times New Roman"/>
          <w:lang w:val="en-GB"/>
        </w:rPr>
        <w:t xml:space="preserve"> over </w:t>
      </w:r>
      <w:r w:rsidR="00096D36">
        <w:rPr>
          <w:rStyle w:val="Ninguno"/>
          <w:rFonts w:ascii="Times New Roman" w:hAnsi="Times New Roman" w:cs="Times New Roman"/>
          <w:lang w:val="en-GB"/>
        </w:rPr>
        <w:t>the active monitoring (</w:t>
      </w:r>
      <w:r w:rsidR="00B20112">
        <w:rPr>
          <w:rStyle w:val="Ninguno"/>
          <w:rFonts w:ascii="Times New Roman" w:hAnsi="Times New Roman" w:cs="Times New Roman"/>
          <w:lang w:val="en-GB"/>
        </w:rPr>
        <w:t>AM</w:t>
      </w:r>
      <w:r w:rsidR="00096D36">
        <w:rPr>
          <w:rStyle w:val="Ninguno"/>
          <w:rFonts w:ascii="Times New Roman" w:hAnsi="Times New Roman" w:cs="Times New Roman"/>
          <w:lang w:val="en-GB"/>
        </w:rPr>
        <w:t>)</w:t>
      </w:r>
      <w:r w:rsidRPr="00BE3BFE">
        <w:rPr>
          <w:rStyle w:val="Ninguno"/>
          <w:rFonts w:ascii="Times New Roman" w:hAnsi="Times New Roman" w:cs="Times New Roman"/>
          <w:lang w:val="en-GB"/>
        </w:rPr>
        <w:t xml:space="preserve"> approach, </w:t>
      </w:r>
      <w:r w:rsidR="00096D36">
        <w:rPr>
          <w:rStyle w:val="Ninguno"/>
          <w:rFonts w:ascii="Times New Roman" w:hAnsi="Times New Roman" w:cs="Times New Roman"/>
          <w:lang w:val="en-GB"/>
        </w:rPr>
        <w:t xml:space="preserve">in particular during the first </w:t>
      </w:r>
      <w:r w:rsidRPr="00BE3BFE">
        <w:rPr>
          <w:rStyle w:val="Ninguno"/>
          <w:rFonts w:ascii="Times New Roman" w:hAnsi="Times New Roman" w:cs="Times New Roman"/>
          <w:lang w:val="en-GB"/>
        </w:rPr>
        <w:t>6-month follow-up</w:t>
      </w:r>
      <w:r w:rsidR="00B5121C">
        <w:rPr>
          <w:rStyle w:val="Ninguno"/>
          <w:rFonts w:ascii="Times New Roman" w:hAnsi="Times New Roman" w:cs="Times New Roman"/>
          <w:lang w:val="en-GB"/>
        </w:rPr>
        <w:t>, although neither differences in costs or benefits were statistically significant</w:t>
      </w:r>
      <w:r w:rsidRPr="00BE3BFE">
        <w:rPr>
          <w:rStyle w:val="Ninguno"/>
          <w:rFonts w:ascii="Times New Roman" w:hAnsi="Times New Roman" w:cs="Times New Roman"/>
          <w:lang w:val="en-GB"/>
        </w:rPr>
        <w:t xml:space="preserve">. </w:t>
      </w:r>
    </w:p>
    <w:p w14:paraId="67A845FA" w14:textId="4A0B00F4" w:rsidR="00D8004B" w:rsidRDefault="00357B09" w:rsidP="00BE3BFE">
      <w:pPr>
        <w:spacing w:line="480" w:lineRule="auto"/>
        <w:jc w:val="both"/>
        <w:rPr>
          <w:rStyle w:val="Ninguno"/>
          <w:rFonts w:ascii="Times New Roman" w:hAnsi="Times New Roman" w:cs="Times New Roman"/>
          <w:lang w:val="en-GB"/>
        </w:rPr>
      </w:pPr>
      <w:r>
        <w:rPr>
          <w:rFonts w:ascii="Times New Roman" w:hAnsi="Times New Roman" w:cs="Times New Roman"/>
          <w:lang w:val="en-GB"/>
        </w:rPr>
        <w:t>D</w:t>
      </w:r>
      <w:r w:rsidR="00BE3BFE" w:rsidRPr="00BE3BFE">
        <w:rPr>
          <w:rFonts w:ascii="Times New Roman" w:hAnsi="Times New Roman" w:cs="Times New Roman"/>
          <w:lang w:val="en-GB"/>
        </w:rPr>
        <w:t xml:space="preserve">ifferences in costs and QALY may not reach statistical significance in the main analyses </w:t>
      </w:r>
      <w:r w:rsidR="004A6C70">
        <w:rPr>
          <w:rFonts w:ascii="Times New Roman" w:hAnsi="Times New Roman" w:cs="Times New Roman"/>
          <w:lang w:val="en-GB"/>
        </w:rPr>
        <w:t>nor in</w:t>
      </w:r>
      <w:r w:rsidR="004A6C70" w:rsidRPr="00BE3BFE">
        <w:rPr>
          <w:rFonts w:ascii="Times New Roman" w:hAnsi="Times New Roman" w:cs="Times New Roman"/>
          <w:lang w:val="en-GB"/>
        </w:rPr>
        <w:t xml:space="preserve"> </w:t>
      </w:r>
      <w:r w:rsidR="00BE3BFE" w:rsidRPr="00BE3BFE">
        <w:rPr>
          <w:rFonts w:ascii="Times New Roman" w:hAnsi="Times New Roman" w:cs="Times New Roman"/>
          <w:lang w:val="en-GB"/>
        </w:rPr>
        <w:t>most of the sensitivity analyses</w:t>
      </w:r>
      <w:r>
        <w:rPr>
          <w:rFonts w:ascii="Times New Roman" w:hAnsi="Times New Roman" w:cs="Times New Roman"/>
          <w:lang w:val="en-GB"/>
        </w:rPr>
        <w:t xml:space="preserve"> but</w:t>
      </w:r>
      <w:r w:rsidR="00BE3BFE" w:rsidRPr="00BE3BFE">
        <w:rPr>
          <w:rFonts w:ascii="Times New Roman" w:hAnsi="Times New Roman" w:cs="Times New Roman"/>
          <w:lang w:val="en-GB"/>
        </w:rPr>
        <w:t xml:space="preserve"> cost-utility acceptability curves show that antidepressants have a higher probability of being more cost-effective than </w:t>
      </w:r>
      <w:r w:rsidR="00B20112">
        <w:rPr>
          <w:rFonts w:ascii="Times New Roman" w:hAnsi="Times New Roman" w:cs="Times New Roman"/>
          <w:lang w:val="en-GB"/>
        </w:rPr>
        <w:t>AM</w:t>
      </w:r>
      <w:r w:rsidR="00BE3BFE" w:rsidRPr="00BE3BFE">
        <w:rPr>
          <w:rFonts w:ascii="Times New Roman" w:hAnsi="Times New Roman" w:cs="Times New Roman"/>
          <w:lang w:val="en-GB"/>
        </w:rPr>
        <w:t xml:space="preserve">, especially from a healthcare perspective and after 6 months of treatment. Nevertheless, </w:t>
      </w:r>
      <w:r w:rsidR="00BE3BFE" w:rsidRPr="00BE3BFE">
        <w:rPr>
          <w:rStyle w:val="Ninguno"/>
          <w:rFonts w:ascii="Times New Roman" w:hAnsi="Times New Roman" w:cs="Times New Roman"/>
          <w:lang w:val="en-GB"/>
        </w:rPr>
        <w:t xml:space="preserve">this difference is not sustained over </w:t>
      </w:r>
      <w:r w:rsidR="00BE3BFE" w:rsidRPr="00BE3BFE">
        <w:rPr>
          <w:rStyle w:val="Ninguno"/>
          <w:rFonts w:ascii="Times New Roman" w:hAnsi="Times New Roman" w:cs="Times New Roman"/>
          <w:lang w:val="en-GB"/>
        </w:rPr>
        <w:lastRenderedPageBreak/>
        <w:t>time, as results at twelve months show a decline in relation to ICUR values that could be due to many factors including the natural remission of the disease</w:t>
      </w:r>
      <w:r w:rsidR="006B7A9E">
        <w:rPr>
          <w:rStyle w:val="Ninguno"/>
          <w:rFonts w:ascii="Times New Roman" w:hAnsi="Times New Roman" w:cs="Times New Roman"/>
          <w:lang w:val="en-GB"/>
        </w:rPr>
        <w:t xml:space="preserve"> </w:t>
      </w:r>
      <w:r w:rsidR="00507A52">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"ISSN" : "0165-0327", "PMID" : "11578666", "abstract" : "INTRODUCTION While the short-term response rates to antidepressant medication and placebo are well established, very little is known about the short-term course of untreated depression. Knowledge of the course of untreated depression can serve as a benchmark for assessing the true benefits of active treatment. METHOD A meta-analysis was performed analyzing the outcomes of all psychotherapy studies that randomized adult outpatients with major depressive disorder to a wait-list control group. RESULTS Nineteen studies involving 221 subjects were reviewed. The mean decrease in Hamilton Rating Scale for Depression scores over 2-20 weeks was 11.9%, while the mean decrease in Beck Depression Inventory scores was 15.7%. Using a subsample of studies that reported individual outcomes, we estimated that 15 of 76 subjects (19.7%) improved to a degree comparable to what would be considered a positive response in antidepressant trials. CONCLUSIONS In the short-term, depressive symptomatology can be expected to decrease by about 10-15% on average without treatment. As many as 20% of subjects who participate in a short-term antidepressant trial may experience a spontaneous remission.", "author" : [ { "dropping-particle" : "", "family" : "Posternak", "given" : "M A", "non-dropping-particle" : "", "parse-names" : false, "suffix" : "" }, { "dropping-particle" : "", "family" : "Miller", "given" : "I", "non-dropping-particle" : "", "parse-names" : false, "suffix" : "" } ], "container-title" : "Journal of affective disorders", "id" : "ITEM-1", "issue" : "2-3", "issued" : { "date-parts" : [ [ "2001", "10" ] ] }, "page" : "139-46", "title" : "Untreated short-term course of major depression: a meta-analysis of outcomes from studies using wait-list control groups.", "type" : "article-journal", "volume" : "66" }, "uris" : [ "http://www.mendeley.com/documents/?uuid=e7c79ea8-9a34-410b-8480-117aafaa8fe6" ] } ], "mendeley" : { "formattedCitation" : "[31]", "plainTextFormattedCitation" : "[31]", "previouslyFormattedCitation" : "&lt;sup&gt;31&lt;/sup&gt;" }, "properties" : { "noteIndex" : 0 }, "schema" : "https://github.com/citation-style-language/schema/raw/master/csl-citation.json" }</w:instrText>
      </w:r>
      <w:r w:rsidR="00507A52">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[31]</w:t>
      </w:r>
      <w:r w:rsidR="00507A52">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r w:rsidR="00BE3BFE" w:rsidRPr="00BE3BFE">
        <w:rPr>
          <w:rStyle w:val="Ninguno"/>
          <w:rFonts w:ascii="Times New Roman" w:hAnsi="Times New Roman" w:cs="Times New Roman"/>
          <w:lang w:val="en-GB"/>
        </w:rPr>
        <w:t xml:space="preserve"> As a consequence, conclusions might be difficult to draw after one year.</w:t>
      </w:r>
    </w:p>
    <w:p w14:paraId="02795FF6" w14:textId="2D0D0875" w:rsidR="00BE3BFE" w:rsidRPr="00BE3BFE" w:rsidRDefault="00D8004B" w:rsidP="00BE3BFE">
      <w:pPr>
        <w:spacing w:line="480" w:lineRule="auto"/>
        <w:jc w:val="both"/>
        <w:rPr>
          <w:rStyle w:val="Ninguno"/>
          <w:rFonts w:ascii="Times New Roman" w:hAnsi="Times New Roman" w:cs="Times New Roman"/>
          <w:lang w:val="en-GB"/>
        </w:rPr>
      </w:pPr>
      <w:r w:rsidRPr="00BE3BFE">
        <w:rPr>
          <w:rFonts w:ascii="Times New Roman" w:hAnsi="Times New Roman" w:cs="Times New Roman"/>
          <w:lang w:val="en-GB"/>
        </w:rPr>
        <w:t>Incremental cost-utility ratios for the main analyses and the sensitivity analyses at both follow-up points are below the recently published limits for Spain (20,000€-25,000€/QALY)</w:t>
      </w:r>
      <w:r w:rsidR="006B7A9E">
        <w:rPr>
          <w:rFonts w:ascii="Times New Roman" w:hAnsi="Times New Roman" w:cs="Times New Roman"/>
          <w:lang w:val="en-GB"/>
        </w:rPr>
        <w:t xml:space="preserve"> </w:t>
      </w:r>
      <w:r>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"author" : [ { "dropping-particle" : "", "family" : "Vallejo-Torres", "given" : "L", "non-dropping-particle" : "", "parse-names" : false, "suffix" : "" }, { "dropping-particle" : "", "family" : "Garc\u00eda-Lorenzo", "given" : "B", "non-dropping-particle" : "", "parse-names" : false, "suffix" : "" }, { "dropping-particle" : "", "family" : "Castilla", "given" : "I", "non-dropping-particle" : "", "parse-names" : false, "suffix" : "" }, { "dropping-particle" : "", "family" : "Valc\u00e1rcel Nazco", "given" : "C", "non-dropping-particle" : "", "parse-names" : false, "suffix" : "" }, { "dropping-particle" : "", "family" : "Garc\u00eda-P\u00e9rez", "given" : "L", "non-dropping-particle" : "", "parse-names" : false, "suffix" : "" }, { "dropping-particle" : "", "family" : "Linertov\u00e1", "given" : "R", "non-dropping-particle" : "", "parse-names" : false, "suffix" : "" }, { "dropping-particle" : "", "family" : "Serrano-Aguilar", "given" : "P", "non-dropping-particle" : "", "parse-names" : false, "suffix" : "" } ], "id" : "ITEM-1", "issued" : { "date-parts" : [ [ "2015" ] ] }, "title" : "Valor Monetario de un A\u00f1o de Vida Ajustado por Calidad: Estimaci\u00f3n emp\u00edrica del coste de oportunidad en el Sistema Nacional de Salud.", "type" : "report" }, "uris" : [ "http://www.mendeley.com/documents/?uuid=9286c00b-aeee-49b1-9235-e3253e60bad7" ] } ], "mendeley" : { "formattedCitation" : "[32]", "plainTextFormattedCitation" : "[32]", "previouslyFormattedCitation" : "&lt;sup&gt;32&lt;/sup&gt;" }, "properties" : { "noteIndex" : 0 }, "schema" : "https://github.com/citation-style-language/schema/raw/master/csl-citation.json" }</w:instrText>
      </w:r>
      <w:r>
        <w:rPr>
          <w:rFonts w:ascii="Times New Roman" w:hAnsi="Times New Roman" w:cs="Times New Roman"/>
          <w:lang w:val="en-GB"/>
        </w:rPr>
        <w:fldChar w:fldCharType="separate"/>
      </w:r>
      <w:r w:rsidR="006B7A9E" w:rsidRPr="006B7A9E">
        <w:rPr>
          <w:rFonts w:ascii="Times New Roman" w:hAnsi="Times New Roman" w:cs="Times New Roman"/>
          <w:noProof/>
          <w:lang w:val="en-GB"/>
        </w:rPr>
        <w:t>[32]</w:t>
      </w:r>
      <w:r>
        <w:rPr>
          <w:rFonts w:ascii="Times New Roman" w:hAnsi="Times New Roman" w:cs="Times New Roman"/>
          <w:lang w:val="en-GB"/>
        </w:rPr>
        <w:fldChar w:fldCharType="end"/>
      </w:r>
      <w:r w:rsidRPr="00BE3BFE">
        <w:rPr>
          <w:rFonts w:ascii="Times New Roman" w:hAnsi="Times New Roman" w:cs="Times New Roman"/>
          <w:lang w:val="en-GB"/>
        </w:rPr>
        <w:t xml:space="preserve"> and well below values in other European countries</w:t>
      </w:r>
      <w:r w:rsidR="006B7A9E">
        <w:rPr>
          <w:rFonts w:ascii="Times New Roman" w:hAnsi="Times New Roman" w:cs="Times New Roman"/>
          <w:lang w:val="en-GB"/>
        </w:rPr>
        <w:t xml:space="preserve"> </w:t>
      </w:r>
      <w:r>
        <w:rPr>
          <w:rFonts w:ascii="Times New Roman" w:hAnsi="Times New Roman" w:cs="Times New Roman"/>
          <w:lang w:val="en-GB"/>
        </w:rPr>
        <w:fldChar w:fldCharType="begin" w:fldLock="1"/>
      </w:r>
      <w:r w:rsidR="006B7A9E">
        <w:rPr>
          <w:rFonts w:ascii="Times New Roman" w:hAnsi="Times New Roman" w:cs="Times New Roman"/>
          <w:lang w:val="en-GB"/>
        </w:rPr>
        <w:instrText>ADDIN CSL_CITATION { "citationItems" : [ { "id" : "ITEM-1", "itemData" : { "DOI" : "10.1002/hec.1481", "ISSN" : "10579230", "author" : [ { "dropping-particle" : "", "family" : "Shiroiwa", "given" : "Takeru", "non-dropping-particle" : "", "parse-names" : false, "suffix" : "" }, { "dropping-particle" : "", "family" : "Sung", "given" : "Yoon-Kyoung", "non-dropping-particle" : "", "parse-names" : false, "suffix" : "" }, { "dropping-particle" : "", "family" : "Fukuda", "given" : "Takashi", "non-dropping-particle" : "", "parse-names" : false, "suffix" : "" }, { "dropping-particle" : "", "family" : "Lang", "given" : "Hui-Chu", "non-dropping-particle" : "", "parse-names" : false, "suffix" : "" }, { "dropping-particle" : "", "family" : "Bae", "given" : "Sang-Cheol", "non-dropping-particle" : "", "parse-names" : false, "suffix" : "" }, { "dropping-particle" : "", "family" : "Tsutani", "given" : "Kiichiro", "non-dropping-particle" : "", "parse-names" : false, "suffix" : "" } ], "container-title" : "Health Economics", "id" : "ITEM-1", "issue" : "4", "issued" : { "date-parts" : [ [ "2010", "4" ] ] }, "page" : "422-437", "title" : "International survey on willingness-to-pay (WTP) for one additional QALY gained: what is the threshold of cost effectiveness?", "type" : "article-journal", "volume" : "19" }, "uris" : [ "http://www.mendeley.com/documents/?uuid=e40a324f-d45e-3766-91a4-0309c1efe5c2" ] } ], "mendeley" : { "formattedCitation" : "[33]", "plainTextFormattedCitation" : "[33]", "previouslyFormattedCitation" : "&lt;sup&gt;33&lt;/sup&gt;" }, "properties" : { "noteIndex" : 0 }, "schema" : "https://github.com/citation-style-language/schema/raw/master/csl-citation.json" }</w:instrText>
      </w:r>
      <w:r>
        <w:rPr>
          <w:rFonts w:ascii="Times New Roman" w:hAnsi="Times New Roman" w:cs="Times New Roman"/>
          <w:lang w:val="en-GB"/>
        </w:rPr>
        <w:fldChar w:fldCharType="separate"/>
      </w:r>
      <w:r w:rsidR="006B7A9E" w:rsidRPr="006B7A9E">
        <w:rPr>
          <w:rFonts w:ascii="Times New Roman" w:hAnsi="Times New Roman" w:cs="Times New Roman"/>
          <w:noProof/>
          <w:lang w:val="en-GB"/>
        </w:rPr>
        <w:t>[33]</w:t>
      </w:r>
      <w:r>
        <w:rPr>
          <w:rFonts w:ascii="Times New Roman" w:hAnsi="Times New Roman" w:cs="Times New Roman"/>
          <w:lang w:val="en-GB"/>
        </w:rPr>
        <w:fldChar w:fldCharType="end"/>
      </w:r>
      <w:r w:rsidR="006B7A9E">
        <w:rPr>
          <w:rFonts w:ascii="Times New Roman" w:hAnsi="Times New Roman" w:cs="Times New Roman"/>
          <w:lang w:val="en-GB"/>
        </w:rPr>
        <w:t>.</w:t>
      </w:r>
      <w:r>
        <w:rPr>
          <w:rFonts w:ascii="Times New Roman" w:hAnsi="Times New Roman" w:cs="Times New Roman"/>
          <w:lang w:val="en-GB"/>
        </w:rPr>
        <w:t xml:space="preserve"> </w:t>
      </w:r>
      <w:r w:rsidRPr="00BE3BFE">
        <w:rPr>
          <w:rStyle w:val="Ninguno"/>
          <w:rFonts w:ascii="Times New Roman" w:hAnsi="Times New Roman" w:cs="Times New Roman"/>
          <w:lang w:val="en-GB"/>
        </w:rPr>
        <w:t xml:space="preserve">Although the aim of this study was to shed light on whether </w:t>
      </w:r>
      <w:r>
        <w:rPr>
          <w:rStyle w:val="Ninguno"/>
          <w:rFonts w:ascii="Times New Roman" w:hAnsi="Times New Roman" w:cs="Times New Roman"/>
          <w:lang w:val="en-GB"/>
        </w:rPr>
        <w:t>AM</w:t>
      </w:r>
      <w:r w:rsidRPr="00BE3BFE">
        <w:rPr>
          <w:rStyle w:val="Ninguno"/>
          <w:rFonts w:ascii="Times New Roman" w:hAnsi="Times New Roman" w:cs="Times New Roman"/>
          <w:lang w:val="en-GB"/>
        </w:rPr>
        <w:t xml:space="preserve"> in mild-moderate MDD could be a feasible and cost-effective alternative to pharmacological interventions in current PC practice, the results are inconclusive and difficult to interpret. </w:t>
      </w:r>
      <w:r w:rsidR="00BE3BFE" w:rsidRPr="00BE3BFE">
        <w:rPr>
          <w:rStyle w:val="Ninguno"/>
          <w:rFonts w:ascii="Times New Roman" w:hAnsi="Times New Roman" w:cs="Times New Roman"/>
          <w:lang w:val="en-GB"/>
        </w:rPr>
        <w:t xml:space="preserve">Literature from other European countries also underlines difficulties in supporting a full </w:t>
      </w:r>
      <w:r w:rsidR="00B20112">
        <w:rPr>
          <w:rStyle w:val="Ninguno"/>
          <w:rFonts w:ascii="Times New Roman" w:hAnsi="Times New Roman" w:cs="Times New Roman"/>
          <w:lang w:val="en-GB"/>
        </w:rPr>
        <w:t>AM</w:t>
      </w:r>
      <w:r w:rsidR="00BE3BFE" w:rsidRPr="00BE3BFE">
        <w:rPr>
          <w:rStyle w:val="Ninguno"/>
          <w:rFonts w:ascii="Times New Roman" w:hAnsi="Times New Roman" w:cs="Times New Roman"/>
          <w:lang w:val="en-GB"/>
        </w:rPr>
        <w:t xml:space="preserve"> approach for the treatment of mild- to-moderate MDD. The THREAD study</w:t>
      </w:r>
      <w:r w:rsidR="006B7A9E">
        <w:rPr>
          <w:rStyle w:val="Ninguno"/>
          <w:rFonts w:ascii="Times New Roman" w:hAnsi="Times New Roman" w:cs="Times New Roman"/>
          <w:lang w:val="en-GB"/>
        </w:rPr>
        <w:t xml:space="preserve"> </w:t>
      </w:r>
      <w:r w:rsidR="00507A52">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"DOI" : "10.3310/hta13220", "author" : [ { "dropping-particle" : "", "family" : "Kendrick", "given" : "T", "non-dropping-particle" : "", "parse-names" : false, "suffix" : "" }, { "dropping-particle" : "", "family" : "Chatwin", "given" : "J", "non-dropping-particle" : "", "parse-names" : false, "suffix" : "" }, { "dropping-particle" : "", "family" : "Dowrick", "given" : "C", "non-dropping-particle" : "", "parse-names" : false, "suffix" : "" }, { "dropping-particle" : "", "family" : "Tylee", "given" : "A", "non-dropping-particle" : "", "parse-names" : false, "suffix" : "" }, { "dropping-particle" : "", "family" : "Morriss", "given" : "R", "non-dropping-particle" : "", "parse-names" : false, "suffix" : "" }, { "dropping-particle" : "", "family" : "Peveler", "given" : "R", "non-dropping-particle" : "", "parse-names" : false, "suffix" : "" }, { "dropping-particle" : "", "family" : "Leese", "given" : "M", "non-dropping-particle" : "", "parse-names" : false, "suffix" : "" }, { "dropping-particle" : "", "family" : "McCrone", "given" : "P", "non-dropping-particle" : "", "parse-names" : false, "suffix" : "" }, { "dropping-particle" : "", "family" : "Harris", "given" : "T", "non-dropping-particle" : "", "parse-names" : false, "suffix" : "" }, { "dropping-particle" : "", "family" : "Moore", "given" : "M", "non-dropping-particle" : "", "parse-names" : false, "suffix" : "" }, { "dropping-particle" : "", "family" : "Byng", "given" : "R", "non-dropping-particle" : "", "parse-names" : false, "suffix" : "" }, { "dropping-particle" : "", "family" : "Brown", "given" : "G", "non-dropping-particle" : "", "parse-names" : false, "suffix" : "" }, { "dropping-particle" : "", "family" : "Barthel", "given" : "S", "non-dropping-particle" : "", "parse-names" : false, "suffix" : "" }, { "dropping-particle" : "", "family" : "Mander", "given" : "H", "non-dropping-particle" : "", "parse-names" : false, "suffix" : "" }, { "dropping-particle" : "", "family" : "Ring", "given" : "A", "non-dropping-particle" : "", "parse-names" : false, "suffix" : "" }, { "dropping-particle" : "", "family" : "Kelly", "given" : "V", "non-dropping-particle" : "", "parse-names" : false, "suffix" : "" }, { "dropping-particle" : "", "family" : "Wallace", "given" : "V", "non-dropping-particle" : "", "parse-names" : false, "suffix" : "" }, { "dropping-particle" : "", "family" : "Gabbay", "given" : "M", "non-dropping-particle" : "", "parse-names" : false, "suffix" : "" }, { "dropping-particle" : "", "family" : "Craig", "given" : "T", "non-dropping-particle" : "", "parse-names" : false, "suffix" : "" }, { "dropping-particle" : "", "family" : "Mann", "given" : "A", "non-dropping-particle" : "", "parse-names" : false, "suffix" : "" } ], "container-title" : "Health technology assessment (Winchester, England)", "id" : "ITEM-1", "issue" : "22", "issued" : { "date-parts" : [ [ "2009" ] ] }, "note" : "Leese, Morven/E-4195-2010; Tylee, Andre/D-8468-2010\n0", "page" : "iii-iv, ix-xi, 1-159", "title" : "Randomised controlled trial to determine the clinical effectiveness and cost-effectiveness of selective serotonin reuptake inhibitors plus supportive care, versus supportive care alone, for mild to moderate depression with somatic symptoms in primary care", "type" : "article-journal", "volume" : "13" }, "uris" : [ "http://www.mendeley.com/documents/?uuid=cce26339-eaae-4a01-a72b-6679b354a6ce" ] } ], "mendeley" : { "formattedCitation" : "[13]", "plainTextFormattedCitation" : "[13]", "previouslyFormattedCitation" : "&lt;sup&gt;13&lt;/sup&gt;" }, "properties" : { "noteIndex" : 0 }, "schema" : "https://github.com/citation-style-language/schema/raw/master/csl-citation.json" }</w:instrText>
      </w:r>
      <w:r w:rsidR="00507A52">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[13]</w:t>
      </w:r>
      <w:r w:rsidR="00507A52">
        <w:rPr>
          <w:rStyle w:val="Ninguno"/>
          <w:rFonts w:ascii="Times New Roman" w:hAnsi="Times New Roman" w:cs="Times New Roman"/>
          <w:lang w:val="en-GB"/>
        </w:rPr>
        <w:fldChar w:fldCharType="end"/>
      </w:r>
      <w:r w:rsidR="00BE3BFE" w:rsidRPr="00BE3BFE">
        <w:rPr>
          <w:rStyle w:val="Ninguno"/>
          <w:rFonts w:ascii="Times New Roman" w:hAnsi="Times New Roman" w:cs="Times New Roman"/>
          <w:lang w:val="en-GB"/>
        </w:rPr>
        <w:t xml:space="preserve"> claimed that adding an antidepressant seemed to be more efficient although they only followed patients up for 6 months and the probability of the intervention being cost-effective dropped from 3 to 6 months, when it </w:t>
      </w:r>
      <w:r w:rsidR="00BE3BFE" w:rsidRPr="00BE3BFE">
        <w:rPr>
          <w:rFonts w:ascii="Times New Roman" w:hAnsi="Times New Roman" w:cs="Times New Roman"/>
          <w:color w:val="000000"/>
          <w:shd w:val="clear" w:color="auto" w:fill="FFFFFF"/>
          <w:lang w:val="en-GB"/>
        </w:rPr>
        <w:t xml:space="preserve">was only 75% for a WTP of £30,000 per QALY. </w:t>
      </w:r>
      <w:r w:rsidR="00BE3BFE" w:rsidRPr="00BE3BFE">
        <w:rPr>
          <w:rStyle w:val="Ninguno"/>
          <w:rFonts w:ascii="Times New Roman" w:hAnsi="Times New Roman" w:cs="Times New Roman"/>
          <w:lang w:val="en-GB"/>
        </w:rPr>
        <w:t>Bosmans et al. 2008 followed up 89 patients for 12 months and found no differences between patients in the antidepressants group and the non-pharmacological group. However, they pointed out that the limited sample size and drop-outs could have limited their capacity to detect differences</w:t>
      </w:r>
      <w:r w:rsidR="006B7A9E">
        <w:rPr>
          <w:rStyle w:val="Ninguno"/>
          <w:rFonts w:ascii="Times New Roman" w:hAnsi="Times New Roman" w:cs="Times New Roman"/>
          <w:lang w:val="en-GB"/>
        </w:rPr>
        <w:t xml:space="preserve"> </w:t>
      </w:r>
      <w:r w:rsidR="00507A52">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"PMID" : "18342952", "abstract" : "Background: Minor depression is common in primary care and associated with increased health care costs. Many mildly depressed patients are prescribed antidepressants, although there is insufficient information on the cost-effectiveness of antidepressants for these patients. The objective of this study was to evaluate whether usual care without antidepressants is equivalent to (i.e. as effective as and as expensive as) usual care with antidepressants in patients with minor or mild-major depression. Methods: Severity of depression was measured using the Montgomery Asberg Depression Rating Scale (MADRS) and quality-adjusted life-years (QALYs) using the EuroQol. Resource use was measured from a societal perspective using cost diaries. Bootstrapping was used to analyze the cost-effectiveness data. Results: Equivalence could not be shown for improvement in MADRS score or QALYs gained at 52??weeks. The mean (95% CI) difference in total costs between usual care without antidepressants and usual care with antidepressants was - ???751 (- 3601; 1522). Using an equivalence margin of ???500 equivalence in costs could not be shown. In the cost-effectiveness analyses equivalence also could not be shown. Limitations: This study was underpowered for economic outcomes. Another limitation was the loss-to-follow-up. Conclusions: Although equivalence could not be shown in the costs and cost-effectiveness analyses, 95% confidence intervals also did not show that usual care without antidepressants was vastly superior or inferior to usual care with antidepressants. Therefore, we recommend general practitioners to show restraint when prescribing antidepressants to mildly depressed patients. ?? 2008 Elsevier B.V. All rights reserved.", "author" : [ { "dropping-particle" : "", "family" : "Bosmans", "given" : "Judith E.", "non-dropping-particle" : "", "parse-names" : false, "suffix" : "" }, { "dropping-particle" : "", "family" : "Hermens", "given" : "M. L M", "non-dropping-particle" : "", "parse-names" : false, "suffix" : "" }, { "dropping-particle" : "", "family" : "Bruijne", "given" : "Martine C.", "non-dropping-particle" : "de", "parse-names" : false, "suffix" : "" }, { "dropping-particle" : "", "family" : "Hout", "given" : "H. P J", "non-dropping-particle" : "van", "parse-names" : false, "suffix" : "" }, { "dropping-particle" : "", "family" : "Terluin", "given" : "Berend", "non-dropping-particle" : "", "parse-names" : false, "suffix" : "" }, { "dropping-particle" : "", "family" : "Bouter", "given" : "Lex M.", "non-dropping-particle" : "", "parse-names" : false, "suffix" : "" }, { "dropping-particle" : "", "family" : "Stalman", "given" : "W. A B", "non-dropping-particle" : "", "parse-names" : false, "suffix" : "" }, { "dropping-particle" : "", "family" : "Tulder", "given" : "Maurits W.", "non-dropping-particle" : "van", "parse-names" : false, "suffix" : "" } ], "container-title" : "Journal of Affective Disorders", "id" : "ITEM-1", "issue" : "1", "issued" : { "date-parts" : [ [ "2008" ] ] }, "page" : "106-112", "title" : "Cost-effectiveness of usual general practitioner care with or without antidepressant medication for patients with minor or mild-major depression", "type" : "article-journal", "volume" : "111" }, "uris" : [ "http://www.mendeley.com/documents/?uuid=15694c84-e69b-4903-b01a-1bd5c1f3eae5" ] } ], "mendeley" : { "formattedCitation" : "[12]", "plainTextFormattedCitation" : "[12]", "previouslyFormattedCitation" : "&lt;sup&gt;12&lt;/sup&gt;" }, "properties" : { "noteIndex" : 0 }, "schema" : "https://github.com/citation-style-language/schema/raw/master/csl-citation.json" }</w:instrText>
      </w:r>
      <w:r w:rsidR="00507A52">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[12]</w:t>
      </w:r>
      <w:r w:rsidR="00507A52">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p>
    <w:p w14:paraId="056311E6" w14:textId="4EEA6412" w:rsidR="00BE3BFE" w:rsidRPr="00BE3BFE" w:rsidRDefault="00E91738" w:rsidP="00BE3BFE">
      <w:pPr>
        <w:spacing w:line="480" w:lineRule="auto"/>
        <w:jc w:val="both"/>
        <w:rPr>
          <w:rFonts w:ascii="Times New Roman" w:hAnsi="Times New Roman" w:cs="Times New Roman"/>
          <w:lang w:val="en-GB"/>
        </w:rPr>
      </w:pPr>
      <w:r w:rsidRPr="008F6976">
        <w:rPr>
          <w:rStyle w:val="Ninguno"/>
          <w:rFonts w:ascii="Times New Roman" w:hAnsi="Times New Roman" w:cs="Times New Roman"/>
          <w:lang w:val="en-GB"/>
        </w:rPr>
        <w:t xml:space="preserve">The sensitivity analyses showed small variations in the results. In all cases, the results favoured antidepressants, with ICUR below the willingness to pay threshold in Spain (25000 €/QALY) in all the sensitivity analysis with the exception of the one that used the average absenteeism salary for sick leave (ICUR = 27092 €/QALY). </w:t>
      </w:r>
      <w:r w:rsidR="00BE3BFE" w:rsidRPr="00BE3BFE">
        <w:rPr>
          <w:rStyle w:val="Ninguno"/>
          <w:rFonts w:ascii="Times New Roman" w:hAnsi="Times New Roman" w:cs="Times New Roman"/>
          <w:lang w:val="en-GB"/>
        </w:rPr>
        <w:t xml:space="preserve">The antidepressants groups dominated the </w:t>
      </w:r>
      <w:r w:rsidR="00B20112">
        <w:rPr>
          <w:rStyle w:val="Ninguno"/>
          <w:rFonts w:ascii="Times New Roman" w:hAnsi="Times New Roman" w:cs="Times New Roman"/>
          <w:lang w:val="en-GB"/>
        </w:rPr>
        <w:t>AM</w:t>
      </w:r>
      <w:r w:rsidR="00BE3BFE" w:rsidRPr="00BE3BFE">
        <w:rPr>
          <w:rStyle w:val="Ninguno"/>
          <w:rFonts w:ascii="Times New Roman" w:hAnsi="Times New Roman" w:cs="Times New Roman"/>
          <w:lang w:val="en-GB"/>
        </w:rPr>
        <w:t xml:space="preserve"> approach in the </w:t>
      </w:r>
      <w:r w:rsidR="00F76044">
        <w:rPr>
          <w:rStyle w:val="Ninguno"/>
          <w:rFonts w:ascii="Times New Roman" w:hAnsi="Times New Roman" w:cs="Times New Roman"/>
          <w:lang w:val="en-GB"/>
        </w:rPr>
        <w:t>PP</w:t>
      </w:r>
      <w:r w:rsidR="00BE3BFE" w:rsidRPr="00BE3BFE">
        <w:rPr>
          <w:rStyle w:val="Ninguno"/>
          <w:rFonts w:ascii="Times New Roman" w:hAnsi="Times New Roman" w:cs="Times New Roman"/>
          <w:lang w:val="en-GB"/>
        </w:rPr>
        <w:t xml:space="preserve"> analysis and when patients with MDD according to DSM-IV criteria were examined. Although conclusions should be considered with caution, mainly due to limited sample size and follow-up duration, it seems that patients meeting diagnostic criteria for MDD and those who adhere to the interventions have a better response to the pharmacological treatment. It is increasingly recognized that the majority of patients who attend a PC practice present sub-threshold depressive symptoms, which do not meet the full diagnostic criteria for MDD but can be very disabling with respect to everyday life functionality</w:t>
      </w:r>
      <w:r w:rsidR="006B7A9E">
        <w:rPr>
          <w:rStyle w:val="Ninguno"/>
          <w:rFonts w:ascii="Times New Roman" w:hAnsi="Times New Roman" w:cs="Times New Roman"/>
          <w:lang w:val="en-GB"/>
        </w:rPr>
        <w:t xml:space="preserve"> </w:t>
      </w:r>
      <w:r w:rsidR="00507A52">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"author" : [ { "dropping-particle" : "", "family" : "Anderson, I., Pilling, S., Barnes, A., Bayliss, L., Bird, V., Burbeck, R., Chew-Graham, C., Clarke, J., Dyer, M., Flanagan, E., Harris, C., Hopkins, S., Kenwright, M., Kuyken, W., Lewis, A., Lewis, G., Li, R., Masterson, B., Meader, N., Meudell, A., Mitch", "given" : "J.", "non-dropping-particle" : "", "parse-names" : false, "suffix" : "" } ], "container-title" : "Clinical guideline of depression in adult", "id" : "ITEM-1", "issue" : "October", "issued" : { "date-parts" : [ [ "2009" ] ] }, "page" : "63", "title" : "Depression in adults : recognition and management", "type" : "article-journal" }, "uris" : [ "http://www.mendeley.com/documents/?uuid=1ea371fe-6205-40d6-9267-20c2dd7b3d3d", "http://www.mendeley.com/documents/?uuid=778b24c8-67e8-4133-8c33-f1893cbc5954", "http://www.mendeley.com/documents/?uuid=658323b4-09a8-4812-b4b8-f99c01b1d3ae" ] } ], "mendeley" : { "formattedCitation" : "[1]", "plainTextFormattedCitation" : "[1]", "previouslyFormattedCitation" : "&lt;sup&gt;1&lt;/sup&gt;" }, "properties" : { "noteIndex" : 0 }, "schema" : "https://github.com/citation-style-language/schema/raw/master/csl-citation.json" }</w:instrText>
      </w:r>
      <w:r w:rsidR="00507A52">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[1]</w:t>
      </w:r>
      <w:r w:rsidR="00507A52">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r w:rsidR="00E4598C">
        <w:rPr>
          <w:rStyle w:val="Ninguno"/>
          <w:rFonts w:ascii="Times New Roman" w:hAnsi="Times New Roman" w:cs="Times New Roman"/>
          <w:lang w:val="en-GB"/>
        </w:rPr>
        <w:t xml:space="preserve"> </w:t>
      </w:r>
      <w:r w:rsidR="00BE3BFE" w:rsidRPr="00BE3BFE">
        <w:rPr>
          <w:rStyle w:val="Ninguno"/>
          <w:rFonts w:ascii="Times New Roman" w:hAnsi="Times New Roman" w:cs="Times New Roman"/>
          <w:lang w:val="en-GB"/>
        </w:rPr>
        <w:t xml:space="preserve">As a consequence, and bearing </w:t>
      </w:r>
      <w:r w:rsidR="00BE3BFE" w:rsidRPr="00BE3BFE">
        <w:rPr>
          <w:rStyle w:val="Ninguno"/>
          <w:rFonts w:ascii="Times New Roman" w:hAnsi="Times New Roman" w:cs="Times New Roman"/>
          <w:lang w:val="en-GB"/>
        </w:rPr>
        <w:lastRenderedPageBreak/>
        <w:t>in mind the naturalistic aim of the study, these results must be interpreted carefully when choosing the best treatment approach for depressed patients in a PC setting. Sensitivity analyses of this type were not conducted in previous studies and need to be explored in the future.</w:t>
      </w:r>
    </w:p>
    <w:p w14:paraId="44B25A81" w14:textId="77777777" w:rsidR="00BE3BFE" w:rsidRPr="00F76044" w:rsidRDefault="00BE3BFE" w:rsidP="00F76044">
      <w:pPr>
        <w:spacing w:line="480" w:lineRule="auto"/>
        <w:rPr>
          <w:i/>
        </w:rPr>
      </w:pPr>
      <w:r w:rsidRPr="00F76044">
        <w:rPr>
          <w:i/>
        </w:rPr>
        <w:t>Strengths and limitations</w:t>
      </w:r>
    </w:p>
    <w:p w14:paraId="1A67F196" w14:textId="5AB5DDF8" w:rsidR="00F76044" w:rsidRDefault="00BE3BFE" w:rsidP="00BE3BFE">
      <w:pPr>
        <w:spacing w:line="480" w:lineRule="auto"/>
        <w:jc w:val="both"/>
        <w:rPr>
          <w:rStyle w:val="Ninguno"/>
          <w:rFonts w:ascii="Times New Roman" w:hAnsi="Times New Roman" w:cs="Times New Roman"/>
          <w:lang w:val="en-GB"/>
        </w:rPr>
      </w:pPr>
      <w:r w:rsidRPr="00BE3BFE">
        <w:rPr>
          <w:rStyle w:val="Ninguno"/>
          <w:rFonts w:ascii="Times New Roman" w:hAnsi="Times New Roman" w:cs="Times New Roman"/>
          <w:u w:color="0070C0"/>
          <w:lang w:val="en-GB"/>
        </w:rPr>
        <w:t xml:space="preserve">This is the study with the largest sample size and longest follow-up period to compare the cost-effectiveness of antidepressants and </w:t>
      </w:r>
      <w:r w:rsidR="00B20112">
        <w:rPr>
          <w:rStyle w:val="Ninguno"/>
          <w:rFonts w:ascii="Times New Roman" w:hAnsi="Times New Roman" w:cs="Times New Roman"/>
          <w:u w:color="0070C0"/>
          <w:lang w:val="en-GB"/>
        </w:rPr>
        <w:t>AM</w:t>
      </w:r>
      <w:r w:rsidR="008A258A">
        <w:rPr>
          <w:rStyle w:val="Ninguno"/>
          <w:rFonts w:ascii="Times New Roman" w:hAnsi="Times New Roman" w:cs="Times New Roman"/>
          <w:u w:color="0070C0"/>
          <w:lang w:val="en-GB"/>
        </w:rPr>
        <w:t xml:space="preserve"> [29, 30]</w:t>
      </w:r>
      <w:r w:rsidRPr="00BE3BFE">
        <w:rPr>
          <w:rStyle w:val="Ninguno"/>
          <w:rFonts w:ascii="Times New Roman" w:hAnsi="Times New Roman" w:cs="Times New Roman"/>
          <w:u w:color="0070C0"/>
          <w:lang w:val="en-GB"/>
        </w:rPr>
        <w:t xml:space="preserve">. </w:t>
      </w:r>
      <w:r w:rsidR="00F76044" w:rsidRPr="00F76044">
        <w:rPr>
          <w:rStyle w:val="Ninguno"/>
          <w:rFonts w:ascii="Times New Roman" w:hAnsi="Times New Roman" w:cs="Times New Roman"/>
          <w:lang w:val="en-GB"/>
        </w:rPr>
        <w:t xml:space="preserve"> </w:t>
      </w:r>
      <w:r w:rsidR="00F76044">
        <w:rPr>
          <w:rStyle w:val="Ninguno"/>
          <w:rFonts w:ascii="Times New Roman" w:hAnsi="Times New Roman" w:cs="Times New Roman"/>
          <w:lang w:val="en-GB"/>
        </w:rPr>
        <w:t>Furthermore</w:t>
      </w:r>
      <w:r w:rsidR="00F76044" w:rsidRPr="00BE3BFE">
        <w:rPr>
          <w:rStyle w:val="Ninguno"/>
          <w:rFonts w:ascii="Times New Roman" w:hAnsi="Times New Roman" w:cs="Times New Roman"/>
          <w:lang w:val="en-GB"/>
        </w:rPr>
        <w:t>, the naturalistic aim of the study and the participation of PCHCs from very different parts of the city and surroundings areas of Barcelona increase the external validity of the results.</w:t>
      </w:r>
      <w:r w:rsidR="00F76044">
        <w:rPr>
          <w:rStyle w:val="Ninguno"/>
          <w:rFonts w:ascii="Times New Roman" w:hAnsi="Times New Roman" w:cs="Times New Roman"/>
          <w:lang w:val="en-GB"/>
        </w:rPr>
        <w:t xml:space="preserve"> </w:t>
      </w:r>
      <w:r w:rsidRPr="00BE3BFE">
        <w:rPr>
          <w:rStyle w:val="Ninguno"/>
          <w:rFonts w:ascii="Times New Roman" w:hAnsi="Times New Roman" w:cs="Times New Roman"/>
          <w:u w:color="0070C0"/>
          <w:lang w:val="en-GB"/>
        </w:rPr>
        <w:t>However, t</w:t>
      </w:r>
      <w:r w:rsidRPr="00BE3BFE">
        <w:rPr>
          <w:rStyle w:val="Ninguno"/>
          <w:rFonts w:ascii="Times New Roman" w:hAnsi="Times New Roman" w:cs="Times New Roman"/>
          <w:lang w:val="en-GB"/>
        </w:rPr>
        <w:t xml:space="preserve">he study has a series of limitations that must be considered when interpreting its results. </w:t>
      </w:r>
      <w:r w:rsidR="000324E0">
        <w:rPr>
          <w:rStyle w:val="Ninguno"/>
          <w:rFonts w:ascii="Times New Roman" w:hAnsi="Times New Roman" w:cs="Times New Roman"/>
          <w:lang w:val="en-GB"/>
        </w:rPr>
        <w:t xml:space="preserve">Although this was the study with the largest sample size evaluating this topic, it may have been underpowered to detect differences in cost-effectiveness. </w:t>
      </w:r>
      <w:r w:rsidRPr="00BE3BFE">
        <w:rPr>
          <w:rStyle w:val="Ninguno"/>
          <w:rFonts w:ascii="Times New Roman" w:hAnsi="Times New Roman" w:cs="Times New Roman"/>
          <w:lang w:val="en-GB"/>
        </w:rPr>
        <w:t>The naturalistic nature of the study implies the use of wide inclusion criteria, non-randomized group assignment and lack of blinding for physicians and participants and could have introduced bias.</w:t>
      </w:r>
      <w:r w:rsidR="00480840">
        <w:rPr>
          <w:rStyle w:val="Ninguno"/>
          <w:rFonts w:ascii="Times New Roman" w:hAnsi="Times New Roman" w:cs="Times New Roman"/>
          <w:lang w:val="en-GB"/>
        </w:rPr>
        <w:t xml:space="preserve"> I</w:t>
      </w:r>
      <w:r w:rsidRPr="00BE3BFE">
        <w:rPr>
          <w:rStyle w:val="Ninguno"/>
          <w:rFonts w:ascii="Times New Roman" w:hAnsi="Times New Roman" w:cs="Times New Roman"/>
          <w:lang w:val="en-GB"/>
        </w:rPr>
        <w:t xml:space="preserve">t </w:t>
      </w:r>
      <w:r w:rsidR="00480840">
        <w:rPr>
          <w:rStyle w:val="Ninguno"/>
          <w:rFonts w:ascii="Times New Roman" w:hAnsi="Times New Roman" w:cs="Times New Roman"/>
          <w:lang w:val="en-GB"/>
        </w:rPr>
        <w:t>seems</w:t>
      </w:r>
      <w:r w:rsidR="00480840" w:rsidRPr="00BE3BFE">
        <w:rPr>
          <w:rStyle w:val="Ninguno"/>
          <w:rFonts w:ascii="Times New Roman" w:hAnsi="Times New Roman" w:cs="Times New Roman"/>
          <w:lang w:val="en-GB"/>
        </w:rPr>
        <w:t xml:space="preserve"> </w:t>
      </w:r>
      <w:r w:rsidR="00480840">
        <w:rPr>
          <w:rStyle w:val="Ninguno"/>
          <w:rFonts w:ascii="Times New Roman" w:hAnsi="Times New Roman" w:cs="Times New Roman"/>
          <w:lang w:val="en-GB"/>
        </w:rPr>
        <w:t xml:space="preserve">likely </w:t>
      </w:r>
      <w:r w:rsidRPr="00BE3BFE">
        <w:rPr>
          <w:rStyle w:val="Ninguno"/>
          <w:rFonts w:ascii="Times New Roman" w:hAnsi="Times New Roman" w:cs="Times New Roman"/>
          <w:lang w:val="en-GB"/>
        </w:rPr>
        <w:t xml:space="preserve">that </w:t>
      </w:r>
      <w:r w:rsidR="00E63695">
        <w:rPr>
          <w:rStyle w:val="Ninguno"/>
          <w:rFonts w:ascii="Times New Roman" w:hAnsi="Times New Roman" w:cs="Times New Roman"/>
          <w:lang w:val="en-GB"/>
        </w:rPr>
        <w:t>GP</w:t>
      </w:r>
      <w:r w:rsidR="00480840">
        <w:rPr>
          <w:rStyle w:val="Ninguno"/>
          <w:rFonts w:ascii="Times New Roman" w:hAnsi="Times New Roman" w:cs="Times New Roman"/>
          <w:lang w:val="en-GB"/>
        </w:rPr>
        <w:t>s</w:t>
      </w:r>
      <w:r w:rsidRPr="00BE3BFE">
        <w:rPr>
          <w:rStyle w:val="Ninguno"/>
          <w:rFonts w:ascii="Times New Roman" w:hAnsi="Times New Roman" w:cs="Times New Roman"/>
          <w:lang w:val="en-GB"/>
        </w:rPr>
        <w:t xml:space="preserve"> will allocate patients presenting more severe symptoms to the</w:t>
      </w:r>
      <w:r w:rsidR="003D171B">
        <w:rPr>
          <w:rStyle w:val="Ninguno"/>
          <w:rFonts w:ascii="Times New Roman" w:hAnsi="Times New Roman" w:cs="Times New Roman"/>
          <w:lang w:val="en-GB"/>
        </w:rPr>
        <w:t xml:space="preserve"> antidepressants arm, giving it more opportunities for improvement</w:t>
      </w:r>
      <w:r w:rsidR="00480840">
        <w:rPr>
          <w:rStyle w:val="Ninguno"/>
          <w:rFonts w:ascii="Times New Roman" w:hAnsi="Times New Roman" w:cs="Times New Roman"/>
          <w:lang w:val="en-GB"/>
        </w:rPr>
        <w:t xml:space="preserve">. </w:t>
      </w:r>
      <w:r w:rsidR="00561288">
        <w:rPr>
          <w:rStyle w:val="Ninguno"/>
          <w:rFonts w:ascii="Times New Roman" w:hAnsi="Times New Roman" w:cs="Times New Roman"/>
          <w:lang w:val="en-GB"/>
        </w:rPr>
        <w:t>T</w:t>
      </w:r>
      <w:r w:rsidRPr="00BE3BFE">
        <w:rPr>
          <w:rStyle w:val="Ninguno"/>
          <w:rFonts w:ascii="Times New Roman" w:hAnsi="Times New Roman" w:cs="Times New Roman"/>
          <w:lang w:val="en-GB"/>
        </w:rPr>
        <w:t xml:space="preserve">here were no statistically significant differences in the sociodemographic or clinical characteristics between </w:t>
      </w:r>
      <w:r w:rsidR="00480840">
        <w:rPr>
          <w:rStyle w:val="Ninguno"/>
          <w:rFonts w:ascii="Times New Roman" w:hAnsi="Times New Roman" w:cs="Times New Roman"/>
          <w:lang w:val="en-GB"/>
        </w:rPr>
        <w:t>the two treatment arms</w:t>
      </w:r>
      <w:r w:rsidRPr="00BE3BFE">
        <w:rPr>
          <w:rStyle w:val="Ninguno"/>
          <w:rFonts w:ascii="Times New Roman" w:hAnsi="Times New Roman" w:cs="Times New Roman"/>
          <w:lang w:val="en-GB"/>
        </w:rPr>
        <w:t xml:space="preserve"> with the exception of the presence of panic disorder, which was more frequent in the </w:t>
      </w:r>
      <w:r w:rsidR="00B20112">
        <w:rPr>
          <w:rStyle w:val="Ninguno"/>
          <w:rFonts w:ascii="Times New Roman" w:hAnsi="Times New Roman" w:cs="Times New Roman"/>
          <w:lang w:val="en-GB"/>
        </w:rPr>
        <w:t>AM</w:t>
      </w:r>
      <w:r w:rsidRPr="00BE3BFE">
        <w:rPr>
          <w:rStyle w:val="Ninguno"/>
          <w:rFonts w:ascii="Times New Roman" w:hAnsi="Times New Roman" w:cs="Times New Roman"/>
          <w:lang w:val="en-GB"/>
        </w:rPr>
        <w:t xml:space="preserve"> group, </w:t>
      </w:r>
      <w:r w:rsidR="005D74AF">
        <w:rPr>
          <w:rStyle w:val="Ninguno"/>
          <w:rFonts w:ascii="Times New Roman" w:hAnsi="Times New Roman" w:cs="Times New Roman"/>
          <w:lang w:val="en-GB"/>
        </w:rPr>
        <w:t xml:space="preserve">which is likely </w:t>
      </w:r>
      <w:r w:rsidRPr="00BE3BFE">
        <w:rPr>
          <w:rStyle w:val="Ninguno"/>
          <w:rFonts w:ascii="Times New Roman" w:hAnsi="Times New Roman" w:cs="Times New Roman"/>
          <w:lang w:val="en-GB"/>
        </w:rPr>
        <w:t xml:space="preserve">a spurious result. </w:t>
      </w:r>
      <w:r w:rsidR="005D74AF">
        <w:rPr>
          <w:rStyle w:val="Ninguno"/>
          <w:rFonts w:ascii="Times New Roman" w:hAnsi="Times New Roman" w:cs="Times New Roman"/>
          <w:lang w:val="en-GB"/>
        </w:rPr>
        <w:t>Also, f</w:t>
      </w:r>
      <w:r w:rsidRPr="00BE3BFE">
        <w:rPr>
          <w:rStyle w:val="Ninguno"/>
          <w:rFonts w:ascii="Times New Roman" w:hAnsi="Times New Roman" w:cs="Times New Roman"/>
          <w:lang w:val="en-GB"/>
        </w:rPr>
        <w:t xml:space="preserve">actors determining the use of pharmacological or non-pharmacological interventions are likely to be related to patient preferences, </w:t>
      </w:r>
      <w:r w:rsidR="00E63695">
        <w:rPr>
          <w:rStyle w:val="Ninguno"/>
          <w:rFonts w:ascii="Times New Roman" w:hAnsi="Times New Roman" w:cs="Times New Roman"/>
          <w:lang w:val="en-GB"/>
        </w:rPr>
        <w:t>GP</w:t>
      </w:r>
      <w:r w:rsidRPr="00BE3BFE">
        <w:rPr>
          <w:rStyle w:val="Ninguno"/>
          <w:rFonts w:ascii="Times New Roman" w:hAnsi="Times New Roman" w:cs="Times New Roman"/>
          <w:lang w:val="en-GB"/>
        </w:rPr>
        <w:t>s’ habits and PC centre traditions (biomedical vs biopsychosocial models) and confidence in the use of antidepressants and/or brief psychological interventions. In order to reduce bias from the lack of randomization, propensity score techniques were used to balance groups. These techniques have previously been used in quasi-experimental studies and economic evaluations to limit the impact of non-randomization</w:t>
      </w:r>
      <w:r w:rsidR="006B7A9E">
        <w:rPr>
          <w:rStyle w:val="Ninguno"/>
          <w:rFonts w:ascii="Times New Roman" w:hAnsi="Times New Roman" w:cs="Times New Roman"/>
          <w:lang w:val="en-GB"/>
        </w:rPr>
        <w:t xml:space="preserve"> </w:t>
      </w:r>
      <w:r w:rsidR="00095EDF">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"DOI" : "10.1111/add.13658", "ISSN" : "09652140", "author" : [ { "dropping-particle" : "", "family" : "Barbosa", "given" : "Carolina", "non-dropping-particle" : "", "parse-names" : false, "suffix" : "" }, { "dropping-particle" : "", "family" : "Cowell", "given" : "Alexander", "non-dropping-particle" : "", "parse-names" : false, "suffix" : "" }, { "dropping-particle" : "", "family" : "Dowd", "given" : "William", "non-dropping-particle" : "", "parse-names" : false, "suffix" : "" }, { "dropping-particle" : "", "family" : "Landwehr", "given" : "Justin", "non-dropping-particle" : "", "parse-names" : false, "suffix" : "" }, { "dropping-particle" : "", "family" : "Aldridge", "given" : "Arnie", "non-dropping-particle" : "", "parse-names" : false, "suffix" : "" }, { "dropping-particle" : "", "family" : "Bray", "given" : "Jeremy", "non-dropping-particle" : "", "parse-names" : false, "suffix" : "" } ], "container-title" : "Addiction", "id" : "ITEM-1", "issue" : "S2", "issued" : { "date-parts" : [ [ "2017", "2" ] ] }, "page" : "73-81", "title" : "The cost-effectiveness of brief intervention versus brief treatment of Screening, Brief Intervention and Referral to Treatment (SBIRT) in the United States", "type" : "article-journal", "volume" : "112" }, "uris" : [ "http://www.mendeley.com/documents/?uuid=8e9af1a6-c190-3660-b4bf-262ea7c898df" ] }, { "id" : "ITEM-2", "itemData" : { "DOI" : "10.1371/journal.pone.0160908", "ISSN" : "1932-6203", "PMID" : "27655234", "abstract" : "OBJECTIVES The objective of this article was to compare the costs and cost-effectiveness of the two most prominent types of case management in the Netherlands (intensive case management and linkage models) against no access to case management (control group) for people with already diagnosed dementia and their informal caregivers. METHODS The economic evaluation was conducted from a societal perspective embedded within a two year prospective, observational, controlled, cohort study with 521 informal caregivers and community-dwelling persons with dementia. Case management provided within one care organization (intensive case management model, ICMM), case management where care was provided by different care organizations within one region (Linkage model, LM), and a group with no access to case management (control) were compared. The economic evaluation related incremental costs to incremental effects regarding neuropsychiatric symptoms (NPI), psychological health of the informal caregiver (GHQ-12), and quality adjusted life years (QALY) of the person with dementia and informal caregiver. RESULTS Inverse-propensity-score-weighted models showed no significant differences in clinical or total cost outcomes between the three groups. Informal care costs were significantly lower in the ICMM group compared to both other groups. Day center costs were significantly lower in the ICMM group compared to the control group. For all outcomes, the probability that the ICMM was cost-effective in comparison with LM and the control group was larger than 0.97 at a threshold ratio of 0 \u20ac/incremental unit of effect. CONCLUSION This study provides preliminary evidence that the ICMM is cost-effective compared to the control group and the LM. However, the findings should be interpreted with caution since this study was not a randomized controlled trial.", "author" : [ { "dropping-particle" : "", "family" : "MacNeil Vroomen", "given" : "Janet", "non-dropping-particle" : "", "parse-names" : false, "suffix" : "" }, { "dropping-particle" : "", "family" : "Bosmans", "given" : "Judith E.", "non-dropping-particle" : "", "parse-names" : false, "suffix" : "" }, { "dropping-particle" : "", "family" : "Eekhout", "given" : "Iris", "non-dropping-particle" : "", "parse-names" : false, "suffix" : "" }, { "dropping-particle" : "", "family" : "Joling", "given" : "Karlijn J.", "non-dropping-particle" : "", "parse-names" : false, "suffix" : "" }, { "dropping-particle" : "", "family" : "Mierlo", "given" : "Lisa D.", "non-dropping-particle" : "van", "parse-names" : false, "suffix" : "" }, { "dropping-particle" : "", "family" : "Meiland", "given" : "Franka J. M.", "non-dropping-particle" : "", "parse-names" : false, "suffix" : "" }, { "dropping-particle" : "", "family" : "Hout", "given" : "Hein P. J.", "non-dropping-particle" : "van", "parse-names" : false, "suffix" : "" }, { "dropping-particle" : "", "family" : "Rooij", "given" : "Sophia E.", "non-dropping-particle" : "de", "parse-names" : false, "suffix" : "" } ], "container-title" : "PLOS ONE", "editor" : [ { "dropping-particle" : "", "family" : "Mihalopoulos", "given" : "Cathy", "non-dropping-particle" : "", "parse-names" : false, "suffix" : "" } ], "id" : "ITEM-2", "issue" : "9", "issued" : { "date-parts" : [ [ "2016", "9", "21" ] ] }, "page" : "e0160908", "title" : "The Cost-Effectiveness of Two Forms of Case Management Compared to a Control Group for Persons with Dementia and Their Informal Caregivers from a Societal Perspective", "type" : "article-journal", "volume" : "11" }, "uris" : [ "http://www.mendeley.com/documents/?uuid=572d077e-b665-3191-a3d7-1144142bf1b6" ] }, { "id" : "ITEM-3", "itemData" : { "DOI" : "10.1016/j.jad.2016.12.027", "ISSN" : "1573-2517", "PMID" : "28033519", "abstract" : "Chronic use (&gt;90 Days) of opioid analgesics significantly increases the risk of development of new depression episodes (NDE). It is unclear whether depression that develops in this manner is similar to or different from NDE in persons not exposed to opioid analgesic use (OAU). METHODS VA patients were classified into two groups, those who did not receive an opioid and developed depression (non-OAU+NDE, n=4314) and those that had &gt;90 days OAU and developed NDE (OAU+NDE, n=444). OAU+NDE patients were compared to non-OAU+NDE in terms of depression severity (PHQ-9 scores), incidence of PTSD, other anxiety disorders and substance use disorders after NDE, receipt of acute phase antidepressant treatment, dual antidepressant treatment, mood stabilizers and atypical antipsychotics. Prior to computing bivariate analysis, the prevalence of pain conditions and average maximum pain scores were equalized between the two groups using propensity scores and inverse probability of treatment weighting. RESULTS Controlling for pain, OAU+NDE patients had more depression symptoms (p=.012), more incident PTSD (p=.04) and opioid abuse/dependence and were more likely to receive 12 weeks of antidepressant treatment (p&lt;.0001). Last, non-OAU+NDE were more likely to have incident diagnoses for any other anxiety disorder (p=.014). CONCLUSIONS Within the limitations of electronic medical record data, results indicate OAU+NDE patients have more depression symptoms, greater treatment adherence and different comorbid psychiatric conditions compared to non-OAU+NDE, independent of pain. Overall OAU related depression is as severe as non-OAU related depression and repeated depression screening in chronic opioid therapy may be warranted for pain patients, regardless of pain severity.", "author" : [ { "dropping-particle" : "", "family" : "Scherrer", "given" : "Jeffrey F", "non-dropping-particle" : "", "parse-names" : false, "suffix" : "" }, { "dropping-particle" : "", "family" : "Salas", "given" : "Joanne", "non-dropping-particle" : "", "parse-names" : false, "suffix" : "" }, { "dropping-particle" : "", "family" : "Schneider", "given" : "F David", "non-dropping-particle" : "", "parse-names" : false, "suffix" : "" }, { "dropping-particle" : "", "family" : "Bucholz", "given" : "Kathleen K", "non-dropping-particle" : "", "parse-names" : false, "suffix" : "" }, { "dropping-particle" : "", "family" : "Sullivan", "given" : "Mark D", "non-dropping-particle" : "", "parse-names" : false, "suffix" : "" }, { "dropping-particle" : "", "family" : "Copeland", "given" : "Laurel A", "non-dropping-particle" : "", "parse-names" : false, "suffix" : "" }, { "dropping-particle" : "", "family" : "Ahmedani", "given" : "Brian K", "non-dropping-particle" : "", "parse-names" : false, "suffix" : "" }, { "dropping-particle" : "", "family" : "Burroughs", "given" : "Thomas", "non-dropping-particle" : "", "parse-names" : false, "suffix" : "" }, { "dropping-particle" : "", "family" : "Lustman", "given" : "Patrick J", "non-dropping-particle" : "", "parse-names" : false, "suffix" : "" } ], "container-title" : "Journal of affective disorders", "id" : "ITEM-3", "issued" : { "date-parts" : [ [ "2017", "3", "1" ] ] }, "page" : "125-129", "title" : "Characteristics of new depression diagnoses in patients with and without prior chronic opioid use.", "type" : "article-journal", "volume" : "210" }, "uris" : [ "http://www.mendeley.com/documents/?uuid=9ec08764-eb68-38de-81c8-ad7e33fb5d2e" ] }, { "id" : "ITEM-4", "itemData" : { "DOI" : "10.1016/j.jad.2015.08.072", "ISSN" : "01650327", "PMID" : "26433763", "abstract" : "BACKGROUND The efficacy of cognitive behavioral therapy (CBT) for the treatment of depressive disorders has been demonstrated in many randomized controlled trials (RCTs). This study investigated whether for CBT similar effects can be expected under routine care conditions when the patients are comparable to those examined in RCTs. METHOD N=574 CBT patients from an outpatient clinic were stepwise matched to the patients undergoing CBT in the National Institute of Mental Health Treatment of Depression Collaborative Research Program (TDCRP). First, the exclusion criteria of the RCT were applied to the naturalistic sample of the outpatient clinic. Second, propensity score matching (PSM) was used to adjust the remaining naturalistic sample on the basis of baseline covariate distributions. Matched samples were then compared regarding treatment effects using effect sizes, average treatment effect on the treated (ATT) and recovery rates. RESULTS CBT in the adjusted naturalistic subsample was as effective as in the RCT. However, treatments lasted significantly longer under routine care conditions. LIMITATIONS The samples included only a limited amount of common predictor variables and stemmed from different countries. There might be additional covariates, which could potentially further improve the matching between the samples. CONCLUSIONS CBT for depression in clinical practice might be equally effective as manual-based treatments in RCTs when they are applied to comparable patients. The fact that similar effects under routine conditions were reached with more sessions, however, points to the potential to optimize treatments in clinical practice with respect to their efficiency.", "author" : [ { "dropping-particle" : "", "family" : "Lutz", "given" : "Wolfgang", "non-dropping-particle" : "", "parse-names" : false, "suffix" : "" }, { "dropping-particle" : "", "family" : "Schiefele", "given" : "Anne-Katharina", "non-dropping-particle" : "", "parse-names" : false, "suffix" : "" }, { "dropping-particle" : "", "family" : "Wucherpfennig", "given" : "Felix", "non-dropping-particle" : "", "parse-names" : false, "suffix" : "" }, { "dropping-particle" : "", "family" : "Rubel", "given" : "Julian", "non-dropping-particle" : "", "parse-names" : false, "suffix" : "" }, { "dropping-particle" : "", "family" : "Stulz", "given" : "Niklaus", "non-dropping-particle" : "", "parse-names" : false, "suffix" : "" } ], "container-title" : "Journal of Affective Disorders", "id" : "ITEM-4", "issued" : { "date-parts" : [ [ "2016", "1", "1" ] ] }, "page" : "150-158", "title" : "Clinical effectiveness of cognitive behavioral therapy for depression in routine care: A propensity score based comparison between randomized controlled trials and clinical practice", "type" : "article-journal", "volume" : "189" }, "uris" : [ "http://www.mendeley.com/documents/?uuid=233b587b-cd22-3a1d-ba06-1dc8e51dc64b" ] } ], "mendeley" : { "formattedCitation" : "[34\u201337]", "plainTextFormattedCitation" : "[34\u201337]", "previouslyFormattedCitation" : "&lt;sup&gt;34\u201337&lt;/sup&gt;" }, "properties" : { "noteIndex" : 0 }, "schema" : "https://github.com/citation-style-language/schema/raw/master/csl-citation.json" }</w:instrText>
      </w:r>
      <w:r w:rsidR="00095EDF">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[34–37]</w:t>
      </w:r>
      <w:r w:rsidR="00095EDF">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r w:rsidR="00561288">
        <w:rPr>
          <w:rStyle w:val="Ninguno"/>
          <w:rFonts w:ascii="Times New Roman" w:hAnsi="Times New Roman" w:cs="Times New Roman"/>
          <w:lang w:val="en-GB"/>
        </w:rPr>
        <w:t xml:space="preserve"> However, </w:t>
      </w:r>
      <w:r w:rsidR="00F95897">
        <w:rPr>
          <w:rStyle w:val="Ninguno"/>
          <w:rFonts w:ascii="Times New Roman" w:hAnsi="Times New Roman" w:cs="Times New Roman"/>
          <w:lang w:val="en-GB"/>
        </w:rPr>
        <w:t xml:space="preserve">it is possible that observed differences are due to unmeasured confounders. This is a particular issue in this case since the differences in costs and effects are small so it would only take a small confounding effect to alter the results. </w:t>
      </w:r>
    </w:p>
    <w:p w14:paraId="0E84A5B2" w14:textId="4A899F7F" w:rsidR="00BE3BFE" w:rsidRPr="00BE3BFE" w:rsidRDefault="00F76044" w:rsidP="00BE3BFE">
      <w:pPr>
        <w:spacing w:line="480" w:lineRule="auto"/>
        <w:jc w:val="both"/>
        <w:rPr>
          <w:rStyle w:val="Ninguno"/>
          <w:rFonts w:ascii="Times New Roman" w:hAnsi="Times New Roman" w:cs="Times New Roman"/>
          <w:u w:color="0070C0"/>
          <w:lang w:val="en-GB"/>
        </w:rPr>
      </w:pPr>
      <w:r>
        <w:rPr>
          <w:rStyle w:val="Ninguno"/>
          <w:rFonts w:ascii="Times New Roman" w:hAnsi="Times New Roman" w:cs="Times New Roman"/>
          <w:lang w:val="en-GB"/>
        </w:rPr>
        <w:lastRenderedPageBreak/>
        <w:t>Participants reported that GP</w:t>
      </w:r>
      <w:r w:rsidRPr="00BE3BFE">
        <w:rPr>
          <w:rStyle w:val="Ninguno"/>
          <w:rFonts w:ascii="Times New Roman" w:hAnsi="Times New Roman" w:cs="Times New Roman"/>
          <w:lang w:val="en-GB"/>
        </w:rPr>
        <w:t>s</w:t>
      </w:r>
      <w:r>
        <w:rPr>
          <w:rStyle w:val="Ninguno"/>
          <w:rFonts w:ascii="Times New Roman" w:hAnsi="Times New Roman" w:cs="Times New Roman"/>
          <w:lang w:val="en-GB"/>
        </w:rPr>
        <w:t xml:space="preserve"> applied</w:t>
      </w:r>
      <w:r w:rsidRPr="00BE3BFE">
        <w:rPr>
          <w:rStyle w:val="Ninguno"/>
          <w:rFonts w:ascii="Times New Roman" w:hAnsi="Times New Roman" w:cs="Times New Roman"/>
          <w:lang w:val="en-GB"/>
        </w:rPr>
        <w:t xml:space="preserve"> </w:t>
      </w:r>
      <w:r w:rsidR="00BE3BFE" w:rsidRPr="00BE3BFE">
        <w:rPr>
          <w:rStyle w:val="Ninguno"/>
          <w:rFonts w:ascii="Times New Roman" w:hAnsi="Times New Roman" w:cs="Times New Roman"/>
          <w:lang w:val="en-GB"/>
        </w:rPr>
        <w:t xml:space="preserve">very few interventions by in relation to the depressive episode. Around 50% of participants reported receiving active listening but among the interventions recommended by the CPG, the only differences between groups were for </w:t>
      </w:r>
      <w:r w:rsidR="00F9097B">
        <w:rPr>
          <w:rStyle w:val="Ninguno"/>
          <w:rFonts w:ascii="Times New Roman" w:hAnsi="Times New Roman" w:cs="Times New Roman"/>
          <w:lang w:val="en-GB"/>
        </w:rPr>
        <w:t>PST</w:t>
      </w:r>
      <w:r w:rsidR="00BE3BFE" w:rsidRPr="00BE3BFE">
        <w:rPr>
          <w:rStyle w:val="Ninguno"/>
          <w:rFonts w:ascii="Times New Roman" w:hAnsi="Times New Roman" w:cs="Times New Roman"/>
          <w:lang w:val="en-GB"/>
        </w:rPr>
        <w:t xml:space="preserve"> and only 15% of patients had received it in the </w:t>
      </w:r>
      <w:r w:rsidR="00B20112">
        <w:rPr>
          <w:rStyle w:val="Ninguno"/>
          <w:rFonts w:ascii="Times New Roman" w:hAnsi="Times New Roman" w:cs="Times New Roman"/>
          <w:lang w:val="en-GB"/>
        </w:rPr>
        <w:t>AM</w:t>
      </w:r>
      <w:r w:rsidR="00BE3BFE" w:rsidRPr="00BE3BFE">
        <w:rPr>
          <w:rStyle w:val="Ninguno"/>
          <w:rFonts w:ascii="Times New Roman" w:hAnsi="Times New Roman" w:cs="Times New Roman"/>
          <w:lang w:val="en-GB"/>
        </w:rPr>
        <w:t xml:space="preserve"> group. Memory bias could partially explain these low rates of interventions reported. To guarantee naturalistic conditions in the present study, </w:t>
      </w:r>
      <w:r w:rsidR="00E63695">
        <w:rPr>
          <w:rStyle w:val="Ninguno"/>
          <w:rFonts w:ascii="Times New Roman" w:hAnsi="Times New Roman" w:cs="Times New Roman"/>
          <w:lang w:val="en-GB"/>
        </w:rPr>
        <w:t>GP</w:t>
      </w:r>
      <w:r w:rsidR="00BE3BFE" w:rsidRPr="00BE3BFE">
        <w:rPr>
          <w:rStyle w:val="Ninguno"/>
          <w:rFonts w:ascii="Times New Roman" w:hAnsi="Times New Roman" w:cs="Times New Roman"/>
          <w:lang w:val="en-GB"/>
        </w:rPr>
        <w:t xml:space="preserve">s received brief training on </w:t>
      </w:r>
      <w:r w:rsidR="00B20112">
        <w:rPr>
          <w:rStyle w:val="Ninguno"/>
          <w:rFonts w:ascii="Times New Roman" w:hAnsi="Times New Roman" w:cs="Times New Roman"/>
          <w:lang w:val="en-GB"/>
        </w:rPr>
        <w:t>AM</w:t>
      </w:r>
      <w:r w:rsidR="00BE3BFE" w:rsidRPr="00BE3BFE">
        <w:rPr>
          <w:rStyle w:val="Ninguno"/>
          <w:rFonts w:ascii="Times New Roman" w:hAnsi="Times New Roman" w:cs="Times New Roman"/>
          <w:lang w:val="en-GB"/>
        </w:rPr>
        <w:t xml:space="preserve"> principles but no strict intervention protocol was used. Furthermore, non-adherence to antidepressants and </w:t>
      </w:r>
      <w:r w:rsidR="00B20112">
        <w:rPr>
          <w:rStyle w:val="Ninguno"/>
          <w:rFonts w:ascii="Times New Roman" w:hAnsi="Times New Roman" w:cs="Times New Roman"/>
          <w:lang w:val="en-GB"/>
        </w:rPr>
        <w:t>AM</w:t>
      </w:r>
      <w:r w:rsidR="00BE3BFE" w:rsidRPr="00BE3BFE">
        <w:rPr>
          <w:rStyle w:val="Ninguno"/>
          <w:rFonts w:ascii="Times New Roman" w:hAnsi="Times New Roman" w:cs="Times New Roman"/>
          <w:lang w:val="en-GB"/>
        </w:rPr>
        <w:t xml:space="preserve"> could also reduce its effectiveness on the antidepressants group</w:t>
      </w:r>
      <w:r w:rsidR="006B7A9E">
        <w:rPr>
          <w:rStyle w:val="Ninguno"/>
          <w:rFonts w:ascii="Times New Roman" w:hAnsi="Times New Roman" w:cs="Times New Roman"/>
          <w:lang w:val="en-GB"/>
        </w:rPr>
        <w:t xml:space="preserve"> </w:t>
      </w:r>
      <w:r w:rsidR="00095EDF">
        <w:rPr>
          <w:rStyle w:val="Ninguno"/>
          <w:rFonts w:ascii="Times New Roman" w:hAnsi="Times New Roman" w:cs="Times New Roman"/>
          <w:lang w:val="en-GB"/>
        </w:rPr>
        <w:fldChar w:fldCharType="begin" w:fldLock="1"/>
      </w:r>
      <w:r w:rsidR="006B7A9E">
        <w:rPr>
          <w:rStyle w:val="Ninguno"/>
          <w:rFonts w:ascii="Times New Roman" w:hAnsi="Times New Roman" w:cs="Times New Roman"/>
          <w:lang w:val="en-GB"/>
        </w:rPr>
        <w:instrText>ADDIN CSL_CITATION { "citationItems" : [ { "id" : "ITEM-1", "itemData" : { "DOI" : "10.1016/j.jad.2016.05.035", "ISSN" : "01650327", "PMID" : "27262636", "abstract" : "BACKGROUND Primary health care bears the main responsibility for treating depression in most countries. However, few studies have comprehensively investigated provision of pharmacological and psychosocial treatments, their continuity, or patient attitudes and adherence to treatment in primary care. METHODS In the Vantaa Primary Care Depression Study, 1111 consecutive primary care patients in the City of Vantaa, Finland, were screened for depression with Prime-MD, and 137 were diagnosed with DSM-IV depressive disorders via SCID-I/P and SCID-II interviews. The 100 patients with current major depressive disorder (MDD) or partly remitted MDD at baseline were prospectively followed up to 18 months, and their treatment contacts and the treatments provided were longitudinally followed. RESULTS The median number of patients' visits to a general practitioner during the follow-up was five; of those due to depression two. Antidepressant treatment was offered to 82% of patients, but only 50% commenced treatment and adhered to it adequately. Psychosocial support was offered to 49%, but only 29% adhered to the highly variable interventions. Attributed reasons for poor adherence varied, including negative attitude, side effects, practical obstacles, or no perceived need. About one-quarter (23%) of patients were referred to specialized care at some time-point. LIMITATIONS Moderate sample size. Data collected in 2002-2004. CONCLUSIONS The majority of depressive patients in primary health care had been offered pharmacotherapy, psychotherapeutic support, or both. However, effectiveness of these efforts may have been limited by lack of systematic follow-up and poor adherence to both pharmacotherapy and psychosocial treatment.", "author" : [ { "dropping-particle" : "", "family" : "Vuorilehto", "given" : "Maria S.", "non-dropping-particle" : "", "parse-names" : false, "suffix" : "" }, { "dropping-particle" : "", "family" : "Melartin", "given" : "Tarja K.", "non-dropping-particle" : "", "parse-names" : false, "suffix" : "" }, { "dropping-particle" : "", "family" : "Riihim\u00e4ki", "given" : "Kirsi", "non-dropping-particle" : "", "parse-names" : false, "suffix" : "" }, { "dropping-particle" : "", "family" : "Isomets\u00e4", "given" : "Erkki T.", "non-dropping-particle" : "", "parse-names" : false, "suffix" : "" } ], "container-title" : "Journal of Affective Disorders", "id" : "ITEM-1", "issued" : { "date-parts" : [ [ "2016", "9", "15" ] ] }, "page" : "145-152", "title" : "Pharmacological and psychosocial treatment of depression in primary care: Low intensity and poor adherence and continuity", "type" : "article-journal", "volume" : "202" }, "uris" : [ "http://www.mendeley.com/documents/?uuid=59f40644-7aff-33c3-a768-2ea819a35f75" ] }, { "id" : "ITEM-2", "itemData" : { "DOI" : "10.1016/j.euroneuro.2012.11.006", "ISSN" : "1873-7862", "PMID" : "23219937", "abstract" : "Major depression is associated with high burden, disability and costs. Non-adherence limits the effectiveness of antidepressants. Community pharmacists (CP) are in a privileged position to help patients cope with antidepressant treatment. The aim of the study was to evaluate the impact of a CP intervention on primary care patients who had initiated antidepressant treatment. Newly diagnosed primary care patients were randomised to usual care (UC) (92) or pharmacist intervention (87). Patients were followed up at 6 months and evaluated three times (Baseline, and at 3 and 6 months). Outcome measurements included clinical severity of depression (PHQ-9), health-related quality of life (HRQOL) (Euroqol-5D) and satisfaction with pharmacy care. Adherence was continuously registered from the computerised pharmacy records. Non-adherence was defined as refilling less than 80% of doses or having a medication-free gap of more than 1 month. Patients in the intervention group were more likely to remain adherent at 3 and 6 months follow-up but the difference was not statistically significant. Patients in the intervention group showed greater statistically significant improvement in HRQOL compared with UC patients both in the main analysis and PP analyses. No statistically significant differences were observed in clinical symptoms or satisfaction with the pharmacy service. The results of our study indicate that a brief intervention in community pharmacies does not improve depressed patients' adherence or clinical symptoms. This intervention helped patients to improve their HRQOL, which is an overall measure of patient status.", "author" : [ { "dropping-particle" : "", "family" : "Rubio-Valera", "given" : "Maria", "non-dropping-particle" : "", "parse-names" : false, "suffix" : "" }, { "dropping-particle" : "", "family" : "March Pujol", "given" : "Marian", "non-dropping-particle" : "", "parse-names" : false, "suffix" : "" }, { "dropping-particle" : "", "family" : "Fern\u00e1ndez", "given" : "Ana", "non-dropping-particle" : "", "parse-names" : false, "suffix" : "" }, { "dropping-particle" : "", "family" : "Pe\u00f1arrubia-Mar\u00eda", "given" : "M Teresa", "non-dropping-particle" : "", "parse-names" : false, "suffix" : "" }, { "dropping-particle" : "", "family" : "Trav\u00e9", "given" : "Pere", "non-dropping-particle" : "", "parse-names" : false, "suffix" : "" }, { "dropping-particle" : "", "family" : "L\u00f3pez Del Hoyo", "given" : "Yolanda", "non-dropping-particle" : "", "parse-names" : false, "suffix" : "" }, { "dropping-particle" : "", "family" : "Serrano-Blanco", "given" : "Antoni", "non-dropping-particle" : "", "parse-names" : false, "suffix" : "" } ], "container-title" : "European neuropsychopharmacology : the journal of the European College of Neuropsychopharmacology", "id" : "ITEM-2", "issue" : "9", "issued" : { "date-parts" : [ [ "2013", "10" ] ] }, "page" : "1057-66", "title" : "Evaluation of a pharmacist intervention on patients initiating pharmacological treatment for depression: a randomized controlled superiority trial.", "type" : "article-journal", "volume" : "23" }, "uris" : [ "http://www.mendeley.com/documents/?uuid=1094883b-c038-4941-b4e2-650d48edc5e5" ] } ], "mendeley" : { "formattedCitation" : "[38, 39]", "plainTextFormattedCitation" : "[38, 39]", "previouslyFormattedCitation" : "&lt;sup&gt;38,39&lt;/sup&gt;" }, "properties" : { "noteIndex" : 0 }, "schema" : "https://github.com/citation-style-language/schema/raw/master/csl-citation.json" }</w:instrText>
      </w:r>
      <w:r w:rsidR="00095EDF">
        <w:rPr>
          <w:rStyle w:val="Ninguno"/>
          <w:rFonts w:ascii="Times New Roman" w:hAnsi="Times New Roman" w:cs="Times New Roman"/>
          <w:lang w:val="en-GB"/>
        </w:rPr>
        <w:fldChar w:fldCharType="separate"/>
      </w:r>
      <w:r w:rsidR="006B7A9E" w:rsidRPr="006B7A9E">
        <w:rPr>
          <w:rStyle w:val="Ninguno"/>
          <w:rFonts w:ascii="Times New Roman" w:hAnsi="Times New Roman" w:cs="Times New Roman"/>
          <w:noProof/>
          <w:lang w:val="en-GB"/>
        </w:rPr>
        <w:t>[38, 39]</w:t>
      </w:r>
      <w:r w:rsidR="00095EDF">
        <w:rPr>
          <w:rStyle w:val="Ninguno"/>
          <w:rFonts w:ascii="Times New Roman" w:hAnsi="Times New Roman" w:cs="Times New Roman"/>
          <w:lang w:val="en-GB"/>
        </w:rPr>
        <w:fldChar w:fldCharType="end"/>
      </w:r>
      <w:r w:rsidR="006B7A9E">
        <w:rPr>
          <w:rStyle w:val="Ninguno"/>
          <w:rFonts w:ascii="Times New Roman" w:hAnsi="Times New Roman" w:cs="Times New Roman"/>
          <w:lang w:val="en-GB"/>
        </w:rPr>
        <w:t>.</w:t>
      </w:r>
      <w:r w:rsidR="00BE3BFE" w:rsidRPr="00BE3BFE">
        <w:rPr>
          <w:rStyle w:val="Ninguno"/>
          <w:rFonts w:ascii="Times New Roman" w:hAnsi="Times New Roman" w:cs="Times New Roman"/>
          <w:lang w:val="en-GB"/>
        </w:rPr>
        <w:t xml:space="preserve"> A sensitivity analysis using a </w:t>
      </w:r>
      <w:r>
        <w:rPr>
          <w:rStyle w:val="Ninguno"/>
          <w:rFonts w:ascii="Times New Roman" w:hAnsi="Times New Roman" w:cs="Times New Roman"/>
          <w:lang w:val="en-GB"/>
        </w:rPr>
        <w:t>PP</w:t>
      </w:r>
      <w:r w:rsidR="00BE3BFE" w:rsidRPr="00BE3BFE">
        <w:rPr>
          <w:rStyle w:val="Ninguno"/>
          <w:rFonts w:ascii="Times New Roman" w:hAnsi="Times New Roman" w:cs="Times New Roman"/>
          <w:lang w:val="en-GB"/>
        </w:rPr>
        <w:t xml:space="preserve"> analytical strategy was performed to determine the impact of adherence to the protocol in both the </w:t>
      </w:r>
      <w:r w:rsidR="00B20112">
        <w:rPr>
          <w:rStyle w:val="Ninguno"/>
          <w:rFonts w:ascii="Times New Roman" w:hAnsi="Times New Roman" w:cs="Times New Roman"/>
          <w:lang w:val="en-GB"/>
        </w:rPr>
        <w:t>AM</w:t>
      </w:r>
      <w:r w:rsidR="00BE3BFE" w:rsidRPr="00BE3BFE">
        <w:rPr>
          <w:rStyle w:val="Ninguno"/>
          <w:rFonts w:ascii="Times New Roman" w:hAnsi="Times New Roman" w:cs="Times New Roman"/>
          <w:lang w:val="en-GB"/>
        </w:rPr>
        <w:t xml:space="preserve"> and antidepressants  groups.</w:t>
      </w:r>
    </w:p>
    <w:p w14:paraId="11D564ED" w14:textId="77C5CB21" w:rsidR="00BE3BFE" w:rsidRDefault="00BE3BFE" w:rsidP="00BE3BFE">
      <w:pPr>
        <w:spacing w:line="480" w:lineRule="auto"/>
        <w:jc w:val="both"/>
        <w:rPr>
          <w:rStyle w:val="Ninguno"/>
          <w:rFonts w:ascii="Times New Roman" w:hAnsi="Times New Roman" w:cs="Times New Roman"/>
          <w:u w:color="0070C0"/>
          <w:lang w:val="en-GB"/>
        </w:rPr>
      </w:pPr>
      <w:r w:rsidRPr="00BE3BFE">
        <w:rPr>
          <w:rStyle w:val="Ninguno"/>
          <w:rFonts w:ascii="Times New Roman" w:hAnsi="Times New Roman" w:cs="Times New Roman"/>
          <w:u w:color="0070C0"/>
          <w:lang w:val="en-GB"/>
        </w:rPr>
        <w:t>Almost 26% of participants were lost to follow-up. To minimize this, we used multiple imputation techniques and also cond</w:t>
      </w:r>
      <w:r w:rsidR="00F76044">
        <w:rPr>
          <w:rStyle w:val="Ninguno"/>
          <w:rFonts w:ascii="Times New Roman" w:hAnsi="Times New Roman" w:cs="Times New Roman"/>
          <w:u w:color="0070C0"/>
          <w:lang w:val="en-GB"/>
        </w:rPr>
        <w:t>ucted a complete case analysis.</w:t>
      </w:r>
    </w:p>
    <w:p w14:paraId="1FE959BF" w14:textId="77777777" w:rsidR="008F6976" w:rsidRPr="008F6976" w:rsidRDefault="00E91738" w:rsidP="001D2EDC">
      <w:pPr>
        <w:pStyle w:val="Heading1"/>
        <w:rPr>
          <w:rStyle w:val="Ninguno"/>
          <w:rFonts w:ascii="Times New Roman" w:eastAsiaTheme="minorHAnsi" w:hAnsi="Times New Roman"/>
          <w:b w:val="0"/>
          <w:bCs w:val="0"/>
          <w:sz w:val="22"/>
          <w:szCs w:val="22"/>
          <w:u w:color="0070C0"/>
          <w:lang w:val="en-GB"/>
        </w:rPr>
      </w:pPr>
      <w:r w:rsidRPr="008F6976">
        <w:rPr>
          <w:rStyle w:val="Ninguno"/>
          <w:rFonts w:ascii="Times New Roman" w:eastAsiaTheme="minorHAnsi" w:hAnsi="Times New Roman"/>
          <w:b w:val="0"/>
          <w:bCs w:val="0"/>
          <w:sz w:val="22"/>
          <w:szCs w:val="22"/>
          <w:u w:color="0070C0"/>
          <w:lang w:val="en-GB"/>
        </w:rPr>
        <w:t>The results of this study indicate that adherence to active monitoring is low. Future research should explore the barriers that primary care physicians encounter when trying to conduct active monitoring, taking into account also the patient perspective. The results of these studies would be useful to design strategies to enhance adherence to active monitoring recommendations, improving their effectiveness and their efficiency in the clinical practice. Furthermore, the cost-effectiveness of AM in comparison with antidepressants should be evaluated in patients with different psychiatric diagnosis. The problem of adequate diagnosis of depression in PC not only affects AM. Strategies to improve the adequacy of diagnosis and treatment of depression in PC should be developed and implemented and their impact on the efficiency of AM should be evaluated.</w:t>
      </w:r>
    </w:p>
    <w:p w14:paraId="428D8D1C" w14:textId="5624BC8B" w:rsidR="00BE3BFE" w:rsidRPr="00E4598C" w:rsidRDefault="00BE3BFE" w:rsidP="001D2EDC">
      <w:pPr>
        <w:pStyle w:val="Heading1"/>
        <w:rPr>
          <w:rFonts w:ascii="Times New Roman" w:hAnsi="Times New Roman"/>
          <w:lang w:val="en-US"/>
        </w:rPr>
      </w:pPr>
      <w:r w:rsidRPr="00E4598C">
        <w:rPr>
          <w:rFonts w:ascii="Times New Roman" w:hAnsi="Times New Roman"/>
          <w:lang w:val="en-US"/>
        </w:rPr>
        <w:t>Conclusions</w:t>
      </w:r>
    </w:p>
    <w:p w14:paraId="2BEFDACC" w14:textId="00429F12" w:rsidR="005413E9" w:rsidRPr="003D171B" w:rsidRDefault="00BE3BFE" w:rsidP="003D171B">
      <w:pPr>
        <w:spacing w:line="480" w:lineRule="auto"/>
        <w:jc w:val="both"/>
        <w:rPr>
          <w:rFonts w:ascii="Times New Roman" w:hAnsi="Times New Roman" w:cs="Times New Roman"/>
          <w:u w:color="0070C0"/>
          <w:lang w:val="en-GB"/>
        </w:rPr>
      </w:pPr>
      <w:r w:rsidRPr="00FF2EB7">
        <w:rPr>
          <w:rStyle w:val="Ninguno"/>
          <w:rFonts w:ascii="Times New Roman" w:hAnsi="Times New Roman" w:cs="Times New Roman"/>
          <w:u w:color="0070C0"/>
          <w:lang w:val="en-GB"/>
        </w:rPr>
        <w:t>There is not enough information available to conclude</w:t>
      </w:r>
      <w:r w:rsidRPr="00FF2EB7" w:rsidDel="006E3284">
        <w:rPr>
          <w:rStyle w:val="Ninguno"/>
          <w:rFonts w:ascii="Times New Roman" w:hAnsi="Times New Roman" w:cs="Times New Roman"/>
          <w:u w:color="0070C0"/>
          <w:lang w:val="en-GB"/>
        </w:rPr>
        <w:t xml:space="preserve"> </w:t>
      </w:r>
      <w:r w:rsidRPr="0000273D">
        <w:rPr>
          <w:rStyle w:val="Ninguno"/>
          <w:rFonts w:ascii="Times New Roman" w:hAnsi="Times New Roman" w:cs="Times New Roman"/>
          <w:u w:color="0070C0"/>
          <w:lang w:val="en-GB"/>
        </w:rPr>
        <w:t xml:space="preserve">that </w:t>
      </w:r>
      <w:r w:rsidR="00B20112">
        <w:rPr>
          <w:rStyle w:val="Ninguno"/>
          <w:rFonts w:ascii="Times New Roman" w:hAnsi="Times New Roman" w:cs="Times New Roman"/>
          <w:u w:color="0070C0"/>
          <w:lang w:val="en-GB"/>
        </w:rPr>
        <w:t>AM</w:t>
      </w:r>
      <w:r w:rsidRPr="0000273D">
        <w:rPr>
          <w:rStyle w:val="Ninguno"/>
          <w:rFonts w:ascii="Times New Roman" w:hAnsi="Times New Roman" w:cs="Times New Roman"/>
          <w:u w:color="0070C0"/>
          <w:lang w:val="en-GB"/>
        </w:rPr>
        <w:t xml:space="preserve"> in mild-moderate MDD is a feasible and cost-effective alternative to pharmacological interventions in current PC practice. On the contrary,</w:t>
      </w:r>
      <w:r w:rsidR="0021718D">
        <w:rPr>
          <w:rStyle w:val="Ninguno"/>
          <w:rFonts w:ascii="Times New Roman" w:hAnsi="Times New Roman" w:cs="Times New Roman"/>
          <w:u w:color="0070C0"/>
          <w:lang w:val="en-GB"/>
        </w:rPr>
        <w:t xml:space="preserve"> up to 12-months follow-up,</w:t>
      </w:r>
      <w:r w:rsidRPr="0000273D">
        <w:rPr>
          <w:rStyle w:val="Ninguno"/>
          <w:rFonts w:ascii="Times New Roman" w:hAnsi="Times New Roman" w:cs="Times New Roman"/>
          <w:u w:color="0070C0"/>
          <w:lang w:val="en-GB"/>
        </w:rPr>
        <w:t xml:space="preserve"> it seems that incremental cost-utility ratios favor pharmacological treatment as a first-line approach to improve quality of life in these patients. Due </w:t>
      </w:r>
      <w:r w:rsidRPr="0000273D">
        <w:rPr>
          <w:rStyle w:val="Ninguno"/>
          <w:rFonts w:ascii="Times New Roman" w:hAnsi="Times New Roman" w:cs="Times New Roman"/>
          <w:u w:color="0070C0"/>
          <w:lang w:val="en-GB"/>
        </w:rPr>
        <w:lastRenderedPageBreak/>
        <w:t xml:space="preserve">to the high prevalence of the disease and the impairment generated by it, which is a great burden on the PC setting, efforts should be directed to </w:t>
      </w:r>
      <w:r w:rsidR="002438AF">
        <w:rPr>
          <w:rStyle w:val="Ninguno"/>
          <w:rFonts w:ascii="Times New Roman" w:hAnsi="Times New Roman" w:cs="Times New Roman"/>
          <w:u w:color="0070C0"/>
          <w:lang w:val="en-GB"/>
        </w:rPr>
        <w:t xml:space="preserve">train </w:t>
      </w:r>
      <w:r w:rsidR="00E63695">
        <w:rPr>
          <w:rStyle w:val="Ninguno"/>
          <w:rFonts w:ascii="Times New Roman" w:hAnsi="Times New Roman" w:cs="Times New Roman"/>
          <w:u w:color="0070C0"/>
          <w:lang w:val="en-GB"/>
        </w:rPr>
        <w:t>GP</w:t>
      </w:r>
      <w:r w:rsidR="002438AF">
        <w:rPr>
          <w:rStyle w:val="Ninguno"/>
          <w:rFonts w:ascii="Times New Roman" w:hAnsi="Times New Roman" w:cs="Times New Roman"/>
          <w:u w:color="0070C0"/>
          <w:lang w:val="en-GB"/>
        </w:rPr>
        <w:t xml:space="preserve"> in </w:t>
      </w:r>
      <w:r w:rsidRPr="0000273D">
        <w:rPr>
          <w:rStyle w:val="Ninguno"/>
          <w:rFonts w:ascii="Times New Roman" w:hAnsi="Times New Roman" w:cs="Times New Roman"/>
          <w:u w:color="0070C0"/>
          <w:lang w:val="en-GB"/>
        </w:rPr>
        <w:t>effective and efficient intervention</w:t>
      </w:r>
      <w:r w:rsidR="002438AF">
        <w:rPr>
          <w:rStyle w:val="Ninguno"/>
          <w:rFonts w:ascii="Times New Roman" w:hAnsi="Times New Roman" w:cs="Times New Roman"/>
          <w:u w:color="0070C0"/>
          <w:lang w:val="en-GB"/>
        </w:rPr>
        <w:t>s</w:t>
      </w:r>
      <w:r w:rsidRPr="0000273D">
        <w:rPr>
          <w:rStyle w:val="Ninguno"/>
          <w:rFonts w:ascii="Times New Roman" w:hAnsi="Times New Roman" w:cs="Times New Roman"/>
          <w:u w:color="0070C0"/>
          <w:lang w:val="en-GB"/>
        </w:rPr>
        <w:t>. In view of the results of this and previous studies, CPGs should review the recommendations for mild-moderate major depression so that they reflect available resources in PC while more research is carried out with larger sample sizes and longer follow-up periods</w:t>
      </w:r>
      <w:r w:rsidR="003D171B">
        <w:rPr>
          <w:rStyle w:val="Ninguno"/>
          <w:rFonts w:ascii="Times New Roman" w:hAnsi="Times New Roman" w:cs="Times New Roman"/>
          <w:u w:color="0070C0"/>
          <w:lang w:val="en-GB"/>
        </w:rPr>
        <w:t xml:space="preserve"> and in different countries and contexts</w:t>
      </w:r>
      <w:r w:rsidRPr="0000273D">
        <w:rPr>
          <w:rStyle w:val="Ninguno"/>
          <w:rFonts w:ascii="Times New Roman" w:hAnsi="Times New Roman" w:cs="Times New Roman"/>
          <w:u w:color="0070C0"/>
          <w:lang w:val="en-GB"/>
        </w:rPr>
        <w:t>.</w:t>
      </w:r>
      <w:r w:rsidR="005413E9" w:rsidRPr="00BE3BFE">
        <w:rPr>
          <w:rFonts w:ascii="Times New Roman" w:hAnsi="Times New Roman" w:cs="Times New Roman"/>
          <w:lang w:val="en-GB"/>
        </w:rPr>
        <w:br w:type="page"/>
      </w:r>
    </w:p>
    <w:p w14:paraId="2355E6D0" w14:textId="77777777" w:rsidR="003A6CD4" w:rsidRDefault="003A6CD4" w:rsidP="003A6CD4">
      <w:pPr>
        <w:pStyle w:val="Heading1"/>
        <w:rPr>
          <w:rFonts w:ascii="Times New Roman" w:hAnsi="Times New Roman"/>
          <w:lang w:val="en-US"/>
        </w:rPr>
      </w:pPr>
      <w:r w:rsidRPr="003A6CD4">
        <w:rPr>
          <w:rFonts w:ascii="Times New Roman" w:hAnsi="Times New Roman"/>
          <w:lang w:val="en-US"/>
        </w:rPr>
        <w:lastRenderedPageBreak/>
        <w:t>References</w:t>
      </w:r>
    </w:p>
    <w:p w14:paraId="4A3E6547" w14:textId="2C014309" w:rsidR="006B7A9E" w:rsidRPr="006B7A9E" w:rsidRDefault="00183964" w:rsidP="006B7A9E">
      <w:pPr>
        <w:widowControl w:val="0"/>
        <w:autoSpaceDE w:val="0"/>
        <w:autoSpaceDN w:val="0"/>
        <w:adjustRightInd w:val="0"/>
        <w:spacing w:line="240" w:lineRule="auto"/>
        <w:ind w:left="640" w:hanging="640"/>
        <w:rPr>
          <w:rFonts w:ascii="Calibri" w:hAnsi="Calibri" w:cs="Calibri"/>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6B7A9E" w:rsidRPr="006B7A9E">
        <w:rPr>
          <w:rFonts w:ascii="Calibri" w:hAnsi="Calibri" w:cs="Calibri"/>
          <w:noProof/>
          <w:szCs w:val="24"/>
        </w:rPr>
        <w:t xml:space="preserve">1. </w:t>
      </w:r>
      <w:r w:rsidR="006B7A9E" w:rsidRPr="006B7A9E">
        <w:rPr>
          <w:rFonts w:ascii="Calibri" w:hAnsi="Calibri" w:cs="Calibri"/>
          <w:noProof/>
          <w:szCs w:val="24"/>
        </w:rPr>
        <w:tab/>
        <w:t>Anderson, I., Pilling, S., Barnes, A., Bayliss, L., Bird, V., Burbeck, R., Chew-Graham, C., Clarke, J., Dyer, M., Flanagan, E., Harris, C., Hopkins, S., Kenwright, M., Kuyken, W., Lewis, A., Lewis, G., Li, R., Masterson, B., Meader, N., Meudell, A., Mitch, J.: Depression in adults : recognition and management. Clin. Guidel. Depress. adult. 63 (2009)</w:t>
      </w:r>
    </w:p>
    <w:p w14:paraId="56C02E68"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 </w:t>
      </w:r>
      <w:r w:rsidRPr="006B7A9E">
        <w:rPr>
          <w:rFonts w:ascii="Calibri" w:hAnsi="Calibri" w:cs="Calibri"/>
          <w:noProof/>
          <w:szCs w:val="24"/>
        </w:rPr>
        <w:tab/>
        <w:t>Departament de Salut: [Adaptació al model sanitari català de la guia de pràctica clínica sobre el maneig de la depressió major en l’adult]. , Barcelona: Agència d’Informació, Avaluació i Qualitat en Salut. Pla director de salut mental i addictions (2010)</w:t>
      </w:r>
    </w:p>
    <w:p w14:paraId="25C12EEA"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 </w:t>
      </w:r>
      <w:r w:rsidRPr="006B7A9E">
        <w:rPr>
          <w:rFonts w:ascii="Calibri" w:hAnsi="Calibri" w:cs="Calibri"/>
          <w:noProof/>
          <w:szCs w:val="24"/>
        </w:rPr>
        <w:tab/>
        <w:t>King, M., Nazareth, I., Levy, G., Walker, C., Morris, R., Weich, S., Bellón-Saameño, J.A., Moreno, B., Svab, I., Rotar, D., Rifel, J., Maaroos, H.-I., Aluoja, A., Kalda, R., Neeleman, J., Geerlings, M.I., Xavier, M., de Almeida, M.C., Correa, B., Torres-Gonzalez, F.: Prevalence of common mental disorders in general practice attendees across Europe. Br. J. Psychiatry. 192, 362–367 (2008). doi:10.1192/bjp.bp.107.039966</w:t>
      </w:r>
    </w:p>
    <w:p w14:paraId="7F318665"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4. </w:t>
      </w:r>
      <w:r w:rsidRPr="006B7A9E">
        <w:rPr>
          <w:rFonts w:ascii="Calibri" w:hAnsi="Calibri" w:cs="Calibri"/>
          <w:noProof/>
          <w:szCs w:val="24"/>
        </w:rPr>
        <w:tab/>
        <w:t>Serrano-Blanco, A., Palao, D.J., Luciano, J. V., Pinto-Meza, A., Luján, L., Fernández, A., Roura, P., Bertsch, J., Mercader, M., Haro, J.M.: Prevalence of mental disorders in primary care: Results from the diagnosis and treatment of mental disorders in primary care study (DASMAP). Soc. Psychiatry Psychiatr. Epidemiol. 45, 201–210 (2010)</w:t>
      </w:r>
    </w:p>
    <w:p w14:paraId="29FDC428"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5. </w:t>
      </w:r>
      <w:r w:rsidRPr="006B7A9E">
        <w:rPr>
          <w:rFonts w:ascii="Calibri" w:hAnsi="Calibri" w:cs="Calibri"/>
          <w:noProof/>
          <w:szCs w:val="24"/>
        </w:rPr>
        <w:tab/>
        <w:t>Hegel, M.T., Oxman, T.E., Hull, J.G., Swain, K., Swick, H.: Watchful waiting for minor depression in primary care: remission rates and predictors of improvement. Gen. Hosp. Psychiatry. 28, 205–212 (2006)</w:t>
      </w:r>
    </w:p>
    <w:p w14:paraId="075B08ED"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6. </w:t>
      </w:r>
      <w:r w:rsidRPr="006B7A9E">
        <w:rPr>
          <w:rFonts w:ascii="Calibri" w:hAnsi="Calibri" w:cs="Calibri"/>
          <w:noProof/>
          <w:szCs w:val="24"/>
        </w:rPr>
        <w:tab/>
        <w:t>Fournier, J.C., DeRubeis, R.J., Hollon, S.D., Dimidjian, S., Amsterdam, J.D., Shelton, R.C., Fawcett, J.: Antidepressant drug effects and depression severity: a patient-level meta-analysis. JAMA. 303, 47–53 (2010)</w:t>
      </w:r>
    </w:p>
    <w:p w14:paraId="4A723022"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7. </w:t>
      </w:r>
      <w:r w:rsidRPr="006B7A9E">
        <w:rPr>
          <w:rFonts w:ascii="Calibri" w:hAnsi="Calibri" w:cs="Calibri"/>
          <w:noProof/>
          <w:szCs w:val="24"/>
        </w:rPr>
        <w:tab/>
        <w:t>Fernández, A., Rubio-Valera, M., Bellón, J. a, Pinto-Meza, A., Luciano, J.V., Mendive, J.M., Haro, J.M., Palao, D.J., Serrano-Blanco, A.: Recognition of anxiety disorders by the general practitioner: results from the DASMAP study. Gen. Hosp. Psychiatry. 34, 227–33 (2012). doi:10.1016/j.genhosppsych.2012.01.012</w:t>
      </w:r>
    </w:p>
    <w:p w14:paraId="19AD5F7F"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8. </w:t>
      </w:r>
      <w:r w:rsidRPr="006B7A9E">
        <w:rPr>
          <w:rFonts w:ascii="Calibri" w:hAnsi="Calibri" w:cs="Calibri"/>
          <w:noProof/>
          <w:szCs w:val="24"/>
        </w:rPr>
        <w:tab/>
        <w:t>Fernández, A., Pinto-Meza, A., Bellón, J.A., Roura-Poch, P., Haro, J.M., Autonell, J., Palao, D.J., Peñarrubia, M.T., Fernández, R., Blanco, E., Luciano, J.V., Serrano-Blanco, A.: Is major depression adequately diagnosed and treated by general practitioners? Results from an epidemiological study. Gen. Hosp. Psychiatry. 32, 201–209 (2010)</w:t>
      </w:r>
    </w:p>
    <w:p w14:paraId="2B354821"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9. </w:t>
      </w:r>
      <w:r w:rsidRPr="006B7A9E">
        <w:rPr>
          <w:rFonts w:ascii="Calibri" w:hAnsi="Calibri" w:cs="Calibri"/>
          <w:noProof/>
          <w:szCs w:val="24"/>
        </w:rPr>
        <w:tab/>
        <w:t>Rubio-valera, M., Fernández, A., Luciano, J. V., Hughes, C.M., Pinto-meza, A., Moreno-küstner, B., Palao, D.J., Haro, J.M., Serrano-blanco, A.: Psychotropic prescribing in catalonia: Results from an epidemiological study. Fam. Pract. 29, 154–162 (2012)</w:t>
      </w:r>
    </w:p>
    <w:p w14:paraId="361CEE49"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10. </w:t>
      </w:r>
      <w:r w:rsidRPr="006B7A9E">
        <w:rPr>
          <w:rFonts w:ascii="Calibri" w:hAnsi="Calibri" w:cs="Calibri"/>
          <w:noProof/>
          <w:szCs w:val="24"/>
        </w:rPr>
        <w:tab/>
        <w:t>Meredith, L.S., Cheng, W.J.Y., Hickey, S.C., Dwight-Johnson, M.: Factors associated with primary care clinicians’ choice of a watchful waiting approach to managing depression. Psychiatr. Serv. 58, 72–78 (2007)</w:t>
      </w:r>
    </w:p>
    <w:p w14:paraId="0EEE2743"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11. </w:t>
      </w:r>
      <w:r w:rsidRPr="006B7A9E">
        <w:rPr>
          <w:rFonts w:ascii="Calibri" w:hAnsi="Calibri" w:cs="Calibri"/>
          <w:noProof/>
          <w:szCs w:val="24"/>
        </w:rPr>
        <w:tab/>
        <w:t>Iglesias-González, M., Aznar-Lou, I., Gil-Girbau, M., Moreno-Peral, P., Peñarrubia-María, M.T., Rubio-Valera, M., Serrano-Blanco, A.: Comparing watchful waiting with antidepressants for the management of subclinical depression symptoms to mild–moderate depression in primary care: a systematic review. Fam. Pract. 34, 639–648 (2017). doi:10.1093/fampra/cmx054</w:t>
      </w:r>
    </w:p>
    <w:p w14:paraId="6164E66B"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12. </w:t>
      </w:r>
      <w:r w:rsidRPr="006B7A9E">
        <w:rPr>
          <w:rFonts w:ascii="Calibri" w:hAnsi="Calibri" w:cs="Calibri"/>
          <w:noProof/>
          <w:szCs w:val="24"/>
        </w:rPr>
        <w:tab/>
        <w:t xml:space="preserve">Bosmans, J.E., Hermens, M.L.M., de Bruijne, M.C., van Hout, H.P.J., Terluin, B., Bouter, </w:t>
      </w:r>
      <w:r w:rsidRPr="006B7A9E">
        <w:rPr>
          <w:rFonts w:ascii="Calibri" w:hAnsi="Calibri" w:cs="Calibri"/>
          <w:noProof/>
          <w:szCs w:val="24"/>
        </w:rPr>
        <w:lastRenderedPageBreak/>
        <w:t>L.M., Stalman, W.A.B., van Tulder, M.W.: Cost-effectiveness of usual general practitioner care with or without antidepressant medication for patients with minor or mild-major depression. J. Affect. Disord. 111, 106–112 (2008)</w:t>
      </w:r>
    </w:p>
    <w:p w14:paraId="76E86FBC"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13. </w:t>
      </w:r>
      <w:r w:rsidRPr="006B7A9E">
        <w:rPr>
          <w:rFonts w:ascii="Calibri" w:hAnsi="Calibri" w:cs="Calibri"/>
          <w:noProof/>
          <w:szCs w:val="24"/>
        </w:rPr>
        <w:tab/>
        <w:t>Kendrick, T., Chatwin, J., Dowrick, C., Tylee, A., Morriss, R., Peveler, R., Leese, M., McCrone, P., Harris, T., Moore, M., Byng, R., Brown, G., Barthel, S., Mander, H., Ring, A., Kelly, V., Wallace, V., Gabbay, M., Craig, T., Mann, A.: Randomised controlled trial to determine the clinical effectiveness and cost-effectiveness of selective serotonin reuptake inhibitors plus supportive care, versus supportive care alone, for mild to moderate depression with somatic symptoms in primary care. Health Technol. Assess. 13, iii–iv, ix–xi, 1–159 (2009). doi:10.3310/hta13220</w:t>
      </w:r>
    </w:p>
    <w:p w14:paraId="4E136978"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14. </w:t>
      </w:r>
      <w:r w:rsidRPr="006B7A9E">
        <w:rPr>
          <w:rFonts w:ascii="Calibri" w:hAnsi="Calibri" w:cs="Calibri"/>
          <w:noProof/>
          <w:szCs w:val="24"/>
        </w:rPr>
        <w:tab/>
        <w:t>Rubio-Valera, M., Beneitez, I., Penarrubia-Maria, M.T., Luciano, J. V, Mendive, J.M., McCrone, P., Knapp, M., Sabes-Figuera, R., Kocyan, K., Garcia-Campayo, J., Serrano-Blanco, A.: Cost-effectiveness of active monitoring versus antidepressants for major depression in primary health care: a 12-month non-randomized controlled trial (INFAP study). BMC Psychiatry. 15, 63 (2015). doi:10.1186/s12888-015-0448-3</w:t>
      </w:r>
    </w:p>
    <w:p w14:paraId="59C20944"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15. </w:t>
      </w:r>
      <w:r w:rsidRPr="006B7A9E">
        <w:rPr>
          <w:rFonts w:ascii="Calibri" w:hAnsi="Calibri" w:cs="Calibri"/>
          <w:noProof/>
          <w:szCs w:val="24"/>
        </w:rPr>
        <w:tab/>
        <w:t>Mira, J.J., Llinás, G., Gil, V., Orozco, D., Palazón, I., Vitaller, J.: [Validation of an instrument for identifying styles of the professional practice of the primary care doctor]. Aten. Primaria. 21, 14–22 (1998)</w:t>
      </w:r>
    </w:p>
    <w:p w14:paraId="03EA6C65"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16. </w:t>
      </w:r>
      <w:r w:rsidRPr="006B7A9E">
        <w:rPr>
          <w:rFonts w:ascii="Calibri" w:hAnsi="Calibri" w:cs="Calibri"/>
          <w:noProof/>
          <w:szCs w:val="24"/>
        </w:rPr>
        <w:tab/>
        <w:t>Chisholm, D., Knapp, M.R.J., Knudsen, H.C., Amaddeo, A., Gaite, L., Van Wijngaarden, B.: Client socio-demographic and service receipt inventory - European version: Development of an instrument for international research. EPSILON study 5. Br. J. Psychiatry. 177, (2000)</w:t>
      </w:r>
    </w:p>
    <w:p w14:paraId="534D0760"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17. </w:t>
      </w:r>
      <w:r w:rsidRPr="006B7A9E">
        <w:rPr>
          <w:rFonts w:ascii="Calibri" w:hAnsi="Calibri" w:cs="Calibri"/>
          <w:noProof/>
          <w:szCs w:val="24"/>
        </w:rPr>
        <w:tab/>
        <w:t>Spanish National Institute of Statistics: Minimum wage survey, www.ine.es</w:t>
      </w:r>
    </w:p>
    <w:p w14:paraId="4D20DFEA"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18. </w:t>
      </w:r>
      <w:r w:rsidRPr="006B7A9E">
        <w:rPr>
          <w:rFonts w:ascii="Calibri" w:hAnsi="Calibri" w:cs="Calibri"/>
          <w:noProof/>
          <w:szCs w:val="24"/>
        </w:rPr>
        <w:tab/>
        <w:t>Badia, X., Schiaffino, A., Alonso, J., Herdman, M.: Using the EuroQol 5-D in the Catalan general population: Feasibility and construct validity. Qual. Life Res. 7, 311–322 (1998)</w:t>
      </w:r>
    </w:p>
    <w:p w14:paraId="013AFF62"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19. </w:t>
      </w:r>
      <w:r w:rsidRPr="006B7A9E">
        <w:rPr>
          <w:rFonts w:ascii="Calibri" w:hAnsi="Calibri" w:cs="Calibri"/>
          <w:noProof/>
          <w:szCs w:val="24"/>
        </w:rPr>
        <w:tab/>
        <w:t>EuroQol Group: EuroQol-a new facility for the measurement of health-related quality of life. Health Policy. 16, 199–208 (1990)</w:t>
      </w:r>
    </w:p>
    <w:p w14:paraId="4F64113E"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20. </w:t>
      </w:r>
      <w:r w:rsidRPr="006B7A9E">
        <w:rPr>
          <w:rFonts w:ascii="Calibri" w:hAnsi="Calibri" w:cs="Calibri"/>
          <w:noProof/>
          <w:szCs w:val="24"/>
        </w:rPr>
        <w:tab/>
        <w:t>Glick, H., Doshi, J., Sonrad, S.: Economic Evaluation in Clinical Trials. Oxford University Press (2014)</w:t>
      </w:r>
    </w:p>
    <w:p w14:paraId="4CF64BAB"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21. </w:t>
      </w:r>
      <w:r w:rsidRPr="006B7A9E">
        <w:rPr>
          <w:rFonts w:ascii="Calibri" w:hAnsi="Calibri" w:cs="Calibri"/>
          <w:noProof/>
          <w:szCs w:val="24"/>
        </w:rPr>
        <w:tab/>
        <w:t>Diez-Quevedo, C., Rangil, T., Sanchez-Planell, L., Kroenke, K., Spitzer, R.L.: Validation and utility of the patient health questionnaire in diagnosing mental disorders in 1003 general hospital Spanish inpatients. Psychosom. Med. 63, 679–86 (2001)</w:t>
      </w:r>
    </w:p>
    <w:p w14:paraId="1FC1C3C1"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22. </w:t>
      </w:r>
      <w:r w:rsidRPr="006B7A9E">
        <w:rPr>
          <w:rFonts w:ascii="Calibri" w:hAnsi="Calibri" w:cs="Calibri"/>
          <w:noProof/>
          <w:szCs w:val="24"/>
        </w:rPr>
        <w:tab/>
        <w:t>Kroenke, K., Spitzer, R.L., Williams, J.B.W.: The PHQ-9: Validity of a brief depression severity measure. J. Gen. Intern. Med. 16, 606–613 (2001)</w:t>
      </w:r>
    </w:p>
    <w:p w14:paraId="677F746A"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23. </w:t>
      </w:r>
      <w:r w:rsidRPr="006B7A9E">
        <w:rPr>
          <w:rFonts w:ascii="Calibri" w:hAnsi="Calibri" w:cs="Calibri"/>
          <w:noProof/>
          <w:szCs w:val="24"/>
        </w:rPr>
        <w:tab/>
        <w:t>Spitzer, R.L., Kroenke, K., Williams, J.B.: Validation and utility of a self-report version of PRIME-MD: the PHQ primary care study. Primary Care Evaluation of Mental Disorders. Patient Health Questionnaire. JAMA. 282, 1737–1744 (1999)</w:t>
      </w:r>
    </w:p>
    <w:p w14:paraId="1FA1F448"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24. </w:t>
      </w:r>
      <w:r w:rsidRPr="006B7A9E">
        <w:rPr>
          <w:rFonts w:ascii="Calibri" w:hAnsi="Calibri" w:cs="Calibri"/>
          <w:noProof/>
          <w:szCs w:val="24"/>
        </w:rPr>
        <w:tab/>
        <w:t>First, M.B. et, Spitzer, R.L., Gibbon, M., Williams, J.B.W.: Structured Clinical Interview for DSM-IV Axis I Disorders, Clinician Version (SCID-CV). (1997)</w:t>
      </w:r>
    </w:p>
    <w:p w14:paraId="2325259B"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25. </w:t>
      </w:r>
      <w:r w:rsidRPr="006B7A9E">
        <w:rPr>
          <w:rFonts w:ascii="Calibri" w:hAnsi="Calibri" w:cs="Calibri"/>
          <w:noProof/>
          <w:szCs w:val="24"/>
        </w:rPr>
        <w:tab/>
        <w:t>Mitra, R., Reiter, J.P.: A comparison of two methods of estimating propensity scores after multiple imputation. Stat. Methods Med. Res. 25, 188–204 (2016). doi:10.1177/0962280212445945</w:t>
      </w:r>
    </w:p>
    <w:p w14:paraId="63206EAB"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26. </w:t>
      </w:r>
      <w:r w:rsidRPr="006B7A9E">
        <w:rPr>
          <w:rFonts w:ascii="Calibri" w:hAnsi="Calibri" w:cs="Calibri"/>
          <w:noProof/>
          <w:szCs w:val="24"/>
        </w:rPr>
        <w:tab/>
        <w:t>Rubio-Valera, M., Serrano-Blanco, A., Magdalena-Belío, J., Fernández, A., García-</w:t>
      </w:r>
      <w:r w:rsidRPr="006B7A9E">
        <w:rPr>
          <w:rFonts w:ascii="Calibri" w:hAnsi="Calibri" w:cs="Calibri"/>
          <w:noProof/>
          <w:szCs w:val="24"/>
        </w:rPr>
        <w:lastRenderedPageBreak/>
        <w:t>Campayo, J., Pujol, M.M., Hoyo, Y.L. Del: Effectiveness of pharmacist care in the improvement of adherence to antidepressants: A systematic review and meta-analysis. Ann. Pharmacother. 45, 39–48 (2011)</w:t>
      </w:r>
    </w:p>
    <w:p w14:paraId="6E427B46"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27. </w:t>
      </w:r>
      <w:r w:rsidRPr="006B7A9E">
        <w:rPr>
          <w:rFonts w:ascii="Calibri" w:hAnsi="Calibri" w:cs="Calibri"/>
          <w:noProof/>
          <w:szCs w:val="24"/>
        </w:rPr>
        <w:tab/>
        <w:t>Serrano-Blanco, A., Pinto-Meza, A., Suárez, D., Peñarrubia, M.T., Haro, J.M.: Cost-utility of selective serotonin reuptake inhibitors for depression in primary care in Catalonia. Acta Psychiatr Scand Suppl. 114, 39–47 (2006). doi:10.1111/j.1600-0447.2006.00918.x</w:t>
      </w:r>
    </w:p>
    <w:p w14:paraId="07800E84"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28. </w:t>
      </w:r>
      <w:r w:rsidRPr="006B7A9E">
        <w:rPr>
          <w:rFonts w:ascii="Calibri" w:hAnsi="Calibri" w:cs="Calibri"/>
          <w:noProof/>
          <w:szCs w:val="24"/>
        </w:rPr>
        <w:tab/>
        <w:t>Rubio-Valera, M., Bosmans, J., Fernández, A., Peñarrubia-María, M., March, M., Travé, P., Bellón, J. a, Serrano-Blanco, A.: Cost-effectiveness of a community pharmacist intervention in patients with depression: a randomized controlled trial (PRODEFAR Study). PLoS One. 8, e70588 (2013). doi:10.1371/journal.pone.0070588</w:t>
      </w:r>
    </w:p>
    <w:p w14:paraId="56B98896"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29. </w:t>
      </w:r>
      <w:r w:rsidRPr="006B7A9E">
        <w:rPr>
          <w:rFonts w:ascii="Calibri" w:hAnsi="Calibri" w:cs="Calibri"/>
          <w:noProof/>
          <w:szCs w:val="24"/>
        </w:rPr>
        <w:tab/>
        <w:t>Hermens, M.L., van Hout, H.P., Terluin, B., Adèr, H.J., Penninx, B.W., van Marwijk, H.W., Bosmans, J.E., van Dyck, R., de Haan, M., Katon, W., Schulberg, H., Ackermann, R., Williams, J., Doogan, D., Langdon, C., Elkin, I., Shea, M., Watkins, J., Imber, S., Sotsky, S., Collins, J., Glass, D., Pilkonis, P., Leber, W., Docherty, J., Middleton, H., Shaw, I., Hull, S., Feder, G., Oxman, T., Sengupta, A., Waal, M. De, Stolk, J., Marwijk, H. van, Springer, M., Spies, T., Mokkink, H., Robbé, P.D.V., Grol, R., Marwijk, H. Van, Grundmeijer, H., Brueren, M., Sigling, H., Stolk, J., Gelderen, M. Van, Vintges, M., Eizenga, W., Burgers, J., Marwijk, H. Van, Bijl, D., Ader, H., Haan, M. De, MacGillivray, S., Arroll, B., Hatcher, S., Ogston, S., Reid, I., Sullivan, F., Williams, B., Crombie, I., Brugha, T., Cragg, D., Costa, P., McCrae, R., Andrews, G., Peters, L., Montgomery, S., Asberg, M., Hermens, M., Adèr, H., Hout, H. van, Terluin, B., Dyck, R. van, Haan, M. de, Ware, J., Sherbourne, C., Ware, J., Koshinski, M., Keller, S., Larsen, D., Attkisson, C., Hargreaves, W., Nguyen, T., Malt, U., Robak, O., Madsbu, H., Bakke, O., Loeb, M., Cohen, J., Jones, B., Jarvis, P., Lewis, J., Ebbutt, A., Rasbash, J., Browne, W., Goldstein, H., Yang, M., Woodhouse, G., Healy, M., Hauck, W., Anderson, S., Schaik, D. van, Klijn, A., Hout, H. van, Marwijk, H. van, Beekman, A., Haan, M. De, Dyck, R. van, Piaggio, G., Elbourne, D., Altman, D., Pocock, S., Evans, S., Barrett, J., Williams, J., Oxman, T., Frank, E., Katon, W., Sullivan, M., Hegel, M., Cornell, J., Sengupta, A., Paykel, E., Hollyman, J., Freeling, P., Sedgwick, P., Bedi, N., Chilvers, C., Churchill, R., Dewey, M., Duggan, C., Fielding, K., Gretton, V., Miller, P., Harrison, G., Lee, A., Williams, I., Chilvers, C., Dewey, M., Fielding, K., Gretton, V., Miller, P., Palmer, B., Weller, D., Churchill, R., Williams, I., Bedi, N., Duggan, C., Lee, A., Harrison, G., Mynors-Wallis, L., Gath, D., Day, A., Baker, F., Marwijk, H. van: Clinical effectiveness of usual care with or without antidepressant medication for primary care patients with minor or mild-major depression: a randomized equivalence trial. BMC Med. 5, 36 (2007). doi:10.1186/1741-7015-5-36</w:t>
      </w:r>
    </w:p>
    <w:p w14:paraId="26B9C9E5"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30. </w:t>
      </w:r>
      <w:r w:rsidRPr="006B7A9E">
        <w:rPr>
          <w:rFonts w:ascii="Calibri" w:hAnsi="Calibri" w:cs="Calibri"/>
          <w:noProof/>
          <w:szCs w:val="24"/>
        </w:rPr>
        <w:tab/>
        <w:t>van Straten, A., Hill, J., Richards, D.A., Cuijpers, P.: Stepped care treatment delivery for depression: a systematic review and meta-analysis. Psychol. Med. 45, 231–46 (2015). doi:10.1017/S0033291714000701</w:t>
      </w:r>
    </w:p>
    <w:p w14:paraId="40832325"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31. </w:t>
      </w:r>
      <w:r w:rsidRPr="006B7A9E">
        <w:rPr>
          <w:rFonts w:ascii="Calibri" w:hAnsi="Calibri" w:cs="Calibri"/>
          <w:noProof/>
          <w:szCs w:val="24"/>
        </w:rPr>
        <w:tab/>
        <w:t>Posternak, M.A., Miller, I.: Untreated short-term course of major depression: a meta-analysis of outcomes from studies using wait-list control groups. J. Affect. Disord. 66, 139–46 (2001)</w:t>
      </w:r>
    </w:p>
    <w:p w14:paraId="01E80AD4"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32. </w:t>
      </w:r>
      <w:r w:rsidRPr="006B7A9E">
        <w:rPr>
          <w:rFonts w:ascii="Calibri" w:hAnsi="Calibri" w:cs="Calibri"/>
          <w:noProof/>
          <w:szCs w:val="24"/>
        </w:rPr>
        <w:tab/>
        <w:t>Vallejo-Torres, L., García-Lorenzo, B., Castilla, I., Valcárcel Nazco, C., García-Pérez, L., Linertová, R., Serrano-Aguilar, P.: Valor Monetario de un Año de Vida Ajustado por Calidad: Estimación empírica del coste de oportunidad en el Sistema Nacional de Salud. (2015)</w:t>
      </w:r>
    </w:p>
    <w:p w14:paraId="3DF405F6"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33. </w:t>
      </w:r>
      <w:r w:rsidRPr="006B7A9E">
        <w:rPr>
          <w:rFonts w:ascii="Calibri" w:hAnsi="Calibri" w:cs="Calibri"/>
          <w:noProof/>
          <w:szCs w:val="24"/>
        </w:rPr>
        <w:tab/>
        <w:t xml:space="preserve">Shiroiwa, T., Sung, Y.-K., Fukuda, T., Lang, H.-C., Bae, S.-C., Tsutani, K.: International survey on willingness-to-pay (WTP) for one additional QALY gained: what is the </w:t>
      </w:r>
      <w:r w:rsidRPr="006B7A9E">
        <w:rPr>
          <w:rFonts w:ascii="Calibri" w:hAnsi="Calibri" w:cs="Calibri"/>
          <w:noProof/>
          <w:szCs w:val="24"/>
        </w:rPr>
        <w:lastRenderedPageBreak/>
        <w:t>threshold of cost effectiveness? Health Econ. 19, 422–437 (2010). doi:10.1002/hec.1481</w:t>
      </w:r>
    </w:p>
    <w:p w14:paraId="559588E2"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34. </w:t>
      </w:r>
      <w:r w:rsidRPr="006B7A9E">
        <w:rPr>
          <w:rFonts w:ascii="Calibri" w:hAnsi="Calibri" w:cs="Calibri"/>
          <w:noProof/>
          <w:szCs w:val="24"/>
        </w:rPr>
        <w:tab/>
        <w:t>Barbosa, C., Cowell, A., Dowd, W., Landwehr, J., Aldridge, A., Bray, J.: The cost-effectiveness of brief intervention versus brief treatment of Screening, Brief Intervention and Referral to Treatment (SBIRT) in the United States. Addiction. 112, 73–81 (2017). doi:10.1111/add.13658</w:t>
      </w:r>
    </w:p>
    <w:p w14:paraId="64B120C3"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35. </w:t>
      </w:r>
      <w:r w:rsidRPr="006B7A9E">
        <w:rPr>
          <w:rFonts w:ascii="Calibri" w:hAnsi="Calibri" w:cs="Calibri"/>
          <w:noProof/>
          <w:szCs w:val="24"/>
        </w:rPr>
        <w:tab/>
        <w:t>MacNeil Vroomen, J., Bosmans, J.E., Eekhout, I., Joling, K.J., van Mierlo, L.D., Meiland, F.J.M., van Hout, H.P.J., de Rooij, S.E.: The Cost-Effectiveness of Two Forms of Case Management Compared to a Control Group for Persons with Dementia and Their Informal Caregivers from a Societal Perspective. PLoS One. 11, e0160908 (2016). doi:10.1371/journal.pone.0160908</w:t>
      </w:r>
    </w:p>
    <w:p w14:paraId="7A42D0CC"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36. </w:t>
      </w:r>
      <w:r w:rsidRPr="006B7A9E">
        <w:rPr>
          <w:rFonts w:ascii="Calibri" w:hAnsi="Calibri" w:cs="Calibri"/>
          <w:noProof/>
          <w:szCs w:val="24"/>
        </w:rPr>
        <w:tab/>
        <w:t>Scherrer, J.F., Salas, J., Schneider, F.D., Bucholz, K.K., Sullivan, M.D., Copeland, L.A., Ahmedani, B.K., Burroughs, T., Lustman, P.J.: Characteristics of new depression diagnoses in patients with and without prior chronic opioid use. J. Affect. Disord. 210, 125–129 (2017). doi:10.1016/j.jad.2016.12.027</w:t>
      </w:r>
    </w:p>
    <w:p w14:paraId="70511AE4"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37. </w:t>
      </w:r>
      <w:r w:rsidRPr="006B7A9E">
        <w:rPr>
          <w:rFonts w:ascii="Calibri" w:hAnsi="Calibri" w:cs="Calibri"/>
          <w:noProof/>
          <w:szCs w:val="24"/>
        </w:rPr>
        <w:tab/>
        <w:t>Lutz, W., Schiefele, A.-K., Wucherpfennig, F., Rubel, J., Stulz, N.: Clinical effectiveness of cognitive behavioral therapy for depression in routine care: A propensity score based comparison between randomized controlled trials and clinical practice. J. Affect. Disord. 189, 150–158 (2016). doi:10.1016/j.jad.2015.08.072</w:t>
      </w:r>
    </w:p>
    <w:p w14:paraId="72819589"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szCs w:val="24"/>
        </w:rPr>
      </w:pPr>
      <w:r w:rsidRPr="006B7A9E">
        <w:rPr>
          <w:rFonts w:ascii="Calibri" w:hAnsi="Calibri" w:cs="Calibri"/>
          <w:noProof/>
          <w:szCs w:val="24"/>
        </w:rPr>
        <w:t xml:space="preserve">38. </w:t>
      </w:r>
      <w:r w:rsidRPr="006B7A9E">
        <w:rPr>
          <w:rFonts w:ascii="Calibri" w:hAnsi="Calibri" w:cs="Calibri"/>
          <w:noProof/>
          <w:szCs w:val="24"/>
        </w:rPr>
        <w:tab/>
        <w:t>Vuorilehto, M.S., Melartin, T.K., Riihimäki, K., Isometsä, E.T.: Pharmacological and psychosocial treatment of depression in primary care: Low intensity and poor adherence and continuity. J. Affect. Disord. 202, 145–152 (2016). doi:10.1016/j.jad.2016.05.035</w:t>
      </w:r>
    </w:p>
    <w:p w14:paraId="70529A95" w14:textId="77777777" w:rsidR="006B7A9E" w:rsidRPr="006B7A9E" w:rsidRDefault="006B7A9E" w:rsidP="006B7A9E">
      <w:pPr>
        <w:widowControl w:val="0"/>
        <w:autoSpaceDE w:val="0"/>
        <w:autoSpaceDN w:val="0"/>
        <w:adjustRightInd w:val="0"/>
        <w:spacing w:line="240" w:lineRule="auto"/>
        <w:ind w:left="640" w:hanging="640"/>
        <w:rPr>
          <w:rFonts w:ascii="Calibri" w:hAnsi="Calibri" w:cs="Calibri"/>
          <w:noProof/>
        </w:rPr>
      </w:pPr>
      <w:r w:rsidRPr="006B7A9E">
        <w:rPr>
          <w:rFonts w:ascii="Calibri" w:hAnsi="Calibri" w:cs="Calibri"/>
          <w:noProof/>
          <w:szCs w:val="24"/>
        </w:rPr>
        <w:t xml:space="preserve">39. </w:t>
      </w:r>
      <w:r w:rsidRPr="006B7A9E">
        <w:rPr>
          <w:rFonts w:ascii="Calibri" w:hAnsi="Calibri" w:cs="Calibri"/>
          <w:noProof/>
          <w:szCs w:val="24"/>
        </w:rPr>
        <w:tab/>
        <w:t>Rubio-Valera, M., March Pujol, M., Fernández, A., Peñarrubia-María, M.T., Travé, P., López Del Hoyo, Y., Serrano-Blanco, A.: Evaluation of a pharmacist intervention on patients initiating pharmacological treatment for depression: a randomized controlled superiority trial. Eur. Neuropsychopharmacol. 23, 1057–66 (2013). doi:10.1016/j.euroneuro.2012.11.006</w:t>
      </w:r>
    </w:p>
    <w:p w14:paraId="77B97536" w14:textId="20361307" w:rsidR="002438AF" w:rsidRDefault="00183964">
      <w:pPr>
        <w:rPr>
          <w:rFonts w:ascii="Times New Roman" w:hAnsi="Times New Roman"/>
          <w:lang w:val="en-US"/>
        </w:rPr>
      </w:pPr>
      <w:r>
        <w:rPr>
          <w:lang w:val="en-US"/>
        </w:rPr>
        <w:fldChar w:fldCharType="end"/>
      </w:r>
      <w:r w:rsidR="002438AF">
        <w:rPr>
          <w:rFonts w:ascii="Times New Roman" w:hAnsi="Times New Roman"/>
          <w:lang w:val="en-US"/>
        </w:rPr>
        <w:br w:type="page"/>
      </w:r>
    </w:p>
    <w:p w14:paraId="20D2A329" w14:textId="77777777" w:rsidR="005413E9" w:rsidRDefault="002438AF" w:rsidP="00C25864">
      <w:pPr>
        <w:widowControl w:val="0"/>
        <w:autoSpaceDE w:val="0"/>
        <w:autoSpaceDN w:val="0"/>
        <w:adjustRightInd w:val="0"/>
        <w:spacing w:line="480" w:lineRule="auto"/>
        <w:ind w:left="640" w:hanging="640"/>
        <w:rPr>
          <w:rFonts w:ascii="Times New Roman" w:hAnsi="Times New Roman"/>
          <w:b/>
          <w:lang w:val="en-US"/>
        </w:rPr>
      </w:pPr>
      <w:r w:rsidRPr="002438AF">
        <w:rPr>
          <w:rFonts w:ascii="Times New Roman" w:hAnsi="Times New Roman"/>
          <w:b/>
          <w:lang w:val="en-US"/>
        </w:rPr>
        <w:lastRenderedPageBreak/>
        <w:t>Legends</w:t>
      </w:r>
    </w:p>
    <w:p w14:paraId="4BCA3030" w14:textId="77777777" w:rsidR="00EA371A" w:rsidRPr="00EA371A" w:rsidRDefault="00EA371A" w:rsidP="00C25864">
      <w:pPr>
        <w:widowControl w:val="0"/>
        <w:autoSpaceDE w:val="0"/>
        <w:autoSpaceDN w:val="0"/>
        <w:adjustRightInd w:val="0"/>
        <w:spacing w:line="480" w:lineRule="auto"/>
        <w:ind w:left="640" w:hanging="640"/>
        <w:rPr>
          <w:rFonts w:ascii="Times New Roman" w:hAnsi="Times New Roman"/>
          <w:lang w:val="en-US"/>
        </w:rPr>
      </w:pPr>
      <w:r w:rsidRPr="00EA371A">
        <w:rPr>
          <w:rFonts w:ascii="Times New Roman" w:hAnsi="Times New Roman"/>
          <w:lang w:val="en-US"/>
        </w:rPr>
        <w:t>Color should not be used for figures in print.</w:t>
      </w:r>
    </w:p>
    <w:p w14:paraId="26A7888A" w14:textId="77777777" w:rsidR="00464E67" w:rsidRPr="00464E67" w:rsidRDefault="00464E67" w:rsidP="00095EDF">
      <w:pPr>
        <w:jc w:val="both"/>
        <w:rPr>
          <w:rFonts w:ascii="Times New Roman" w:hAnsi="Times New Roman" w:cs="Times New Roman"/>
          <w:lang w:val="en-US"/>
        </w:rPr>
      </w:pPr>
      <w:r w:rsidRPr="00464E67">
        <w:rPr>
          <w:rFonts w:ascii="Times New Roman" w:hAnsi="Times New Roman" w:cs="Times New Roman"/>
          <w:b/>
          <w:lang w:val="en-US"/>
        </w:rPr>
        <w:t>Figure 1.</w:t>
      </w:r>
      <w:r w:rsidRPr="00464E67">
        <w:rPr>
          <w:rFonts w:ascii="Times New Roman" w:hAnsi="Times New Roman" w:cs="Times New Roman"/>
          <w:lang w:val="en-US"/>
        </w:rPr>
        <w:t xml:space="preserve"> Flow of the participants in the study</w:t>
      </w:r>
    </w:p>
    <w:p w14:paraId="042DED94" w14:textId="019E7535" w:rsidR="00464E67" w:rsidRPr="00464E67" w:rsidRDefault="00464E67" w:rsidP="00095EDF">
      <w:pPr>
        <w:jc w:val="both"/>
        <w:rPr>
          <w:rFonts w:ascii="Times New Roman" w:hAnsi="Times New Roman" w:cs="Times New Roman"/>
          <w:lang w:val="en-US"/>
        </w:rPr>
      </w:pPr>
      <w:r w:rsidRPr="00464E67">
        <w:rPr>
          <w:rFonts w:ascii="Times New Roman" w:hAnsi="Times New Roman" w:cs="Times New Roman"/>
          <w:b/>
          <w:lang w:val="en-US"/>
        </w:rPr>
        <w:t>Figure 2.</w:t>
      </w:r>
      <w:r w:rsidRPr="00464E67">
        <w:rPr>
          <w:rFonts w:ascii="Times New Roman" w:hAnsi="Times New Roman" w:cs="Times New Roman"/>
          <w:lang w:val="en-US"/>
        </w:rPr>
        <w:t xml:space="preserve"> Cost-utility planes </w:t>
      </w:r>
      <w:r w:rsidR="004F3E5A">
        <w:rPr>
          <w:rFonts w:ascii="Times New Roman" w:hAnsi="Times New Roman" w:cs="Times New Roman"/>
          <w:lang w:val="en-US"/>
        </w:rPr>
        <w:t xml:space="preserve">and cost-utility acceptability curves </w:t>
      </w:r>
      <w:r w:rsidRPr="00464E67">
        <w:rPr>
          <w:rFonts w:ascii="Times New Roman" w:hAnsi="Times New Roman" w:cs="Times New Roman"/>
          <w:lang w:val="en-US"/>
        </w:rPr>
        <w:t xml:space="preserve">of </w:t>
      </w:r>
      <w:r w:rsidR="00B20112">
        <w:rPr>
          <w:rFonts w:ascii="Times New Roman" w:hAnsi="Times New Roman" w:cs="Times New Roman"/>
          <w:lang w:val="en-US"/>
        </w:rPr>
        <w:t>AM</w:t>
      </w:r>
      <w:r w:rsidRPr="00464E67">
        <w:rPr>
          <w:rFonts w:ascii="Times New Roman" w:hAnsi="Times New Roman" w:cs="Times New Roman"/>
          <w:lang w:val="en-US"/>
        </w:rPr>
        <w:t xml:space="preserve"> vs antidepressants</w:t>
      </w:r>
    </w:p>
    <w:p w14:paraId="49C74C14" w14:textId="77777777" w:rsidR="004F3E5A" w:rsidRDefault="00464E67" w:rsidP="00095EDF">
      <w:pPr>
        <w:jc w:val="both"/>
        <w:rPr>
          <w:rFonts w:ascii="Times New Roman" w:hAnsi="Times New Roman" w:cs="Times New Roman"/>
          <w:lang w:val="en-US"/>
        </w:rPr>
      </w:pPr>
      <w:r w:rsidRPr="00464E67">
        <w:rPr>
          <w:rFonts w:ascii="Times New Roman" w:hAnsi="Times New Roman" w:cs="Times New Roman"/>
          <w:lang w:val="en-US"/>
        </w:rPr>
        <w:t>QALYs = Quality Adjusted Life Years</w:t>
      </w:r>
      <w:r w:rsidR="004F3E5A">
        <w:rPr>
          <w:rFonts w:ascii="Times New Roman" w:hAnsi="Times New Roman" w:cs="Times New Roman"/>
          <w:lang w:val="en-US"/>
        </w:rPr>
        <w:t xml:space="preserve">. </w:t>
      </w:r>
    </w:p>
    <w:p w14:paraId="270A8FE1" w14:textId="54F5D4A5" w:rsidR="00464E67" w:rsidRDefault="004F3E5A" w:rsidP="004F3E5A">
      <w:pPr>
        <w:jc w:val="both"/>
        <w:rPr>
          <w:rFonts w:ascii="Times New Roman" w:hAnsi="Times New Roman" w:cs="Times New Roman"/>
          <w:lang w:val="en-US"/>
        </w:rPr>
      </w:pPr>
      <w:r>
        <w:rPr>
          <w:rFonts w:ascii="Times New Roman" w:hAnsi="Times New Roman" w:cs="Times New Roman"/>
          <w:lang w:val="en-US"/>
        </w:rPr>
        <w:t xml:space="preserve">Fig 2a: Cost-utility plane from the healthcare perspective at 6-month follow-up; Fig 2b: Cost-utility plane from the government perspective at 6-month follow-up; Fig 2c: </w:t>
      </w:r>
      <w:r w:rsidRPr="00464E67">
        <w:rPr>
          <w:rFonts w:ascii="Times New Roman" w:hAnsi="Times New Roman" w:cs="Times New Roman"/>
          <w:lang w:val="en-US"/>
        </w:rPr>
        <w:t>Cost-utility acceptability curves</w:t>
      </w:r>
      <w:r>
        <w:rPr>
          <w:rFonts w:ascii="Times New Roman" w:hAnsi="Times New Roman" w:cs="Times New Roman"/>
          <w:lang w:val="en-US"/>
        </w:rPr>
        <w:t xml:space="preserve"> from the healthcare and government perspective at 6-month follow-up; Fig 2d: </w:t>
      </w:r>
      <w:r w:rsidRPr="00464E67">
        <w:rPr>
          <w:rFonts w:ascii="Times New Roman" w:hAnsi="Times New Roman" w:cs="Times New Roman"/>
          <w:lang w:val="en-US"/>
        </w:rPr>
        <w:t>Cost-utility acceptability curves</w:t>
      </w:r>
      <w:r>
        <w:rPr>
          <w:rFonts w:ascii="Times New Roman" w:hAnsi="Times New Roman" w:cs="Times New Roman"/>
          <w:lang w:val="en-US"/>
        </w:rPr>
        <w:t xml:space="preserve"> from the healthcare and government perspective at 12-month follow-up.</w:t>
      </w:r>
    </w:p>
    <w:p w14:paraId="5CC5825A" w14:textId="77777777" w:rsidR="005F104B" w:rsidRDefault="005F104B" w:rsidP="004F3E5A">
      <w:pPr>
        <w:jc w:val="both"/>
        <w:rPr>
          <w:rFonts w:ascii="Times New Roman" w:hAnsi="Times New Roman" w:cs="Times New Roman"/>
          <w:lang w:val="en-US"/>
        </w:rPr>
      </w:pPr>
    </w:p>
    <w:p w14:paraId="2026A032" w14:textId="77777777" w:rsidR="005F104B" w:rsidRDefault="005F104B" w:rsidP="004F3E5A">
      <w:pPr>
        <w:jc w:val="both"/>
        <w:rPr>
          <w:rFonts w:ascii="Times New Roman" w:hAnsi="Times New Roman" w:cs="Times New Roman"/>
          <w:lang w:val="en-US"/>
        </w:rPr>
      </w:pPr>
    </w:p>
    <w:p w14:paraId="04DC6E6B" w14:textId="77777777" w:rsidR="005F104B" w:rsidRDefault="005F104B" w:rsidP="004F3E5A">
      <w:pPr>
        <w:jc w:val="both"/>
        <w:rPr>
          <w:rFonts w:ascii="Times New Roman" w:hAnsi="Times New Roman" w:cs="Times New Roman"/>
          <w:lang w:val="en-US"/>
        </w:rPr>
      </w:pPr>
    </w:p>
    <w:p w14:paraId="1784A097" w14:textId="77777777" w:rsidR="005F104B" w:rsidRDefault="005F104B" w:rsidP="004F3E5A">
      <w:pPr>
        <w:jc w:val="both"/>
        <w:rPr>
          <w:rFonts w:ascii="Times New Roman" w:hAnsi="Times New Roman" w:cs="Times New Roman"/>
          <w:lang w:val="en-US"/>
        </w:rPr>
      </w:pPr>
    </w:p>
    <w:p w14:paraId="561190A7" w14:textId="77777777" w:rsidR="005F104B" w:rsidRDefault="005F104B" w:rsidP="004F3E5A">
      <w:pPr>
        <w:jc w:val="both"/>
        <w:rPr>
          <w:rFonts w:ascii="Times New Roman" w:hAnsi="Times New Roman" w:cs="Times New Roman"/>
          <w:lang w:val="en-US"/>
        </w:rPr>
      </w:pPr>
    </w:p>
    <w:p w14:paraId="7AE741AA" w14:textId="77777777" w:rsidR="005F104B" w:rsidRDefault="005F104B" w:rsidP="004F3E5A">
      <w:pPr>
        <w:jc w:val="both"/>
        <w:rPr>
          <w:rFonts w:ascii="Times New Roman" w:hAnsi="Times New Roman" w:cs="Times New Roman"/>
          <w:lang w:val="en-US"/>
        </w:rPr>
      </w:pPr>
    </w:p>
    <w:p w14:paraId="14CEFF49" w14:textId="77777777" w:rsidR="005F104B" w:rsidRDefault="005F104B" w:rsidP="004F3E5A">
      <w:pPr>
        <w:jc w:val="both"/>
        <w:rPr>
          <w:rFonts w:ascii="Times New Roman" w:hAnsi="Times New Roman" w:cs="Times New Roman"/>
          <w:lang w:val="en-US"/>
        </w:rPr>
      </w:pPr>
    </w:p>
    <w:p w14:paraId="642455FB" w14:textId="77777777" w:rsidR="005F104B" w:rsidRDefault="005F104B" w:rsidP="004F3E5A">
      <w:pPr>
        <w:jc w:val="both"/>
        <w:rPr>
          <w:rFonts w:ascii="Times New Roman" w:hAnsi="Times New Roman" w:cs="Times New Roman"/>
          <w:lang w:val="en-US"/>
        </w:rPr>
      </w:pPr>
    </w:p>
    <w:p w14:paraId="61035C71" w14:textId="77777777" w:rsidR="005F104B" w:rsidRDefault="005F104B" w:rsidP="004F3E5A">
      <w:pPr>
        <w:jc w:val="both"/>
        <w:rPr>
          <w:rFonts w:ascii="Times New Roman" w:hAnsi="Times New Roman" w:cs="Times New Roman"/>
          <w:lang w:val="en-US"/>
        </w:rPr>
      </w:pPr>
    </w:p>
    <w:p w14:paraId="58FE4838" w14:textId="77777777" w:rsidR="005F104B" w:rsidRDefault="005F104B" w:rsidP="004F3E5A">
      <w:pPr>
        <w:jc w:val="both"/>
        <w:rPr>
          <w:rFonts w:ascii="Times New Roman" w:hAnsi="Times New Roman" w:cs="Times New Roman"/>
          <w:lang w:val="en-US"/>
        </w:rPr>
      </w:pPr>
    </w:p>
    <w:p w14:paraId="2E257F23" w14:textId="77777777" w:rsidR="005F104B" w:rsidRDefault="005F104B" w:rsidP="004F3E5A">
      <w:pPr>
        <w:jc w:val="both"/>
        <w:rPr>
          <w:rFonts w:ascii="Times New Roman" w:hAnsi="Times New Roman" w:cs="Times New Roman"/>
          <w:lang w:val="en-US"/>
        </w:rPr>
      </w:pPr>
    </w:p>
    <w:p w14:paraId="6F8B1FAE" w14:textId="77777777" w:rsidR="005F104B" w:rsidRDefault="005F104B" w:rsidP="004F3E5A">
      <w:pPr>
        <w:jc w:val="both"/>
        <w:rPr>
          <w:rFonts w:ascii="Times New Roman" w:hAnsi="Times New Roman" w:cs="Times New Roman"/>
          <w:lang w:val="en-US"/>
        </w:rPr>
      </w:pPr>
    </w:p>
    <w:p w14:paraId="474B385E" w14:textId="77777777" w:rsidR="005F104B" w:rsidRDefault="005F104B" w:rsidP="004F3E5A">
      <w:pPr>
        <w:jc w:val="both"/>
        <w:rPr>
          <w:rFonts w:ascii="Times New Roman" w:hAnsi="Times New Roman" w:cs="Times New Roman"/>
          <w:lang w:val="en-US"/>
        </w:rPr>
      </w:pPr>
    </w:p>
    <w:p w14:paraId="2BBE4631" w14:textId="77777777" w:rsidR="005F104B" w:rsidRDefault="005F104B" w:rsidP="004F3E5A">
      <w:pPr>
        <w:jc w:val="both"/>
        <w:rPr>
          <w:rFonts w:ascii="Times New Roman" w:hAnsi="Times New Roman" w:cs="Times New Roman"/>
          <w:lang w:val="en-US"/>
        </w:rPr>
      </w:pPr>
    </w:p>
    <w:p w14:paraId="3D9789B0" w14:textId="77777777" w:rsidR="005F104B" w:rsidRDefault="005F104B" w:rsidP="004F3E5A">
      <w:pPr>
        <w:jc w:val="both"/>
        <w:rPr>
          <w:rFonts w:ascii="Times New Roman" w:hAnsi="Times New Roman" w:cs="Times New Roman"/>
          <w:lang w:val="en-US"/>
        </w:rPr>
      </w:pPr>
    </w:p>
    <w:p w14:paraId="7989EE24" w14:textId="77777777" w:rsidR="005F104B" w:rsidRDefault="005F104B" w:rsidP="004F3E5A">
      <w:pPr>
        <w:jc w:val="both"/>
        <w:rPr>
          <w:rFonts w:ascii="Times New Roman" w:hAnsi="Times New Roman" w:cs="Times New Roman"/>
          <w:lang w:val="en-US"/>
        </w:rPr>
      </w:pPr>
    </w:p>
    <w:p w14:paraId="3B81C6AD" w14:textId="77777777" w:rsidR="005F104B" w:rsidRDefault="005F104B" w:rsidP="004F3E5A">
      <w:pPr>
        <w:jc w:val="both"/>
        <w:rPr>
          <w:rFonts w:ascii="Times New Roman" w:hAnsi="Times New Roman" w:cs="Times New Roman"/>
          <w:lang w:val="en-US"/>
        </w:rPr>
      </w:pPr>
    </w:p>
    <w:p w14:paraId="7CAFAE64" w14:textId="77777777" w:rsidR="005F104B" w:rsidRDefault="005F104B" w:rsidP="004F3E5A">
      <w:pPr>
        <w:jc w:val="both"/>
        <w:rPr>
          <w:rFonts w:ascii="Times New Roman" w:hAnsi="Times New Roman" w:cs="Times New Roman"/>
          <w:lang w:val="en-US"/>
        </w:rPr>
      </w:pPr>
    </w:p>
    <w:p w14:paraId="7AC22078" w14:textId="77777777" w:rsidR="005F104B" w:rsidRDefault="005F104B" w:rsidP="004F3E5A">
      <w:pPr>
        <w:jc w:val="both"/>
        <w:rPr>
          <w:rFonts w:ascii="Times New Roman" w:hAnsi="Times New Roman" w:cs="Times New Roman"/>
          <w:lang w:val="en-US"/>
        </w:rPr>
      </w:pPr>
    </w:p>
    <w:p w14:paraId="04649C66" w14:textId="77777777" w:rsidR="005F104B" w:rsidRDefault="005F104B" w:rsidP="004F3E5A">
      <w:pPr>
        <w:jc w:val="both"/>
        <w:rPr>
          <w:rFonts w:ascii="Times New Roman" w:hAnsi="Times New Roman" w:cs="Times New Roman"/>
          <w:lang w:val="en-US"/>
        </w:rPr>
      </w:pPr>
    </w:p>
    <w:p w14:paraId="22D0B1D3" w14:textId="77777777" w:rsidR="005F104B" w:rsidRDefault="005F104B" w:rsidP="004F3E5A">
      <w:pPr>
        <w:jc w:val="both"/>
        <w:rPr>
          <w:rFonts w:ascii="Times New Roman" w:hAnsi="Times New Roman" w:cs="Times New Roman"/>
          <w:lang w:val="en-US"/>
        </w:rPr>
      </w:pPr>
    </w:p>
    <w:p w14:paraId="3B42AB0B" w14:textId="77777777" w:rsidR="005F104B" w:rsidRDefault="005F104B" w:rsidP="004F3E5A">
      <w:pPr>
        <w:jc w:val="both"/>
        <w:rPr>
          <w:rFonts w:ascii="Times New Roman" w:hAnsi="Times New Roman" w:cs="Times New Roman"/>
          <w:lang w:val="en-US"/>
        </w:rPr>
      </w:pPr>
    </w:p>
    <w:p w14:paraId="7A44434E" w14:textId="77777777" w:rsidR="005F104B" w:rsidRDefault="005F104B" w:rsidP="004F3E5A">
      <w:pPr>
        <w:jc w:val="both"/>
        <w:rPr>
          <w:rFonts w:ascii="Times New Roman" w:hAnsi="Times New Roman" w:cs="Times New Roman"/>
          <w:lang w:val="en-US"/>
        </w:rPr>
      </w:pPr>
    </w:p>
    <w:p w14:paraId="4924AE45" w14:textId="77777777" w:rsidR="005F104B" w:rsidRPr="00C9506C" w:rsidRDefault="005F104B" w:rsidP="005F104B">
      <w:pPr>
        <w:spacing w:after="0" w:line="480" w:lineRule="auto"/>
        <w:rPr>
          <w:b/>
          <w:bCs/>
          <w:color w:val="000000"/>
          <w:lang w:val="en-US"/>
        </w:rPr>
      </w:pPr>
      <w:r w:rsidRPr="00C9506C">
        <w:rPr>
          <w:lang w:val="en-US"/>
        </w:rPr>
        <w:lastRenderedPageBreak/>
        <w:t>Table 1. Unit costs for resources in Euros (</w:t>
      </w:r>
      <w:r w:rsidRPr="00C9506C">
        <w:rPr>
          <w:bCs/>
          <w:color w:val="000000"/>
          <w:lang w:val="en-US"/>
        </w:rPr>
        <w:t>€,</w:t>
      </w:r>
      <w:r w:rsidRPr="00C9506C">
        <w:rPr>
          <w:b/>
          <w:bCs/>
          <w:color w:val="000000"/>
          <w:lang w:val="en-US"/>
        </w:rPr>
        <w:t xml:space="preserve"> </w:t>
      </w:r>
      <w:r w:rsidRPr="00C9506C">
        <w:rPr>
          <w:lang w:val="en-US"/>
        </w:rPr>
        <w:t>year 2015)</w:t>
      </w:r>
    </w:p>
    <w:tbl>
      <w:tblPr>
        <w:tblW w:w="0" w:type="auto"/>
        <w:tblBorders>
          <w:top w:val="single" w:sz="8" w:space="0" w:color="000000"/>
          <w:bottom w:val="single" w:sz="8" w:space="0" w:color="000000"/>
        </w:tblBorders>
        <w:tblLook w:val="04A0" w:firstRow="1" w:lastRow="0" w:firstColumn="1" w:lastColumn="0" w:noHBand="0" w:noVBand="1"/>
      </w:tblPr>
      <w:tblGrid>
        <w:gridCol w:w="4733"/>
        <w:gridCol w:w="2889"/>
      </w:tblGrid>
      <w:tr w:rsidR="005F104B" w:rsidRPr="00C9506C" w14:paraId="05EA1694" w14:textId="77777777" w:rsidTr="007E28B9">
        <w:trPr>
          <w:trHeight w:val="454"/>
        </w:trPr>
        <w:tc>
          <w:tcPr>
            <w:tcW w:w="0" w:type="auto"/>
            <w:tcBorders>
              <w:top w:val="single" w:sz="8" w:space="0" w:color="000000"/>
              <w:left w:val="nil"/>
              <w:bottom w:val="single" w:sz="8" w:space="0" w:color="000000"/>
              <w:right w:val="nil"/>
            </w:tcBorders>
            <w:shd w:val="clear" w:color="auto" w:fill="auto"/>
          </w:tcPr>
          <w:p w14:paraId="1F3E61BD" w14:textId="77777777" w:rsidR="005F104B" w:rsidRPr="00C9506C" w:rsidRDefault="005F104B" w:rsidP="007E28B9">
            <w:pPr>
              <w:spacing w:after="0" w:line="480" w:lineRule="auto"/>
              <w:rPr>
                <w:b/>
                <w:bCs/>
                <w:color w:val="000000"/>
                <w:lang w:val="en-US"/>
              </w:rPr>
            </w:pPr>
            <w:r w:rsidRPr="00C9506C">
              <w:rPr>
                <w:b/>
                <w:bCs/>
                <w:color w:val="000000"/>
                <w:lang w:val="en-US"/>
              </w:rPr>
              <w:t>Type of utilization</w:t>
            </w:r>
          </w:p>
        </w:tc>
        <w:tc>
          <w:tcPr>
            <w:tcW w:w="0" w:type="auto"/>
            <w:tcBorders>
              <w:top w:val="single" w:sz="8" w:space="0" w:color="000000"/>
              <w:left w:val="nil"/>
              <w:bottom w:val="single" w:sz="8" w:space="0" w:color="000000"/>
              <w:right w:val="nil"/>
            </w:tcBorders>
            <w:shd w:val="clear" w:color="auto" w:fill="auto"/>
          </w:tcPr>
          <w:p w14:paraId="37384CE1" w14:textId="77777777" w:rsidR="005F104B" w:rsidRPr="00C9506C" w:rsidRDefault="005F104B" w:rsidP="007E28B9">
            <w:pPr>
              <w:spacing w:after="0" w:line="480" w:lineRule="auto"/>
              <w:rPr>
                <w:b/>
                <w:bCs/>
                <w:color w:val="000000"/>
                <w:lang w:val="en-US"/>
              </w:rPr>
            </w:pPr>
            <w:r w:rsidRPr="00C9506C">
              <w:rPr>
                <w:b/>
                <w:bCs/>
                <w:color w:val="000000"/>
                <w:lang w:val="en-US"/>
              </w:rPr>
              <w:t>Unit costs (€)</w:t>
            </w:r>
          </w:p>
        </w:tc>
      </w:tr>
      <w:tr w:rsidR="005F104B" w:rsidRPr="00C9506C" w14:paraId="73D3913D" w14:textId="77777777" w:rsidTr="007E28B9">
        <w:trPr>
          <w:trHeight w:val="454"/>
        </w:trPr>
        <w:tc>
          <w:tcPr>
            <w:tcW w:w="0" w:type="auto"/>
            <w:tcBorders>
              <w:left w:val="nil"/>
              <w:right w:val="nil"/>
            </w:tcBorders>
            <w:shd w:val="clear" w:color="auto" w:fill="auto"/>
          </w:tcPr>
          <w:p w14:paraId="0070E025" w14:textId="77777777" w:rsidR="005F104B" w:rsidRPr="00C9506C" w:rsidRDefault="005F104B" w:rsidP="007E28B9">
            <w:pPr>
              <w:spacing w:after="0" w:line="480" w:lineRule="auto"/>
              <w:rPr>
                <w:b/>
                <w:bCs/>
                <w:color w:val="000000"/>
                <w:lang w:val="en-US"/>
              </w:rPr>
            </w:pPr>
            <w:r w:rsidRPr="00C9506C">
              <w:rPr>
                <w:b/>
                <w:bCs/>
                <w:color w:val="000000"/>
                <w:lang w:val="en-US"/>
              </w:rPr>
              <w:t xml:space="preserve">Visit to family physician </w:t>
            </w:r>
          </w:p>
        </w:tc>
        <w:tc>
          <w:tcPr>
            <w:tcW w:w="0" w:type="auto"/>
            <w:tcBorders>
              <w:left w:val="nil"/>
              <w:right w:val="nil"/>
            </w:tcBorders>
            <w:shd w:val="clear" w:color="auto" w:fill="auto"/>
          </w:tcPr>
          <w:p w14:paraId="05539DA6" w14:textId="77777777" w:rsidR="005F104B" w:rsidRPr="00C9506C" w:rsidRDefault="005F104B" w:rsidP="007E28B9">
            <w:pPr>
              <w:spacing w:after="0" w:line="480" w:lineRule="auto"/>
              <w:rPr>
                <w:color w:val="000000"/>
                <w:lang w:val="en-US"/>
              </w:rPr>
            </w:pPr>
            <w:r w:rsidRPr="00C9506C">
              <w:rPr>
                <w:color w:val="000000"/>
                <w:lang w:val="en-US"/>
              </w:rPr>
              <w:t>40.0</w:t>
            </w:r>
          </w:p>
        </w:tc>
      </w:tr>
      <w:tr w:rsidR="005F104B" w:rsidRPr="00C9506C" w14:paraId="211049D7" w14:textId="77777777" w:rsidTr="007E28B9">
        <w:trPr>
          <w:trHeight w:val="454"/>
        </w:trPr>
        <w:tc>
          <w:tcPr>
            <w:tcW w:w="0" w:type="auto"/>
            <w:shd w:val="clear" w:color="auto" w:fill="auto"/>
          </w:tcPr>
          <w:p w14:paraId="1677D5BE" w14:textId="77777777" w:rsidR="005F104B" w:rsidRPr="00C9506C" w:rsidRDefault="005F104B" w:rsidP="007E28B9">
            <w:pPr>
              <w:spacing w:after="0" w:line="480" w:lineRule="auto"/>
              <w:rPr>
                <w:b/>
                <w:bCs/>
                <w:color w:val="000000"/>
                <w:lang w:val="en-US"/>
              </w:rPr>
            </w:pPr>
            <w:r w:rsidRPr="00C9506C">
              <w:rPr>
                <w:b/>
                <w:bCs/>
                <w:color w:val="000000"/>
                <w:lang w:val="en-US"/>
              </w:rPr>
              <w:t>Visit to nurse</w:t>
            </w:r>
          </w:p>
        </w:tc>
        <w:tc>
          <w:tcPr>
            <w:tcW w:w="0" w:type="auto"/>
            <w:shd w:val="clear" w:color="auto" w:fill="auto"/>
          </w:tcPr>
          <w:p w14:paraId="0E4FA8ED" w14:textId="77777777" w:rsidR="005F104B" w:rsidRPr="00C9506C" w:rsidRDefault="005F104B" w:rsidP="007E28B9">
            <w:pPr>
              <w:spacing w:after="0" w:line="480" w:lineRule="auto"/>
              <w:rPr>
                <w:color w:val="000000"/>
                <w:lang w:val="en-US"/>
              </w:rPr>
            </w:pPr>
            <w:r w:rsidRPr="00C9506C">
              <w:rPr>
                <w:color w:val="000000"/>
                <w:lang w:val="en-US"/>
              </w:rPr>
              <w:t>28.0</w:t>
            </w:r>
          </w:p>
        </w:tc>
      </w:tr>
      <w:tr w:rsidR="005F104B" w:rsidRPr="00C9506C" w14:paraId="3B293D40" w14:textId="77777777" w:rsidTr="007E28B9">
        <w:trPr>
          <w:trHeight w:val="454"/>
        </w:trPr>
        <w:tc>
          <w:tcPr>
            <w:tcW w:w="0" w:type="auto"/>
            <w:tcBorders>
              <w:left w:val="nil"/>
              <w:right w:val="nil"/>
            </w:tcBorders>
            <w:shd w:val="clear" w:color="auto" w:fill="auto"/>
          </w:tcPr>
          <w:p w14:paraId="08ED8A5C" w14:textId="77777777" w:rsidR="005F104B" w:rsidRPr="00C9506C" w:rsidRDefault="005F104B" w:rsidP="007E28B9">
            <w:pPr>
              <w:spacing w:after="0" w:line="480" w:lineRule="auto"/>
              <w:rPr>
                <w:b/>
                <w:bCs/>
                <w:color w:val="000000"/>
                <w:lang w:val="en-US"/>
              </w:rPr>
            </w:pPr>
            <w:r w:rsidRPr="00C9506C">
              <w:rPr>
                <w:b/>
                <w:bCs/>
                <w:color w:val="000000"/>
                <w:lang w:val="en-US"/>
              </w:rPr>
              <w:t xml:space="preserve">Visit to psychologist </w:t>
            </w:r>
          </w:p>
        </w:tc>
        <w:tc>
          <w:tcPr>
            <w:tcW w:w="0" w:type="auto"/>
            <w:tcBorders>
              <w:left w:val="nil"/>
              <w:right w:val="nil"/>
            </w:tcBorders>
            <w:shd w:val="clear" w:color="auto" w:fill="auto"/>
          </w:tcPr>
          <w:p w14:paraId="1BE1A951" w14:textId="77777777" w:rsidR="005F104B" w:rsidRPr="00C9506C" w:rsidRDefault="005F104B" w:rsidP="007E28B9">
            <w:pPr>
              <w:spacing w:after="0" w:line="480" w:lineRule="auto"/>
              <w:rPr>
                <w:color w:val="000000"/>
                <w:lang w:val="en-US"/>
              </w:rPr>
            </w:pPr>
            <w:r w:rsidRPr="00C9506C">
              <w:rPr>
                <w:color w:val="000000"/>
                <w:lang w:val="en-US"/>
              </w:rPr>
              <w:t>54.9</w:t>
            </w:r>
          </w:p>
        </w:tc>
      </w:tr>
      <w:tr w:rsidR="005F104B" w:rsidRPr="00C9506C" w14:paraId="238A82C4" w14:textId="77777777" w:rsidTr="007E28B9">
        <w:trPr>
          <w:trHeight w:val="454"/>
        </w:trPr>
        <w:tc>
          <w:tcPr>
            <w:tcW w:w="0" w:type="auto"/>
            <w:shd w:val="clear" w:color="auto" w:fill="auto"/>
          </w:tcPr>
          <w:p w14:paraId="381F9C43" w14:textId="77777777" w:rsidR="005F104B" w:rsidRPr="00C9506C" w:rsidRDefault="005F104B" w:rsidP="007E28B9">
            <w:pPr>
              <w:spacing w:after="0" w:line="480" w:lineRule="auto"/>
              <w:rPr>
                <w:b/>
                <w:bCs/>
                <w:color w:val="000000"/>
                <w:lang w:val="en-US"/>
              </w:rPr>
            </w:pPr>
            <w:r w:rsidRPr="00C9506C">
              <w:rPr>
                <w:b/>
                <w:bCs/>
                <w:color w:val="000000"/>
                <w:lang w:val="en-US"/>
              </w:rPr>
              <w:t>Visit to medical specialists (including psychiatrist)</w:t>
            </w:r>
          </w:p>
        </w:tc>
        <w:tc>
          <w:tcPr>
            <w:tcW w:w="0" w:type="auto"/>
            <w:shd w:val="clear" w:color="auto" w:fill="auto"/>
          </w:tcPr>
          <w:p w14:paraId="2FBA9247" w14:textId="77777777" w:rsidR="005F104B" w:rsidRPr="00C9506C" w:rsidRDefault="005F104B" w:rsidP="007E28B9">
            <w:pPr>
              <w:spacing w:after="0" w:line="480" w:lineRule="auto"/>
              <w:rPr>
                <w:color w:val="000000"/>
                <w:lang w:val="en-US"/>
              </w:rPr>
            </w:pPr>
            <w:r w:rsidRPr="00C9506C">
              <w:rPr>
                <w:color w:val="000000"/>
                <w:lang w:val="en-US"/>
              </w:rPr>
              <w:t>54.9</w:t>
            </w:r>
          </w:p>
        </w:tc>
      </w:tr>
      <w:tr w:rsidR="005F104B" w:rsidRPr="00C9506C" w14:paraId="4DFE1495" w14:textId="77777777" w:rsidTr="007E28B9">
        <w:trPr>
          <w:trHeight w:val="454"/>
        </w:trPr>
        <w:tc>
          <w:tcPr>
            <w:tcW w:w="0" w:type="auto"/>
            <w:tcBorders>
              <w:left w:val="nil"/>
              <w:right w:val="nil"/>
            </w:tcBorders>
            <w:shd w:val="clear" w:color="auto" w:fill="auto"/>
          </w:tcPr>
          <w:p w14:paraId="13C74BEF" w14:textId="77777777" w:rsidR="005F104B" w:rsidRPr="00C9506C" w:rsidRDefault="005F104B" w:rsidP="007E28B9">
            <w:pPr>
              <w:spacing w:after="0" w:line="480" w:lineRule="auto"/>
              <w:rPr>
                <w:b/>
                <w:bCs/>
                <w:color w:val="000000"/>
                <w:lang w:val="en-US"/>
              </w:rPr>
            </w:pPr>
            <w:r w:rsidRPr="00C9506C">
              <w:rPr>
                <w:b/>
                <w:bCs/>
                <w:color w:val="000000"/>
                <w:lang w:val="en-US"/>
              </w:rPr>
              <w:t>Visit to dentist in the primary care practice</w:t>
            </w:r>
          </w:p>
        </w:tc>
        <w:tc>
          <w:tcPr>
            <w:tcW w:w="0" w:type="auto"/>
            <w:tcBorders>
              <w:left w:val="nil"/>
              <w:right w:val="nil"/>
            </w:tcBorders>
            <w:shd w:val="clear" w:color="auto" w:fill="auto"/>
          </w:tcPr>
          <w:p w14:paraId="5FB8C22D" w14:textId="77777777" w:rsidR="005F104B" w:rsidRPr="00C9506C" w:rsidRDefault="005F104B" w:rsidP="007E28B9">
            <w:pPr>
              <w:spacing w:after="0" w:line="480" w:lineRule="auto"/>
              <w:rPr>
                <w:color w:val="000000"/>
                <w:lang w:val="en-US"/>
              </w:rPr>
            </w:pPr>
            <w:r w:rsidRPr="00C9506C">
              <w:rPr>
                <w:color w:val="000000"/>
                <w:lang w:val="en-US"/>
              </w:rPr>
              <w:t>49.0</w:t>
            </w:r>
          </w:p>
        </w:tc>
      </w:tr>
      <w:tr w:rsidR="005F104B" w:rsidRPr="00C9506C" w14:paraId="01731D08" w14:textId="77777777" w:rsidTr="007E28B9">
        <w:trPr>
          <w:trHeight w:val="454"/>
        </w:trPr>
        <w:tc>
          <w:tcPr>
            <w:tcW w:w="0" w:type="auto"/>
            <w:shd w:val="clear" w:color="auto" w:fill="auto"/>
          </w:tcPr>
          <w:p w14:paraId="276888F9" w14:textId="77777777" w:rsidR="005F104B" w:rsidRPr="00C9506C" w:rsidRDefault="005F104B" w:rsidP="007E28B9">
            <w:pPr>
              <w:spacing w:after="0" w:line="480" w:lineRule="auto"/>
              <w:rPr>
                <w:b/>
                <w:bCs/>
                <w:color w:val="000000"/>
                <w:lang w:val="en-US"/>
              </w:rPr>
            </w:pPr>
            <w:r w:rsidRPr="00C9506C">
              <w:rPr>
                <w:b/>
                <w:bCs/>
                <w:color w:val="000000"/>
                <w:lang w:val="en-US"/>
              </w:rPr>
              <w:t>Hospital emergency visit</w:t>
            </w:r>
          </w:p>
        </w:tc>
        <w:tc>
          <w:tcPr>
            <w:tcW w:w="0" w:type="auto"/>
            <w:shd w:val="clear" w:color="auto" w:fill="auto"/>
          </w:tcPr>
          <w:p w14:paraId="705B810F" w14:textId="77777777" w:rsidR="005F104B" w:rsidRPr="00C9506C" w:rsidRDefault="005F104B" w:rsidP="007E28B9">
            <w:pPr>
              <w:spacing w:after="0" w:line="480" w:lineRule="auto"/>
              <w:rPr>
                <w:color w:val="000000"/>
                <w:lang w:val="en-US"/>
              </w:rPr>
            </w:pPr>
            <w:r w:rsidRPr="00C9506C">
              <w:rPr>
                <w:color w:val="000000"/>
                <w:lang w:val="en-US"/>
              </w:rPr>
              <w:t>98.8</w:t>
            </w:r>
          </w:p>
        </w:tc>
      </w:tr>
      <w:tr w:rsidR="005F104B" w:rsidRPr="00C9506C" w14:paraId="4DF1DF57" w14:textId="77777777" w:rsidTr="007E28B9">
        <w:trPr>
          <w:trHeight w:val="454"/>
        </w:trPr>
        <w:tc>
          <w:tcPr>
            <w:tcW w:w="0" w:type="auto"/>
            <w:tcBorders>
              <w:left w:val="nil"/>
              <w:right w:val="nil"/>
            </w:tcBorders>
            <w:shd w:val="clear" w:color="auto" w:fill="auto"/>
          </w:tcPr>
          <w:p w14:paraId="382D63B2" w14:textId="77777777" w:rsidR="005F104B" w:rsidRPr="00C9506C" w:rsidRDefault="005F104B" w:rsidP="007E28B9">
            <w:pPr>
              <w:spacing w:after="0" w:line="480" w:lineRule="auto"/>
              <w:rPr>
                <w:b/>
                <w:bCs/>
                <w:color w:val="000000"/>
                <w:lang w:val="en-US"/>
              </w:rPr>
            </w:pPr>
            <w:r w:rsidRPr="00C9506C">
              <w:rPr>
                <w:b/>
                <w:bCs/>
                <w:color w:val="000000"/>
                <w:lang w:val="en-US"/>
              </w:rPr>
              <w:t>Hospital stay (per day)</w:t>
            </w:r>
          </w:p>
        </w:tc>
        <w:tc>
          <w:tcPr>
            <w:tcW w:w="0" w:type="auto"/>
            <w:tcBorders>
              <w:left w:val="nil"/>
              <w:right w:val="nil"/>
            </w:tcBorders>
            <w:shd w:val="clear" w:color="auto" w:fill="auto"/>
          </w:tcPr>
          <w:p w14:paraId="40566873" w14:textId="77777777" w:rsidR="005F104B" w:rsidRPr="00C9506C" w:rsidRDefault="005F104B" w:rsidP="007E28B9">
            <w:pPr>
              <w:spacing w:after="0" w:line="480" w:lineRule="auto"/>
              <w:rPr>
                <w:color w:val="000000"/>
                <w:lang w:val="en-US"/>
              </w:rPr>
            </w:pPr>
            <w:r w:rsidRPr="00C9506C">
              <w:rPr>
                <w:color w:val="000000"/>
                <w:lang w:val="en-US"/>
              </w:rPr>
              <w:t>536.0</w:t>
            </w:r>
          </w:p>
        </w:tc>
      </w:tr>
      <w:tr w:rsidR="005F104B" w:rsidRPr="00C9506C" w14:paraId="2E1F345A" w14:textId="77777777" w:rsidTr="007E28B9">
        <w:trPr>
          <w:trHeight w:val="454"/>
        </w:trPr>
        <w:tc>
          <w:tcPr>
            <w:tcW w:w="0" w:type="auto"/>
            <w:shd w:val="clear" w:color="auto" w:fill="auto"/>
          </w:tcPr>
          <w:p w14:paraId="5311E518" w14:textId="77777777" w:rsidR="005F104B" w:rsidRPr="00C9506C" w:rsidRDefault="005F104B" w:rsidP="007E28B9">
            <w:pPr>
              <w:spacing w:after="0" w:line="480" w:lineRule="auto"/>
              <w:rPr>
                <w:b/>
                <w:bCs/>
                <w:color w:val="000000"/>
                <w:lang w:val="en-US"/>
              </w:rPr>
            </w:pPr>
            <w:r w:rsidRPr="00C9506C">
              <w:rPr>
                <w:b/>
                <w:bCs/>
                <w:color w:val="000000"/>
                <w:lang w:val="en-US"/>
              </w:rPr>
              <w:t>Diagnostic test (range)</w:t>
            </w:r>
          </w:p>
        </w:tc>
        <w:tc>
          <w:tcPr>
            <w:tcW w:w="0" w:type="auto"/>
            <w:shd w:val="clear" w:color="auto" w:fill="auto"/>
          </w:tcPr>
          <w:p w14:paraId="708EB769" w14:textId="77777777" w:rsidR="005F104B" w:rsidRPr="00C9506C" w:rsidRDefault="005F104B" w:rsidP="007E28B9">
            <w:pPr>
              <w:spacing w:after="0" w:line="480" w:lineRule="auto"/>
              <w:rPr>
                <w:color w:val="000000"/>
                <w:lang w:val="en-US"/>
              </w:rPr>
            </w:pPr>
            <w:r w:rsidRPr="00C9506C">
              <w:rPr>
                <w:color w:val="000000"/>
                <w:lang w:val="en-US"/>
              </w:rPr>
              <w:t>3.7-197</w:t>
            </w:r>
          </w:p>
        </w:tc>
      </w:tr>
      <w:tr w:rsidR="005F104B" w:rsidRPr="000900F5" w14:paraId="54BBBA44" w14:textId="77777777" w:rsidTr="007E28B9">
        <w:trPr>
          <w:trHeight w:val="454"/>
        </w:trPr>
        <w:tc>
          <w:tcPr>
            <w:tcW w:w="0" w:type="auto"/>
            <w:tcBorders>
              <w:left w:val="nil"/>
              <w:right w:val="nil"/>
            </w:tcBorders>
            <w:shd w:val="clear" w:color="auto" w:fill="auto"/>
          </w:tcPr>
          <w:p w14:paraId="7E282840" w14:textId="77777777" w:rsidR="005F104B" w:rsidRPr="00C9506C" w:rsidRDefault="005F104B" w:rsidP="007E28B9">
            <w:pPr>
              <w:spacing w:after="0" w:line="480" w:lineRule="auto"/>
              <w:rPr>
                <w:b/>
                <w:bCs/>
                <w:color w:val="000000"/>
                <w:lang w:val="en-US"/>
              </w:rPr>
            </w:pPr>
            <w:r w:rsidRPr="00C9506C">
              <w:rPr>
                <w:b/>
                <w:bCs/>
                <w:color w:val="000000"/>
                <w:lang w:val="en-US"/>
              </w:rPr>
              <w:t>Pharmacological treatment</w:t>
            </w:r>
          </w:p>
        </w:tc>
        <w:tc>
          <w:tcPr>
            <w:tcW w:w="0" w:type="auto"/>
            <w:tcBorders>
              <w:left w:val="nil"/>
              <w:right w:val="nil"/>
            </w:tcBorders>
            <w:shd w:val="clear" w:color="auto" w:fill="auto"/>
          </w:tcPr>
          <w:p w14:paraId="659D0AFF" w14:textId="77777777" w:rsidR="005F104B" w:rsidRPr="00C9506C" w:rsidRDefault="005F104B" w:rsidP="007E28B9">
            <w:pPr>
              <w:spacing w:after="0" w:line="480" w:lineRule="auto"/>
              <w:rPr>
                <w:color w:val="000000"/>
                <w:lang w:val="en-US"/>
              </w:rPr>
            </w:pPr>
            <w:r w:rsidRPr="00C9506C">
              <w:rPr>
                <w:color w:val="000000"/>
                <w:lang w:val="en-US"/>
              </w:rPr>
              <w:t>Depending on type and dose*</w:t>
            </w:r>
          </w:p>
        </w:tc>
      </w:tr>
      <w:tr w:rsidR="005F104B" w:rsidRPr="00C9506C" w14:paraId="4AD59D12" w14:textId="77777777" w:rsidTr="007E28B9">
        <w:trPr>
          <w:trHeight w:val="454"/>
        </w:trPr>
        <w:tc>
          <w:tcPr>
            <w:tcW w:w="0" w:type="auto"/>
            <w:shd w:val="clear" w:color="auto" w:fill="auto"/>
          </w:tcPr>
          <w:p w14:paraId="40E5B68B" w14:textId="77777777" w:rsidR="005F104B" w:rsidRPr="00C9506C" w:rsidRDefault="005F104B" w:rsidP="007E28B9">
            <w:pPr>
              <w:spacing w:after="0" w:line="480" w:lineRule="auto"/>
              <w:rPr>
                <w:b/>
                <w:bCs/>
                <w:color w:val="000000"/>
                <w:lang w:val="en-US"/>
              </w:rPr>
            </w:pPr>
            <w:r w:rsidRPr="00C9506C">
              <w:rPr>
                <w:b/>
                <w:bCs/>
                <w:color w:val="000000"/>
                <w:lang w:val="en-US"/>
              </w:rPr>
              <w:t xml:space="preserve">Visit to social worker </w:t>
            </w:r>
          </w:p>
        </w:tc>
        <w:tc>
          <w:tcPr>
            <w:tcW w:w="0" w:type="auto"/>
            <w:shd w:val="clear" w:color="auto" w:fill="auto"/>
          </w:tcPr>
          <w:p w14:paraId="4798C54B" w14:textId="77777777" w:rsidR="005F104B" w:rsidRPr="00C9506C" w:rsidRDefault="005F104B" w:rsidP="007E28B9">
            <w:pPr>
              <w:spacing w:after="0" w:line="480" w:lineRule="auto"/>
              <w:rPr>
                <w:color w:val="000000"/>
                <w:lang w:val="en-US"/>
              </w:rPr>
            </w:pPr>
            <w:r w:rsidRPr="00C9506C">
              <w:rPr>
                <w:color w:val="000000"/>
                <w:lang w:val="en-US"/>
              </w:rPr>
              <w:t>40.0</w:t>
            </w:r>
          </w:p>
        </w:tc>
      </w:tr>
      <w:tr w:rsidR="005F104B" w:rsidRPr="00C9506C" w14:paraId="64FAA65F" w14:textId="77777777" w:rsidTr="007E28B9">
        <w:trPr>
          <w:trHeight w:val="454"/>
        </w:trPr>
        <w:tc>
          <w:tcPr>
            <w:tcW w:w="0" w:type="auto"/>
            <w:tcBorders>
              <w:left w:val="nil"/>
              <w:right w:val="nil"/>
            </w:tcBorders>
            <w:shd w:val="clear" w:color="auto" w:fill="auto"/>
          </w:tcPr>
          <w:p w14:paraId="7FF798AC" w14:textId="77777777" w:rsidR="005F104B" w:rsidRPr="00C9506C" w:rsidRDefault="005F104B" w:rsidP="007E28B9">
            <w:pPr>
              <w:spacing w:after="0" w:line="480" w:lineRule="auto"/>
              <w:rPr>
                <w:b/>
                <w:bCs/>
                <w:color w:val="000000"/>
                <w:lang w:val="en-US"/>
              </w:rPr>
            </w:pPr>
            <w:r w:rsidRPr="00C9506C">
              <w:rPr>
                <w:b/>
                <w:bCs/>
                <w:color w:val="000000"/>
                <w:lang w:val="en-US"/>
              </w:rPr>
              <w:t>Absenteeism from work (minimum daily wage)</w:t>
            </w:r>
          </w:p>
        </w:tc>
        <w:tc>
          <w:tcPr>
            <w:tcW w:w="0" w:type="auto"/>
            <w:tcBorders>
              <w:left w:val="nil"/>
              <w:right w:val="nil"/>
            </w:tcBorders>
            <w:shd w:val="clear" w:color="auto" w:fill="auto"/>
          </w:tcPr>
          <w:p w14:paraId="58A8F638" w14:textId="77777777" w:rsidR="005F104B" w:rsidRPr="00C9506C" w:rsidRDefault="005F104B" w:rsidP="007E28B9">
            <w:pPr>
              <w:spacing w:after="0" w:line="480" w:lineRule="auto"/>
              <w:rPr>
                <w:color w:val="000000"/>
                <w:lang w:val="en-US"/>
              </w:rPr>
            </w:pPr>
            <w:r w:rsidRPr="00C9506C">
              <w:rPr>
                <w:color w:val="000000"/>
                <w:lang w:val="en-US"/>
              </w:rPr>
              <w:t>21.6</w:t>
            </w:r>
          </w:p>
        </w:tc>
      </w:tr>
    </w:tbl>
    <w:p w14:paraId="7ECD7727" w14:textId="77777777" w:rsidR="005F104B" w:rsidRPr="00630086" w:rsidRDefault="005F104B" w:rsidP="005F104B">
      <w:pPr>
        <w:spacing w:after="0" w:line="360" w:lineRule="auto"/>
        <w:rPr>
          <w:lang w:val="en-US"/>
        </w:rPr>
      </w:pPr>
      <w:r w:rsidRPr="00C9506C">
        <w:rPr>
          <w:lang w:val="en-US"/>
        </w:rPr>
        <w:t>*The cost of prescribed medications was calculated by determining the price per milligram for each active principle</w:t>
      </w:r>
    </w:p>
    <w:p w14:paraId="27D710AE" w14:textId="77777777" w:rsidR="005F104B" w:rsidRDefault="005F104B" w:rsidP="004F3E5A">
      <w:pPr>
        <w:jc w:val="both"/>
        <w:rPr>
          <w:rFonts w:ascii="Times New Roman" w:hAnsi="Times New Roman" w:cs="Times New Roman"/>
          <w:lang w:val="en-US"/>
        </w:rPr>
      </w:pPr>
    </w:p>
    <w:p w14:paraId="2B6121E8" w14:textId="77777777" w:rsidR="005F104B" w:rsidRDefault="005F104B" w:rsidP="004F3E5A">
      <w:pPr>
        <w:jc w:val="both"/>
        <w:rPr>
          <w:rFonts w:ascii="Times New Roman" w:hAnsi="Times New Roman" w:cs="Times New Roman"/>
          <w:lang w:val="en-US"/>
        </w:rPr>
      </w:pPr>
    </w:p>
    <w:p w14:paraId="485E9C2B" w14:textId="77777777" w:rsidR="005F104B" w:rsidRDefault="005F104B" w:rsidP="004F3E5A">
      <w:pPr>
        <w:jc w:val="both"/>
        <w:rPr>
          <w:rFonts w:ascii="Times New Roman" w:hAnsi="Times New Roman" w:cs="Times New Roman"/>
          <w:lang w:val="en-US"/>
        </w:rPr>
      </w:pPr>
    </w:p>
    <w:p w14:paraId="709A041F" w14:textId="77777777" w:rsidR="005F104B" w:rsidRDefault="005F104B" w:rsidP="004F3E5A">
      <w:pPr>
        <w:jc w:val="both"/>
        <w:rPr>
          <w:rFonts w:ascii="Times New Roman" w:hAnsi="Times New Roman" w:cs="Times New Roman"/>
          <w:lang w:val="en-US"/>
        </w:rPr>
      </w:pPr>
    </w:p>
    <w:p w14:paraId="5F9D05AE" w14:textId="77777777" w:rsidR="005F104B" w:rsidRDefault="005F104B" w:rsidP="004F3E5A">
      <w:pPr>
        <w:jc w:val="both"/>
        <w:rPr>
          <w:rFonts w:ascii="Times New Roman" w:hAnsi="Times New Roman" w:cs="Times New Roman"/>
          <w:lang w:val="en-US"/>
        </w:rPr>
      </w:pPr>
    </w:p>
    <w:p w14:paraId="25EFDE1F" w14:textId="77777777" w:rsidR="005F104B" w:rsidRDefault="005F104B" w:rsidP="004F3E5A">
      <w:pPr>
        <w:jc w:val="both"/>
        <w:rPr>
          <w:rFonts w:ascii="Times New Roman" w:hAnsi="Times New Roman" w:cs="Times New Roman"/>
          <w:lang w:val="en-US"/>
        </w:rPr>
      </w:pPr>
    </w:p>
    <w:p w14:paraId="7E29130A" w14:textId="77777777" w:rsidR="005F104B" w:rsidRDefault="005F104B" w:rsidP="004F3E5A">
      <w:pPr>
        <w:jc w:val="both"/>
        <w:rPr>
          <w:rFonts w:ascii="Times New Roman" w:hAnsi="Times New Roman" w:cs="Times New Roman"/>
          <w:lang w:val="en-US"/>
        </w:rPr>
      </w:pPr>
    </w:p>
    <w:p w14:paraId="08CC674A" w14:textId="77777777" w:rsidR="005F104B" w:rsidRDefault="005F104B" w:rsidP="004F3E5A">
      <w:pPr>
        <w:jc w:val="both"/>
        <w:rPr>
          <w:rFonts w:ascii="Times New Roman" w:hAnsi="Times New Roman" w:cs="Times New Roman"/>
          <w:lang w:val="en-US"/>
        </w:rPr>
      </w:pPr>
    </w:p>
    <w:p w14:paraId="24A330B7" w14:textId="77777777" w:rsidR="005F104B" w:rsidRDefault="005F104B" w:rsidP="004F3E5A">
      <w:pPr>
        <w:jc w:val="both"/>
        <w:rPr>
          <w:rFonts w:ascii="Times New Roman" w:hAnsi="Times New Roman" w:cs="Times New Roman"/>
          <w:lang w:val="en-US"/>
        </w:rPr>
      </w:pPr>
    </w:p>
    <w:p w14:paraId="2390A41D" w14:textId="77777777" w:rsidR="005F104B" w:rsidRDefault="005F104B" w:rsidP="004F3E5A">
      <w:pPr>
        <w:jc w:val="both"/>
        <w:rPr>
          <w:rFonts w:ascii="Times New Roman" w:hAnsi="Times New Roman" w:cs="Times New Roman"/>
          <w:lang w:val="en-US"/>
        </w:rPr>
      </w:pPr>
    </w:p>
    <w:p w14:paraId="7EF4B8E2" w14:textId="77777777" w:rsidR="005F104B" w:rsidRDefault="005F104B" w:rsidP="004F3E5A">
      <w:pPr>
        <w:jc w:val="both"/>
        <w:rPr>
          <w:rFonts w:ascii="Times New Roman" w:hAnsi="Times New Roman" w:cs="Times New Roman"/>
          <w:lang w:val="en-US"/>
        </w:rPr>
      </w:pPr>
    </w:p>
    <w:p w14:paraId="0D65B9D4" w14:textId="77777777" w:rsidR="005F104B" w:rsidRDefault="005F104B" w:rsidP="004F3E5A">
      <w:pPr>
        <w:jc w:val="both"/>
        <w:rPr>
          <w:rFonts w:ascii="Times New Roman" w:hAnsi="Times New Roman" w:cs="Times New Roman"/>
          <w:lang w:val="en-US"/>
        </w:rPr>
      </w:pPr>
    </w:p>
    <w:p w14:paraId="7B97B11F" w14:textId="77777777" w:rsidR="005F104B" w:rsidRDefault="005F104B" w:rsidP="004F3E5A">
      <w:pPr>
        <w:jc w:val="both"/>
        <w:rPr>
          <w:rFonts w:ascii="Times New Roman" w:hAnsi="Times New Roman" w:cs="Times New Roman"/>
          <w:lang w:val="en-US"/>
        </w:rPr>
      </w:pPr>
    </w:p>
    <w:p w14:paraId="0572FA8F" w14:textId="77777777" w:rsidR="005F104B" w:rsidRDefault="005F104B" w:rsidP="004F3E5A">
      <w:pPr>
        <w:jc w:val="both"/>
        <w:rPr>
          <w:rFonts w:ascii="Times New Roman" w:hAnsi="Times New Roman" w:cs="Times New Roman"/>
          <w:lang w:val="en-US"/>
        </w:rPr>
      </w:pPr>
    </w:p>
    <w:p w14:paraId="22029EA4" w14:textId="77777777" w:rsidR="005F104B" w:rsidRPr="00C9506C" w:rsidRDefault="005F104B" w:rsidP="005F104B">
      <w:pPr>
        <w:spacing w:after="0" w:line="240" w:lineRule="auto"/>
        <w:rPr>
          <w:lang w:val="en-US"/>
        </w:rPr>
      </w:pPr>
      <w:r w:rsidRPr="00C9506C">
        <w:rPr>
          <w:lang w:val="en-US"/>
        </w:rPr>
        <w:lastRenderedPageBreak/>
        <w:t>Table 2. Sociodemographic characteristics of the sample at baseline and interventions delivered</w:t>
      </w:r>
      <w:r>
        <w:rPr>
          <w:lang w:val="en-US"/>
        </w:rPr>
        <w:t>, according to treatment arm</w:t>
      </w:r>
    </w:p>
    <w:p w14:paraId="598CBD3D" w14:textId="77777777" w:rsidR="005F104B" w:rsidRPr="00C9506C" w:rsidRDefault="005F104B" w:rsidP="005F104B">
      <w:pPr>
        <w:spacing w:after="0" w:line="240" w:lineRule="auto"/>
        <w:rPr>
          <w:rFonts w:eastAsia="Times New Roman"/>
          <w:b/>
          <w:bCs/>
          <w:sz w:val="28"/>
          <w:szCs w:val="28"/>
          <w:lang w:val="en-US"/>
        </w:rPr>
      </w:pPr>
    </w:p>
    <w:tbl>
      <w:tblPr>
        <w:tblW w:w="0" w:type="auto"/>
        <w:tblBorders>
          <w:top w:val="single" w:sz="8" w:space="0" w:color="000000"/>
          <w:bottom w:val="single" w:sz="8" w:space="0" w:color="000000"/>
        </w:tblBorders>
        <w:tblLook w:val="04A0" w:firstRow="1" w:lastRow="0" w:firstColumn="1" w:lastColumn="0" w:noHBand="0" w:noVBand="1"/>
      </w:tblPr>
      <w:tblGrid>
        <w:gridCol w:w="3230"/>
        <w:gridCol w:w="1828"/>
        <w:gridCol w:w="1469"/>
        <w:gridCol w:w="749"/>
        <w:gridCol w:w="1228"/>
      </w:tblGrid>
      <w:tr w:rsidR="005F104B" w:rsidRPr="00C9506C" w14:paraId="20F36FFA" w14:textId="77777777" w:rsidTr="007E28B9">
        <w:tc>
          <w:tcPr>
            <w:tcW w:w="0" w:type="auto"/>
            <w:tcBorders>
              <w:top w:val="single" w:sz="8" w:space="0" w:color="000000"/>
              <w:left w:val="nil"/>
              <w:bottom w:val="single" w:sz="8" w:space="0" w:color="000000"/>
              <w:right w:val="nil"/>
            </w:tcBorders>
            <w:shd w:val="clear" w:color="auto" w:fill="auto"/>
          </w:tcPr>
          <w:p w14:paraId="0744A7D4" w14:textId="77777777" w:rsidR="005F104B" w:rsidRPr="00C9506C" w:rsidRDefault="005F104B" w:rsidP="007E28B9">
            <w:pPr>
              <w:spacing w:after="0" w:line="360" w:lineRule="auto"/>
              <w:rPr>
                <w:b/>
                <w:bCs/>
                <w:color w:val="000000"/>
                <w:lang w:val="en-US"/>
              </w:rPr>
            </w:pPr>
          </w:p>
        </w:tc>
        <w:tc>
          <w:tcPr>
            <w:tcW w:w="0" w:type="auto"/>
            <w:tcBorders>
              <w:top w:val="single" w:sz="8" w:space="0" w:color="000000"/>
              <w:left w:val="nil"/>
              <w:bottom w:val="single" w:sz="8" w:space="0" w:color="000000"/>
              <w:right w:val="nil"/>
            </w:tcBorders>
            <w:shd w:val="clear" w:color="auto" w:fill="auto"/>
          </w:tcPr>
          <w:p w14:paraId="6FE71B3F" w14:textId="77777777" w:rsidR="005F104B" w:rsidRPr="00C9506C" w:rsidRDefault="005F104B" w:rsidP="007E28B9">
            <w:pPr>
              <w:spacing w:after="0" w:line="360" w:lineRule="auto"/>
              <w:rPr>
                <w:b/>
                <w:bCs/>
                <w:color w:val="000000"/>
                <w:lang w:val="en-US"/>
              </w:rPr>
            </w:pPr>
            <w:r w:rsidRPr="00C9506C">
              <w:rPr>
                <w:rStyle w:val="Ninguno"/>
                <w:b/>
                <w:bCs/>
              </w:rPr>
              <w:t>Antidepressants (n=145)</w:t>
            </w:r>
          </w:p>
        </w:tc>
        <w:tc>
          <w:tcPr>
            <w:tcW w:w="0" w:type="auto"/>
            <w:tcBorders>
              <w:top w:val="single" w:sz="8" w:space="0" w:color="000000"/>
              <w:left w:val="nil"/>
              <w:bottom w:val="single" w:sz="8" w:space="0" w:color="000000"/>
              <w:right w:val="nil"/>
            </w:tcBorders>
            <w:shd w:val="clear" w:color="auto" w:fill="auto"/>
          </w:tcPr>
          <w:p w14:paraId="100D38AD" w14:textId="77777777" w:rsidR="005F104B" w:rsidRPr="00C9506C" w:rsidRDefault="005F104B" w:rsidP="007E28B9">
            <w:pPr>
              <w:spacing w:after="0" w:line="360" w:lineRule="auto"/>
              <w:rPr>
                <w:b/>
                <w:bCs/>
                <w:color w:val="000000"/>
                <w:lang w:val="en-US"/>
              </w:rPr>
            </w:pPr>
            <w:r w:rsidRPr="00C9506C">
              <w:rPr>
                <w:rStyle w:val="Ninguno"/>
                <w:b/>
                <w:bCs/>
              </w:rPr>
              <w:t>Active monitoring (n=118)</w:t>
            </w:r>
          </w:p>
        </w:tc>
        <w:tc>
          <w:tcPr>
            <w:tcW w:w="0" w:type="auto"/>
            <w:tcBorders>
              <w:top w:val="single" w:sz="8" w:space="0" w:color="000000"/>
              <w:left w:val="nil"/>
              <w:bottom w:val="single" w:sz="8" w:space="0" w:color="000000"/>
              <w:right w:val="nil"/>
            </w:tcBorders>
          </w:tcPr>
          <w:p w14:paraId="6643F0D4" w14:textId="77777777" w:rsidR="005F104B" w:rsidRPr="00C9506C" w:rsidRDefault="005F104B" w:rsidP="007E28B9">
            <w:pPr>
              <w:spacing w:after="0" w:line="360" w:lineRule="auto"/>
              <w:rPr>
                <w:rStyle w:val="Ninguno"/>
                <w:b/>
                <w:bCs/>
              </w:rPr>
            </w:pPr>
            <w:r>
              <w:rPr>
                <w:rStyle w:val="Ninguno"/>
                <w:b/>
                <w:bCs/>
              </w:rPr>
              <w:t>p-value</w:t>
            </w:r>
          </w:p>
        </w:tc>
        <w:tc>
          <w:tcPr>
            <w:tcW w:w="0" w:type="auto"/>
            <w:tcBorders>
              <w:top w:val="single" w:sz="8" w:space="0" w:color="000000"/>
              <w:left w:val="nil"/>
              <w:bottom w:val="single" w:sz="8" w:space="0" w:color="000000"/>
              <w:right w:val="nil"/>
            </w:tcBorders>
          </w:tcPr>
          <w:p w14:paraId="577AE6C1" w14:textId="77777777" w:rsidR="005F104B" w:rsidRPr="00C9506C" w:rsidRDefault="005F104B" w:rsidP="007E28B9">
            <w:pPr>
              <w:spacing w:after="0" w:line="360" w:lineRule="auto"/>
              <w:rPr>
                <w:rStyle w:val="Ninguno"/>
                <w:b/>
                <w:bCs/>
              </w:rPr>
            </w:pPr>
            <w:r>
              <w:rPr>
                <w:rStyle w:val="Ninguno"/>
                <w:b/>
                <w:bCs/>
              </w:rPr>
              <w:t>p-value adjusted by PS</w:t>
            </w:r>
          </w:p>
        </w:tc>
      </w:tr>
      <w:tr w:rsidR="005F104B" w:rsidRPr="00C9506C" w14:paraId="75E134D6" w14:textId="77777777" w:rsidTr="007E28B9">
        <w:tc>
          <w:tcPr>
            <w:tcW w:w="0" w:type="auto"/>
            <w:tcBorders>
              <w:left w:val="nil"/>
              <w:right w:val="nil"/>
            </w:tcBorders>
            <w:shd w:val="clear" w:color="auto" w:fill="auto"/>
          </w:tcPr>
          <w:p w14:paraId="361B98F2" w14:textId="77777777" w:rsidR="005F104B" w:rsidRPr="00C9506C" w:rsidRDefault="005F104B" w:rsidP="007E28B9">
            <w:pPr>
              <w:spacing w:after="0" w:line="360" w:lineRule="auto"/>
              <w:rPr>
                <w:b/>
                <w:bCs/>
                <w:color w:val="000000"/>
                <w:lang w:val="en-US"/>
              </w:rPr>
            </w:pPr>
            <w:r w:rsidRPr="00C9506C">
              <w:rPr>
                <w:b/>
                <w:bCs/>
                <w:color w:val="000000"/>
                <w:lang w:val="en-US"/>
              </w:rPr>
              <w:t>Gender, % women (n)</w:t>
            </w:r>
          </w:p>
        </w:tc>
        <w:tc>
          <w:tcPr>
            <w:tcW w:w="0" w:type="auto"/>
            <w:tcBorders>
              <w:left w:val="nil"/>
              <w:right w:val="nil"/>
            </w:tcBorders>
            <w:shd w:val="clear" w:color="auto" w:fill="auto"/>
          </w:tcPr>
          <w:p w14:paraId="5BC74E8F" w14:textId="77777777" w:rsidR="005F104B" w:rsidRPr="00C9506C" w:rsidRDefault="005F104B" w:rsidP="007E28B9">
            <w:pPr>
              <w:spacing w:after="0" w:line="360" w:lineRule="auto"/>
              <w:rPr>
                <w:color w:val="000000"/>
                <w:lang w:val="en-US"/>
              </w:rPr>
            </w:pPr>
            <w:r w:rsidRPr="00C9506C">
              <w:rPr>
                <w:rStyle w:val="Ninguno"/>
              </w:rPr>
              <w:t>77.93 (113)</w:t>
            </w:r>
          </w:p>
        </w:tc>
        <w:tc>
          <w:tcPr>
            <w:tcW w:w="0" w:type="auto"/>
            <w:tcBorders>
              <w:left w:val="nil"/>
              <w:right w:val="nil"/>
            </w:tcBorders>
            <w:shd w:val="clear" w:color="auto" w:fill="auto"/>
          </w:tcPr>
          <w:p w14:paraId="081DAB34" w14:textId="77777777" w:rsidR="005F104B" w:rsidRPr="00C9506C" w:rsidRDefault="005F104B" w:rsidP="007E28B9">
            <w:pPr>
              <w:spacing w:after="0" w:line="360" w:lineRule="auto"/>
              <w:rPr>
                <w:color w:val="000000"/>
                <w:lang w:val="en-US"/>
              </w:rPr>
            </w:pPr>
            <w:r w:rsidRPr="00C9506C">
              <w:rPr>
                <w:rStyle w:val="Ninguno"/>
              </w:rPr>
              <w:t>84.75 (100)</w:t>
            </w:r>
          </w:p>
        </w:tc>
        <w:tc>
          <w:tcPr>
            <w:tcW w:w="0" w:type="auto"/>
            <w:tcBorders>
              <w:left w:val="nil"/>
              <w:right w:val="nil"/>
            </w:tcBorders>
          </w:tcPr>
          <w:p w14:paraId="753DA8E7" w14:textId="77777777" w:rsidR="005F104B" w:rsidRPr="00C9506C" w:rsidRDefault="005F104B" w:rsidP="007E28B9">
            <w:pPr>
              <w:spacing w:after="0" w:line="360" w:lineRule="auto"/>
              <w:rPr>
                <w:rStyle w:val="Ninguno"/>
              </w:rPr>
            </w:pPr>
            <w:r>
              <w:rPr>
                <w:rStyle w:val="Ninguno"/>
              </w:rPr>
              <w:t>0.161</w:t>
            </w:r>
          </w:p>
        </w:tc>
        <w:tc>
          <w:tcPr>
            <w:tcW w:w="0" w:type="auto"/>
            <w:tcBorders>
              <w:left w:val="nil"/>
              <w:right w:val="nil"/>
            </w:tcBorders>
          </w:tcPr>
          <w:p w14:paraId="59859CE7" w14:textId="77777777" w:rsidR="005F104B" w:rsidRPr="00C9506C" w:rsidRDefault="005F104B" w:rsidP="007E28B9">
            <w:pPr>
              <w:spacing w:after="0" w:line="360" w:lineRule="auto"/>
              <w:rPr>
                <w:rStyle w:val="Ninguno"/>
              </w:rPr>
            </w:pPr>
            <w:r>
              <w:rPr>
                <w:rStyle w:val="Ninguno"/>
              </w:rPr>
              <w:t>0.719</w:t>
            </w:r>
          </w:p>
        </w:tc>
      </w:tr>
      <w:tr w:rsidR="005F104B" w:rsidRPr="00C9506C" w14:paraId="7363F824" w14:textId="77777777" w:rsidTr="007E28B9">
        <w:tc>
          <w:tcPr>
            <w:tcW w:w="0" w:type="auto"/>
            <w:shd w:val="clear" w:color="auto" w:fill="auto"/>
          </w:tcPr>
          <w:p w14:paraId="5BB4FDA9" w14:textId="77777777" w:rsidR="005F104B" w:rsidRPr="00C9506C" w:rsidRDefault="005F104B" w:rsidP="007E28B9">
            <w:pPr>
              <w:spacing w:after="0" w:line="360" w:lineRule="auto"/>
              <w:rPr>
                <w:b/>
                <w:bCs/>
                <w:color w:val="000000"/>
                <w:lang w:val="en-US"/>
              </w:rPr>
            </w:pPr>
            <w:r w:rsidRPr="00C9506C">
              <w:rPr>
                <w:b/>
                <w:bCs/>
                <w:color w:val="000000"/>
                <w:lang w:val="en-US"/>
              </w:rPr>
              <w:t>Age, mean (SD)</w:t>
            </w:r>
          </w:p>
        </w:tc>
        <w:tc>
          <w:tcPr>
            <w:tcW w:w="0" w:type="auto"/>
            <w:shd w:val="clear" w:color="auto" w:fill="auto"/>
          </w:tcPr>
          <w:p w14:paraId="4974296A" w14:textId="77777777" w:rsidR="005F104B" w:rsidRPr="00C9506C" w:rsidRDefault="005F104B" w:rsidP="007E28B9">
            <w:pPr>
              <w:spacing w:after="0" w:line="360" w:lineRule="auto"/>
              <w:rPr>
                <w:color w:val="000000"/>
                <w:lang w:val="en-US"/>
              </w:rPr>
            </w:pPr>
            <w:r w:rsidRPr="00C9506C">
              <w:rPr>
                <w:rStyle w:val="Ninguno"/>
              </w:rPr>
              <w:t>49.72 (14.91)</w:t>
            </w:r>
          </w:p>
        </w:tc>
        <w:tc>
          <w:tcPr>
            <w:tcW w:w="0" w:type="auto"/>
            <w:shd w:val="clear" w:color="auto" w:fill="auto"/>
          </w:tcPr>
          <w:p w14:paraId="0865AC5D" w14:textId="77777777" w:rsidR="005F104B" w:rsidRPr="00C9506C" w:rsidRDefault="005F104B" w:rsidP="007E28B9">
            <w:pPr>
              <w:spacing w:after="0" w:line="360" w:lineRule="auto"/>
              <w:rPr>
                <w:color w:val="000000"/>
                <w:lang w:val="en-US"/>
              </w:rPr>
            </w:pPr>
            <w:r w:rsidRPr="00C9506C">
              <w:rPr>
                <w:rStyle w:val="Ninguno"/>
              </w:rPr>
              <w:t>47.96 (16.02)</w:t>
            </w:r>
          </w:p>
        </w:tc>
        <w:tc>
          <w:tcPr>
            <w:tcW w:w="0" w:type="auto"/>
          </w:tcPr>
          <w:p w14:paraId="3F9231FE" w14:textId="77777777" w:rsidR="005F104B" w:rsidRPr="00C9506C" w:rsidRDefault="005F104B" w:rsidP="007E28B9">
            <w:pPr>
              <w:spacing w:after="0" w:line="360" w:lineRule="auto"/>
              <w:rPr>
                <w:rStyle w:val="Ninguno"/>
              </w:rPr>
            </w:pPr>
            <w:r>
              <w:rPr>
                <w:rStyle w:val="Ninguno"/>
              </w:rPr>
              <w:t>0.360</w:t>
            </w:r>
          </w:p>
        </w:tc>
        <w:tc>
          <w:tcPr>
            <w:tcW w:w="0" w:type="auto"/>
          </w:tcPr>
          <w:p w14:paraId="6694BEAE" w14:textId="77777777" w:rsidR="005F104B" w:rsidRPr="00C9506C" w:rsidRDefault="005F104B" w:rsidP="007E28B9">
            <w:pPr>
              <w:spacing w:after="0" w:line="360" w:lineRule="auto"/>
              <w:rPr>
                <w:rStyle w:val="Ninguno"/>
              </w:rPr>
            </w:pPr>
            <w:r>
              <w:rPr>
                <w:rStyle w:val="Ninguno"/>
              </w:rPr>
              <w:t>0.522</w:t>
            </w:r>
          </w:p>
        </w:tc>
      </w:tr>
      <w:tr w:rsidR="005F104B" w:rsidRPr="00C9506C" w14:paraId="0698EDA1" w14:textId="77777777" w:rsidTr="007E28B9">
        <w:tc>
          <w:tcPr>
            <w:tcW w:w="0" w:type="auto"/>
            <w:tcBorders>
              <w:left w:val="nil"/>
              <w:right w:val="nil"/>
            </w:tcBorders>
            <w:shd w:val="clear" w:color="auto" w:fill="auto"/>
          </w:tcPr>
          <w:p w14:paraId="5D338299" w14:textId="77777777" w:rsidR="005F104B" w:rsidRPr="00C9506C" w:rsidRDefault="005F104B" w:rsidP="007E28B9">
            <w:pPr>
              <w:spacing w:after="0" w:line="360" w:lineRule="auto"/>
              <w:rPr>
                <w:b/>
                <w:bCs/>
                <w:color w:val="000000"/>
                <w:lang w:val="en-US"/>
              </w:rPr>
            </w:pPr>
            <w:r w:rsidRPr="00C9506C">
              <w:rPr>
                <w:b/>
                <w:bCs/>
                <w:color w:val="000000"/>
                <w:lang w:val="en-US"/>
              </w:rPr>
              <w:t>Civil status, % (n)</w:t>
            </w:r>
          </w:p>
        </w:tc>
        <w:tc>
          <w:tcPr>
            <w:tcW w:w="0" w:type="auto"/>
            <w:tcBorders>
              <w:left w:val="nil"/>
              <w:right w:val="nil"/>
            </w:tcBorders>
            <w:shd w:val="clear" w:color="auto" w:fill="auto"/>
          </w:tcPr>
          <w:p w14:paraId="1C261BCC" w14:textId="77777777" w:rsidR="005F104B" w:rsidRPr="00C9506C" w:rsidRDefault="005F104B" w:rsidP="007E28B9">
            <w:pPr>
              <w:spacing w:after="0" w:line="360" w:lineRule="auto"/>
              <w:rPr>
                <w:color w:val="000000"/>
                <w:lang w:val="en-US"/>
              </w:rPr>
            </w:pPr>
          </w:p>
        </w:tc>
        <w:tc>
          <w:tcPr>
            <w:tcW w:w="0" w:type="auto"/>
            <w:tcBorders>
              <w:left w:val="nil"/>
              <w:right w:val="nil"/>
            </w:tcBorders>
            <w:shd w:val="clear" w:color="auto" w:fill="auto"/>
          </w:tcPr>
          <w:p w14:paraId="7D053061"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4B1E002F" w14:textId="77777777" w:rsidR="005F104B" w:rsidRPr="00C9506C" w:rsidRDefault="005F104B" w:rsidP="007E28B9">
            <w:pPr>
              <w:spacing w:after="0" w:line="360" w:lineRule="auto"/>
              <w:rPr>
                <w:color w:val="000000"/>
                <w:lang w:val="en-US"/>
              </w:rPr>
            </w:pPr>
            <w:r>
              <w:rPr>
                <w:color w:val="000000"/>
                <w:lang w:val="en-US"/>
              </w:rPr>
              <w:t>0.242</w:t>
            </w:r>
          </w:p>
        </w:tc>
        <w:tc>
          <w:tcPr>
            <w:tcW w:w="0" w:type="auto"/>
            <w:tcBorders>
              <w:left w:val="nil"/>
              <w:right w:val="nil"/>
            </w:tcBorders>
          </w:tcPr>
          <w:p w14:paraId="58F9EA28" w14:textId="77777777" w:rsidR="005F104B" w:rsidRPr="00C9506C" w:rsidRDefault="005F104B" w:rsidP="007E28B9">
            <w:pPr>
              <w:spacing w:after="0" w:line="360" w:lineRule="auto"/>
              <w:rPr>
                <w:color w:val="000000"/>
                <w:lang w:val="en-US"/>
              </w:rPr>
            </w:pPr>
            <w:r>
              <w:rPr>
                <w:color w:val="000000"/>
                <w:lang w:val="en-US"/>
              </w:rPr>
              <w:t>0.126</w:t>
            </w:r>
          </w:p>
        </w:tc>
      </w:tr>
      <w:tr w:rsidR="005F104B" w:rsidRPr="00C9506C" w14:paraId="395D7338" w14:textId="77777777" w:rsidTr="007E28B9">
        <w:tc>
          <w:tcPr>
            <w:tcW w:w="0" w:type="auto"/>
            <w:shd w:val="clear" w:color="auto" w:fill="auto"/>
          </w:tcPr>
          <w:p w14:paraId="33E0FEF3" w14:textId="77777777" w:rsidR="005F104B" w:rsidRPr="00C9506C" w:rsidRDefault="005F104B" w:rsidP="007E28B9">
            <w:pPr>
              <w:spacing w:after="0" w:line="360" w:lineRule="auto"/>
              <w:ind w:left="284"/>
              <w:rPr>
                <w:bCs/>
                <w:color w:val="000000"/>
                <w:lang w:val="en-US"/>
              </w:rPr>
            </w:pPr>
            <w:r w:rsidRPr="00C9506C">
              <w:rPr>
                <w:bCs/>
                <w:color w:val="000000"/>
                <w:lang w:val="en-US"/>
              </w:rPr>
              <w:t>Single</w:t>
            </w:r>
          </w:p>
        </w:tc>
        <w:tc>
          <w:tcPr>
            <w:tcW w:w="0" w:type="auto"/>
            <w:shd w:val="clear" w:color="auto" w:fill="auto"/>
          </w:tcPr>
          <w:p w14:paraId="59A1725D" w14:textId="77777777" w:rsidR="005F104B" w:rsidRPr="00C9506C" w:rsidRDefault="005F104B" w:rsidP="007E28B9">
            <w:pPr>
              <w:spacing w:after="0" w:line="360" w:lineRule="auto"/>
              <w:rPr>
                <w:color w:val="000000"/>
                <w:lang w:val="en-US"/>
              </w:rPr>
            </w:pPr>
            <w:r w:rsidRPr="00C9506C">
              <w:rPr>
                <w:rStyle w:val="Ninguno"/>
              </w:rPr>
              <w:t>11.72 (17)</w:t>
            </w:r>
          </w:p>
        </w:tc>
        <w:tc>
          <w:tcPr>
            <w:tcW w:w="0" w:type="auto"/>
            <w:shd w:val="clear" w:color="auto" w:fill="auto"/>
          </w:tcPr>
          <w:p w14:paraId="21AD3B92" w14:textId="77777777" w:rsidR="005F104B" w:rsidRPr="00C9506C" w:rsidRDefault="005F104B" w:rsidP="007E28B9">
            <w:pPr>
              <w:spacing w:after="0" w:line="360" w:lineRule="auto"/>
              <w:rPr>
                <w:color w:val="000000"/>
                <w:lang w:val="en-US"/>
              </w:rPr>
            </w:pPr>
            <w:r w:rsidRPr="00C9506C">
              <w:rPr>
                <w:rStyle w:val="Ninguno"/>
              </w:rPr>
              <w:t>20.34 (24)</w:t>
            </w:r>
          </w:p>
        </w:tc>
        <w:tc>
          <w:tcPr>
            <w:tcW w:w="0" w:type="auto"/>
          </w:tcPr>
          <w:p w14:paraId="0DD30517" w14:textId="77777777" w:rsidR="005F104B" w:rsidRPr="00C9506C" w:rsidRDefault="005F104B" w:rsidP="007E28B9">
            <w:pPr>
              <w:spacing w:after="0" w:line="360" w:lineRule="auto"/>
              <w:rPr>
                <w:rStyle w:val="Ninguno"/>
              </w:rPr>
            </w:pPr>
          </w:p>
        </w:tc>
        <w:tc>
          <w:tcPr>
            <w:tcW w:w="0" w:type="auto"/>
          </w:tcPr>
          <w:p w14:paraId="73770DE8" w14:textId="77777777" w:rsidR="005F104B" w:rsidRPr="00C9506C" w:rsidRDefault="005F104B" w:rsidP="007E28B9">
            <w:pPr>
              <w:spacing w:after="0" w:line="360" w:lineRule="auto"/>
              <w:rPr>
                <w:rStyle w:val="Ninguno"/>
              </w:rPr>
            </w:pPr>
          </w:p>
        </w:tc>
      </w:tr>
      <w:tr w:rsidR="005F104B" w:rsidRPr="00C9506C" w14:paraId="5E4D23E5" w14:textId="77777777" w:rsidTr="007E28B9">
        <w:tc>
          <w:tcPr>
            <w:tcW w:w="0" w:type="auto"/>
            <w:tcBorders>
              <w:left w:val="nil"/>
              <w:right w:val="nil"/>
            </w:tcBorders>
            <w:shd w:val="clear" w:color="auto" w:fill="auto"/>
          </w:tcPr>
          <w:p w14:paraId="511A0196" w14:textId="77777777" w:rsidR="005F104B" w:rsidRPr="00C9506C" w:rsidRDefault="005F104B" w:rsidP="007E28B9">
            <w:pPr>
              <w:spacing w:after="0" w:line="360" w:lineRule="auto"/>
              <w:ind w:left="284"/>
              <w:rPr>
                <w:bCs/>
                <w:color w:val="000000"/>
                <w:lang w:val="en-US"/>
              </w:rPr>
            </w:pPr>
            <w:r w:rsidRPr="00C9506C">
              <w:rPr>
                <w:bCs/>
                <w:color w:val="000000"/>
                <w:lang w:val="en-US"/>
              </w:rPr>
              <w:t>Married</w:t>
            </w:r>
          </w:p>
        </w:tc>
        <w:tc>
          <w:tcPr>
            <w:tcW w:w="0" w:type="auto"/>
            <w:tcBorders>
              <w:left w:val="nil"/>
              <w:right w:val="nil"/>
            </w:tcBorders>
            <w:shd w:val="clear" w:color="auto" w:fill="auto"/>
          </w:tcPr>
          <w:p w14:paraId="6DBBB3F4" w14:textId="77777777" w:rsidR="005F104B" w:rsidRPr="00C9506C" w:rsidRDefault="005F104B" w:rsidP="007E28B9">
            <w:pPr>
              <w:spacing w:after="0" w:line="360" w:lineRule="auto"/>
              <w:rPr>
                <w:color w:val="000000"/>
                <w:lang w:val="en-US"/>
              </w:rPr>
            </w:pPr>
            <w:r w:rsidRPr="00C9506C">
              <w:rPr>
                <w:rStyle w:val="Ninguno"/>
              </w:rPr>
              <w:t>62.07 (90)</w:t>
            </w:r>
          </w:p>
        </w:tc>
        <w:tc>
          <w:tcPr>
            <w:tcW w:w="0" w:type="auto"/>
            <w:tcBorders>
              <w:left w:val="nil"/>
              <w:right w:val="nil"/>
            </w:tcBorders>
            <w:shd w:val="clear" w:color="auto" w:fill="auto"/>
          </w:tcPr>
          <w:p w14:paraId="54F37706" w14:textId="77777777" w:rsidR="005F104B" w:rsidRPr="00C9506C" w:rsidRDefault="005F104B" w:rsidP="007E28B9">
            <w:pPr>
              <w:spacing w:after="0" w:line="360" w:lineRule="auto"/>
              <w:rPr>
                <w:color w:val="000000"/>
                <w:lang w:val="en-US"/>
              </w:rPr>
            </w:pPr>
            <w:r w:rsidRPr="00C9506C">
              <w:rPr>
                <w:rStyle w:val="Ninguno"/>
              </w:rPr>
              <w:t>59.32 (70)</w:t>
            </w:r>
          </w:p>
        </w:tc>
        <w:tc>
          <w:tcPr>
            <w:tcW w:w="0" w:type="auto"/>
            <w:tcBorders>
              <w:left w:val="nil"/>
              <w:right w:val="nil"/>
            </w:tcBorders>
          </w:tcPr>
          <w:p w14:paraId="1B2A03DD" w14:textId="77777777" w:rsidR="005F104B" w:rsidRPr="00C9506C" w:rsidRDefault="005F104B" w:rsidP="007E28B9">
            <w:pPr>
              <w:spacing w:after="0" w:line="360" w:lineRule="auto"/>
              <w:rPr>
                <w:rStyle w:val="Ninguno"/>
              </w:rPr>
            </w:pPr>
          </w:p>
        </w:tc>
        <w:tc>
          <w:tcPr>
            <w:tcW w:w="0" w:type="auto"/>
            <w:tcBorders>
              <w:left w:val="nil"/>
              <w:right w:val="nil"/>
            </w:tcBorders>
          </w:tcPr>
          <w:p w14:paraId="35E2F13B" w14:textId="77777777" w:rsidR="005F104B" w:rsidRPr="00C9506C" w:rsidRDefault="005F104B" w:rsidP="007E28B9">
            <w:pPr>
              <w:spacing w:after="0" w:line="360" w:lineRule="auto"/>
              <w:rPr>
                <w:rStyle w:val="Ninguno"/>
              </w:rPr>
            </w:pPr>
          </w:p>
        </w:tc>
      </w:tr>
      <w:tr w:rsidR="005F104B" w:rsidRPr="00C9506C" w14:paraId="09CCC6B7" w14:textId="77777777" w:rsidTr="007E28B9">
        <w:tc>
          <w:tcPr>
            <w:tcW w:w="0" w:type="auto"/>
            <w:shd w:val="clear" w:color="auto" w:fill="auto"/>
          </w:tcPr>
          <w:p w14:paraId="506702A0" w14:textId="77777777" w:rsidR="005F104B" w:rsidRPr="00C9506C" w:rsidRDefault="005F104B" w:rsidP="007E28B9">
            <w:pPr>
              <w:spacing w:after="0" w:line="360" w:lineRule="auto"/>
              <w:ind w:left="284"/>
              <w:rPr>
                <w:bCs/>
                <w:color w:val="000000"/>
                <w:lang w:val="en-US"/>
              </w:rPr>
            </w:pPr>
            <w:r w:rsidRPr="00C9506C">
              <w:rPr>
                <w:bCs/>
                <w:color w:val="000000"/>
                <w:lang w:val="en-US"/>
              </w:rPr>
              <w:t>Separated/divorced</w:t>
            </w:r>
          </w:p>
        </w:tc>
        <w:tc>
          <w:tcPr>
            <w:tcW w:w="0" w:type="auto"/>
            <w:shd w:val="clear" w:color="auto" w:fill="auto"/>
          </w:tcPr>
          <w:p w14:paraId="1ADC8653" w14:textId="77777777" w:rsidR="005F104B" w:rsidRPr="00C9506C" w:rsidRDefault="005F104B" w:rsidP="007E28B9">
            <w:pPr>
              <w:spacing w:after="0" w:line="360" w:lineRule="auto"/>
              <w:rPr>
                <w:color w:val="000000"/>
                <w:lang w:val="en-US"/>
              </w:rPr>
            </w:pPr>
            <w:r w:rsidRPr="00C9506C">
              <w:rPr>
                <w:rStyle w:val="Ninguno"/>
              </w:rPr>
              <w:t>19.31 (28)</w:t>
            </w:r>
          </w:p>
        </w:tc>
        <w:tc>
          <w:tcPr>
            <w:tcW w:w="0" w:type="auto"/>
            <w:shd w:val="clear" w:color="auto" w:fill="auto"/>
          </w:tcPr>
          <w:p w14:paraId="1919DB99" w14:textId="77777777" w:rsidR="005F104B" w:rsidRPr="00C9506C" w:rsidRDefault="005F104B" w:rsidP="007E28B9">
            <w:pPr>
              <w:spacing w:after="0" w:line="360" w:lineRule="auto"/>
              <w:rPr>
                <w:color w:val="000000"/>
                <w:lang w:val="en-US"/>
              </w:rPr>
            </w:pPr>
            <w:r w:rsidRPr="00C9506C">
              <w:rPr>
                <w:rStyle w:val="Ninguno"/>
              </w:rPr>
              <w:t>14.41 (17)</w:t>
            </w:r>
          </w:p>
        </w:tc>
        <w:tc>
          <w:tcPr>
            <w:tcW w:w="0" w:type="auto"/>
          </w:tcPr>
          <w:p w14:paraId="100A2DF7" w14:textId="77777777" w:rsidR="005F104B" w:rsidRPr="00C9506C" w:rsidRDefault="005F104B" w:rsidP="007E28B9">
            <w:pPr>
              <w:spacing w:after="0" w:line="360" w:lineRule="auto"/>
              <w:rPr>
                <w:rStyle w:val="Ninguno"/>
              </w:rPr>
            </w:pPr>
          </w:p>
        </w:tc>
        <w:tc>
          <w:tcPr>
            <w:tcW w:w="0" w:type="auto"/>
          </w:tcPr>
          <w:p w14:paraId="719204BD" w14:textId="77777777" w:rsidR="005F104B" w:rsidRPr="00C9506C" w:rsidRDefault="005F104B" w:rsidP="007E28B9">
            <w:pPr>
              <w:spacing w:after="0" w:line="360" w:lineRule="auto"/>
              <w:rPr>
                <w:rStyle w:val="Ninguno"/>
              </w:rPr>
            </w:pPr>
          </w:p>
        </w:tc>
      </w:tr>
      <w:tr w:rsidR="005F104B" w:rsidRPr="00C9506C" w14:paraId="4173C680" w14:textId="77777777" w:rsidTr="007E28B9">
        <w:tc>
          <w:tcPr>
            <w:tcW w:w="0" w:type="auto"/>
            <w:tcBorders>
              <w:left w:val="nil"/>
              <w:right w:val="nil"/>
            </w:tcBorders>
            <w:shd w:val="clear" w:color="auto" w:fill="auto"/>
          </w:tcPr>
          <w:p w14:paraId="0FF01E4B" w14:textId="77777777" w:rsidR="005F104B" w:rsidRPr="00C9506C" w:rsidRDefault="005F104B" w:rsidP="007E28B9">
            <w:pPr>
              <w:spacing w:after="0" w:line="360" w:lineRule="auto"/>
              <w:ind w:left="284"/>
              <w:rPr>
                <w:bCs/>
                <w:color w:val="000000"/>
                <w:lang w:val="en-US"/>
              </w:rPr>
            </w:pPr>
            <w:r w:rsidRPr="00C9506C">
              <w:rPr>
                <w:bCs/>
                <w:color w:val="000000"/>
                <w:lang w:val="en-US"/>
              </w:rPr>
              <w:t>Widow/widower</w:t>
            </w:r>
          </w:p>
        </w:tc>
        <w:tc>
          <w:tcPr>
            <w:tcW w:w="0" w:type="auto"/>
            <w:tcBorders>
              <w:left w:val="nil"/>
              <w:right w:val="nil"/>
            </w:tcBorders>
            <w:shd w:val="clear" w:color="auto" w:fill="auto"/>
          </w:tcPr>
          <w:p w14:paraId="09C6E57D" w14:textId="77777777" w:rsidR="005F104B" w:rsidRPr="00C9506C" w:rsidRDefault="005F104B" w:rsidP="007E28B9">
            <w:pPr>
              <w:spacing w:after="0" w:line="360" w:lineRule="auto"/>
              <w:rPr>
                <w:color w:val="000000"/>
                <w:lang w:val="en-US"/>
              </w:rPr>
            </w:pPr>
            <w:r w:rsidRPr="00C9506C">
              <w:rPr>
                <w:rStyle w:val="Ninguno"/>
              </w:rPr>
              <w:t>6.90 (10)</w:t>
            </w:r>
          </w:p>
        </w:tc>
        <w:tc>
          <w:tcPr>
            <w:tcW w:w="0" w:type="auto"/>
            <w:tcBorders>
              <w:left w:val="nil"/>
              <w:right w:val="nil"/>
            </w:tcBorders>
            <w:shd w:val="clear" w:color="auto" w:fill="auto"/>
          </w:tcPr>
          <w:p w14:paraId="2E5E8F67" w14:textId="77777777" w:rsidR="005F104B" w:rsidRPr="00C9506C" w:rsidRDefault="005F104B" w:rsidP="007E28B9">
            <w:pPr>
              <w:spacing w:after="0" w:line="360" w:lineRule="auto"/>
              <w:rPr>
                <w:color w:val="000000"/>
                <w:lang w:val="en-US"/>
              </w:rPr>
            </w:pPr>
            <w:r w:rsidRPr="00C9506C">
              <w:rPr>
                <w:rStyle w:val="Ninguno"/>
              </w:rPr>
              <w:t>5.93 (7)</w:t>
            </w:r>
          </w:p>
        </w:tc>
        <w:tc>
          <w:tcPr>
            <w:tcW w:w="0" w:type="auto"/>
            <w:tcBorders>
              <w:left w:val="nil"/>
              <w:right w:val="nil"/>
            </w:tcBorders>
          </w:tcPr>
          <w:p w14:paraId="7CB03596" w14:textId="77777777" w:rsidR="005F104B" w:rsidRPr="00C9506C" w:rsidRDefault="005F104B" w:rsidP="007E28B9">
            <w:pPr>
              <w:spacing w:after="0" w:line="360" w:lineRule="auto"/>
              <w:rPr>
                <w:rStyle w:val="Ninguno"/>
              </w:rPr>
            </w:pPr>
          </w:p>
        </w:tc>
        <w:tc>
          <w:tcPr>
            <w:tcW w:w="0" w:type="auto"/>
            <w:tcBorders>
              <w:left w:val="nil"/>
              <w:right w:val="nil"/>
            </w:tcBorders>
          </w:tcPr>
          <w:p w14:paraId="0F04AD29" w14:textId="77777777" w:rsidR="005F104B" w:rsidRPr="00C9506C" w:rsidRDefault="005F104B" w:rsidP="007E28B9">
            <w:pPr>
              <w:spacing w:after="0" w:line="360" w:lineRule="auto"/>
              <w:rPr>
                <w:rStyle w:val="Ninguno"/>
              </w:rPr>
            </w:pPr>
          </w:p>
        </w:tc>
      </w:tr>
      <w:tr w:rsidR="005F104B" w:rsidRPr="00C9506C" w14:paraId="7F733614" w14:textId="77777777" w:rsidTr="007E28B9">
        <w:tc>
          <w:tcPr>
            <w:tcW w:w="0" w:type="auto"/>
            <w:shd w:val="clear" w:color="auto" w:fill="auto"/>
          </w:tcPr>
          <w:p w14:paraId="1192F6B8" w14:textId="77777777" w:rsidR="005F104B" w:rsidRPr="00C9506C" w:rsidRDefault="005F104B" w:rsidP="007E28B9">
            <w:pPr>
              <w:spacing w:after="0" w:line="360" w:lineRule="auto"/>
              <w:rPr>
                <w:b/>
                <w:bCs/>
                <w:color w:val="000000"/>
                <w:lang w:val="en-US"/>
              </w:rPr>
            </w:pPr>
            <w:r w:rsidRPr="00C9506C">
              <w:rPr>
                <w:b/>
                <w:bCs/>
                <w:color w:val="000000"/>
                <w:lang w:val="en-US"/>
              </w:rPr>
              <w:t>Education, % (n)</w:t>
            </w:r>
          </w:p>
        </w:tc>
        <w:tc>
          <w:tcPr>
            <w:tcW w:w="0" w:type="auto"/>
            <w:shd w:val="clear" w:color="auto" w:fill="auto"/>
          </w:tcPr>
          <w:p w14:paraId="4E0F98A1" w14:textId="77777777" w:rsidR="005F104B" w:rsidRPr="00C9506C" w:rsidRDefault="005F104B" w:rsidP="007E28B9">
            <w:pPr>
              <w:spacing w:after="0" w:line="360" w:lineRule="auto"/>
              <w:rPr>
                <w:color w:val="000000"/>
                <w:lang w:val="en-US"/>
              </w:rPr>
            </w:pPr>
          </w:p>
        </w:tc>
        <w:tc>
          <w:tcPr>
            <w:tcW w:w="0" w:type="auto"/>
            <w:shd w:val="clear" w:color="auto" w:fill="auto"/>
          </w:tcPr>
          <w:p w14:paraId="475F43A3" w14:textId="77777777" w:rsidR="005F104B" w:rsidRPr="00C9506C" w:rsidRDefault="005F104B" w:rsidP="007E28B9">
            <w:pPr>
              <w:spacing w:after="0" w:line="360" w:lineRule="auto"/>
              <w:rPr>
                <w:color w:val="000000"/>
                <w:lang w:val="en-US"/>
              </w:rPr>
            </w:pPr>
          </w:p>
        </w:tc>
        <w:tc>
          <w:tcPr>
            <w:tcW w:w="0" w:type="auto"/>
          </w:tcPr>
          <w:p w14:paraId="2CB29451" w14:textId="77777777" w:rsidR="005F104B" w:rsidRPr="00C9506C" w:rsidRDefault="005F104B" w:rsidP="007E28B9">
            <w:pPr>
              <w:spacing w:after="0" w:line="360" w:lineRule="auto"/>
              <w:rPr>
                <w:color w:val="000000"/>
                <w:lang w:val="en-US"/>
              </w:rPr>
            </w:pPr>
            <w:r>
              <w:rPr>
                <w:color w:val="000000"/>
                <w:lang w:val="en-US"/>
              </w:rPr>
              <w:t>0.806</w:t>
            </w:r>
          </w:p>
        </w:tc>
        <w:tc>
          <w:tcPr>
            <w:tcW w:w="0" w:type="auto"/>
          </w:tcPr>
          <w:p w14:paraId="59F0A192" w14:textId="77777777" w:rsidR="005F104B" w:rsidRPr="00C9506C" w:rsidRDefault="005F104B" w:rsidP="007E28B9">
            <w:pPr>
              <w:spacing w:after="0" w:line="360" w:lineRule="auto"/>
              <w:rPr>
                <w:color w:val="000000"/>
                <w:lang w:val="en-US"/>
              </w:rPr>
            </w:pPr>
            <w:r>
              <w:rPr>
                <w:color w:val="000000"/>
                <w:lang w:val="en-US"/>
              </w:rPr>
              <w:t>0.638</w:t>
            </w:r>
          </w:p>
        </w:tc>
      </w:tr>
      <w:tr w:rsidR="005F104B" w:rsidRPr="00C9506C" w14:paraId="511FF4AF" w14:textId="77777777" w:rsidTr="007E28B9">
        <w:tc>
          <w:tcPr>
            <w:tcW w:w="0" w:type="auto"/>
            <w:tcBorders>
              <w:left w:val="nil"/>
              <w:right w:val="nil"/>
            </w:tcBorders>
            <w:shd w:val="clear" w:color="auto" w:fill="auto"/>
          </w:tcPr>
          <w:p w14:paraId="01EE8785" w14:textId="77777777" w:rsidR="005F104B" w:rsidRPr="00C9506C" w:rsidRDefault="005F104B" w:rsidP="007E28B9">
            <w:pPr>
              <w:spacing w:after="0" w:line="360" w:lineRule="auto"/>
              <w:ind w:left="284"/>
              <w:rPr>
                <w:bCs/>
                <w:color w:val="000000"/>
                <w:lang w:val="en-US"/>
              </w:rPr>
            </w:pPr>
            <w:r w:rsidRPr="00C9506C">
              <w:rPr>
                <w:bCs/>
                <w:color w:val="000000"/>
                <w:lang w:val="en-US"/>
              </w:rPr>
              <w:t>No formal education</w:t>
            </w:r>
          </w:p>
        </w:tc>
        <w:tc>
          <w:tcPr>
            <w:tcW w:w="0" w:type="auto"/>
            <w:tcBorders>
              <w:left w:val="nil"/>
              <w:right w:val="nil"/>
            </w:tcBorders>
            <w:shd w:val="clear" w:color="auto" w:fill="auto"/>
          </w:tcPr>
          <w:p w14:paraId="36D19C4F" w14:textId="77777777" w:rsidR="005F104B" w:rsidRPr="00C9506C" w:rsidRDefault="005F104B" w:rsidP="007E28B9">
            <w:pPr>
              <w:spacing w:after="0" w:line="360" w:lineRule="auto"/>
              <w:rPr>
                <w:color w:val="000000"/>
                <w:lang w:val="en-US"/>
              </w:rPr>
            </w:pPr>
            <w:r w:rsidRPr="00C9506C">
              <w:rPr>
                <w:rStyle w:val="Ninguno"/>
              </w:rPr>
              <w:t>6.21 (9)</w:t>
            </w:r>
          </w:p>
        </w:tc>
        <w:tc>
          <w:tcPr>
            <w:tcW w:w="0" w:type="auto"/>
            <w:tcBorders>
              <w:left w:val="nil"/>
              <w:right w:val="nil"/>
            </w:tcBorders>
            <w:shd w:val="clear" w:color="auto" w:fill="auto"/>
          </w:tcPr>
          <w:p w14:paraId="226655E0" w14:textId="77777777" w:rsidR="005F104B" w:rsidRPr="00C9506C" w:rsidRDefault="005F104B" w:rsidP="007E28B9">
            <w:pPr>
              <w:spacing w:after="0" w:line="360" w:lineRule="auto"/>
              <w:rPr>
                <w:color w:val="000000"/>
                <w:lang w:val="en-US"/>
              </w:rPr>
            </w:pPr>
            <w:r w:rsidRPr="00C9506C">
              <w:rPr>
                <w:rStyle w:val="Ninguno"/>
              </w:rPr>
              <w:t>8.47 (10)</w:t>
            </w:r>
          </w:p>
        </w:tc>
        <w:tc>
          <w:tcPr>
            <w:tcW w:w="0" w:type="auto"/>
            <w:tcBorders>
              <w:left w:val="nil"/>
              <w:right w:val="nil"/>
            </w:tcBorders>
          </w:tcPr>
          <w:p w14:paraId="4AF92E51" w14:textId="77777777" w:rsidR="005F104B" w:rsidRPr="00C9506C" w:rsidRDefault="005F104B" w:rsidP="007E28B9">
            <w:pPr>
              <w:spacing w:after="0" w:line="360" w:lineRule="auto"/>
              <w:rPr>
                <w:rStyle w:val="Ninguno"/>
              </w:rPr>
            </w:pPr>
          </w:p>
        </w:tc>
        <w:tc>
          <w:tcPr>
            <w:tcW w:w="0" w:type="auto"/>
            <w:tcBorders>
              <w:left w:val="nil"/>
              <w:right w:val="nil"/>
            </w:tcBorders>
          </w:tcPr>
          <w:p w14:paraId="5472BF41" w14:textId="77777777" w:rsidR="005F104B" w:rsidRPr="00C9506C" w:rsidRDefault="005F104B" w:rsidP="007E28B9">
            <w:pPr>
              <w:spacing w:after="0" w:line="360" w:lineRule="auto"/>
              <w:rPr>
                <w:rStyle w:val="Ninguno"/>
              </w:rPr>
            </w:pPr>
          </w:p>
        </w:tc>
      </w:tr>
      <w:tr w:rsidR="005F104B" w:rsidRPr="00C9506C" w14:paraId="1C76F1AF" w14:textId="77777777" w:rsidTr="007E28B9">
        <w:tc>
          <w:tcPr>
            <w:tcW w:w="0" w:type="auto"/>
            <w:shd w:val="clear" w:color="auto" w:fill="auto"/>
          </w:tcPr>
          <w:p w14:paraId="51FAAFC5" w14:textId="77777777" w:rsidR="005F104B" w:rsidRPr="00C9506C" w:rsidRDefault="005F104B" w:rsidP="007E28B9">
            <w:pPr>
              <w:spacing w:after="0" w:line="360" w:lineRule="auto"/>
              <w:ind w:left="284"/>
              <w:rPr>
                <w:bCs/>
                <w:color w:val="000000"/>
                <w:lang w:val="en-US"/>
              </w:rPr>
            </w:pPr>
            <w:r w:rsidRPr="00C9506C">
              <w:rPr>
                <w:bCs/>
                <w:color w:val="000000"/>
                <w:lang w:val="en-US"/>
              </w:rPr>
              <w:t>Primary</w:t>
            </w:r>
          </w:p>
        </w:tc>
        <w:tc>
          <w:tcPr>
            <w:tcW w:w="0" w:type="auto"/>
            <w:shd w:val="clear" w:color="auto" w:fill="auto"/>
          </w:tcPr>
          <w:p w14:paraId="1935FC60" w14:textId="77777777" w:rsidR="005F104B" w:rsidRPr="00C9506C" w:rsidRDefault="005F104B" w:rsidP="007E28B9">
            <w:pPr>
              <w:spacing w:after="0" w:line="360" w:lineRule="auto"/>
              <w:rPr>
                <w:color w:val="000000"/>
                <w:lang w:val="en-US"/>
              </w:rPr>
            </w:pPr>
            <w:r w:rsidRPr="00C9506C">
              <w:rPr>
                <w:rStyle w:val="Ninguno"/>
              </w:rPr>
              <w:t>17.24 (25)</w:t>
            </w:r>
          </w:p>
        </w:tc>
        <w:tc>
          <w:tcPr>
            <w:tcW w:w="0" w:type="auto"/>
            <w:shd w:val="clear" w:color="auto" w:fill="auto"/>
          </w:tcPr>
          <w:p w14:paraId="471FA041" w14:textId="77777777" w:rsidR="005F104B" w:rsidRPr="00C9506C" w:rsidRDefault="005F104B" w:rsidP="007E28B9">
            <w:pPr>
              <w:spacing w:after="0" w:line="360" w:lineRule="auto"/>
              <w:rPr>
                <w:color w:val="000000"/>
                <w:lang w:val="en-US"/>
              </w:rPr>
            </w:pPr>
            <w:r w:rsidRPr="00C9506C">
              <w:rPr>
                <w:rStyle w:val="Ninguno"/>
              </w:rPr>
              <w:t>16.95 (20)</w:t>
            </w:r>
          </w:p>
        </w:tc>
        <w:tc>
          <w:tcPr>
            <w:tcW w:w="0" w:type="auto"/>
          </w:tcPr>
          <w:p w14:paraId="2353ABFE" w14:textId="77777777" w:rsidR="005F104B" w:rsidRPr="00C9506C" w:rsidRDefault="005F104B" w:rsidP="007E28B9">
            <w:pPr>
              <w:spacing w:after="0" w:line="360" w:lineRule="auto"/>
              <w:rPr>
                <w:rStyle w:val="Ninguno"/>
              </w:rPr>
            </w:pPr>
          </w:p>
        </w:tc>
        <w:tc>
          <w:tcPr>
            <w:tcW w:w="0" w:type="auto"/>
          </w:tcPr>
          <w:p w14:paraId="5BF9E299" w14:textId="77777777" w:rsidR="005F104B" w:rsidRPr="00C9506C" w:rsidRDefault="005F104B" w:rsidP="007E28B9">
            <w:pPr>
              <w:spacing w:after="0" w:line="360" w:lineRule="auto"/>
              <w:rPr>
                <w:rStyle w:val="Ninguno"/>
              </w:rPr>
            </w:pPr>
          </w:p>
        </w:tc>
      </w:tr>
      <w:tr w:rsidR="005F104B" w:rsidRPr="00C9506C" w14:paraId="0C49AD50" w14:textId="77777777" w:rsidTr="007E28B9">
        <w:tc>
          <w:tcPr>
            <w:tcW w:w="0" w:type="auto"/>
            <w:tcBorders>
              <w:left w:val="nil"/>
              <w:right w:val="nil"/>
            </w:tcBorders>
            <w:shd w:val="clear" w:color="auto" w:fill="auto"/>
          </w:tcPr>
          <w:p w14:paraId="1A2281D8" w14:textId="77777777" w:rsidR="005F104B" w:rsidRPr="00C9506C" w:rsidRDefault="005F104B" w:rsidP="007E28B9">
            <w:pPr>
              <w:spacing w:after="0" w:line="360" w:lineRule="auto"/>
              <w:ind w:left="284"/>
              <w:rPr>
                <w:bCs/>
                <w:color w:val="000000"/>
                <w:lang w:val="en-US"/>
              </w:rPr>
            </w:pPr>
            <w:r w:rsidRPr="00C9506C">
              <w:rPr>
                <w:bCs/>
                <w:color w:val="000000"/>
                <w:lang w:val="en-US"/>
              </w:rPr>
              <w:t>Completed primary education</w:t>
            </w:r>
          </w:p>
        </w:tc>
        <w:tc>
          <w:tcPr>
            <w:tcW w:w="0" w:type="auto"/>
            <w:tcBorders>
              <w:left w:val="nil"/>
              <w:right w:val="nil"/>
            </w:tcBorders>
            <w:shd w:val="clear" w:color="auto" w:fill="auto"/>
          </w:tcPr>
          <w:p w14:paraId="38DC08F2" w14:textId="77777777" w:rsidR="005F104B" w:rsidRPr="00C9506C" w:rsidRDefault="005F104B" w:rsidP="007E28B9">
            <w:pPr>
              <w:spacing w:after="0" w:line="360" w:lineRule="auto"/>
              <w:rPr>
                <w:color w:val="000000"/>
                <w:lang w:val="en-US"/>
              </w:rPr>
            </w:pPr>
            <w:r w:rsidRPr="00C9506C">
              <w:rPr>
                <w:rStyle w:val="Ninguno"/>
              </w:rPr>
              <w:t>25.52 (37)</w:t>
            </w:r>
          </w:p>
        </w:tc>
        <w:tc>
          <w:tcPr>
            <w:tcW w:w="0" w:type="auto"/>
            <w:tcBorders>
              <w:left w:val="nil"/>
              <w:right w:val="nil"/>
            </w:tcBorders>
            <w:shd w:val="clear" w:color="auto" w:fill="auto"/>
          </w:tcPr>
          <w:p w14:paraId="6C4FFEB5" w14:textId="77777777" w:rsidR="005F104B" w:rsidRPr="00C9506C" w:rsidRDefault="005F104B" w:rsidP="007E28B9">
            <w:pPr>
              <w:spacing w:after="0" w:line="360" w:lineRule="auto"/>
              <w:rPr>
                <w:color w:val="000000"/>
                <w:lang w:val="en-US"/>
              </w:rPr>
            </w:pPr>
            <w:r w:rsidRPr="00C9506C">
              <w:rPr>
                <w:rStyle w:val="Ninguno"/>
              </w:rPr>
              <w:t>28.81 (34)</w:t>
            </w:r>
          </w:p>
        </w:tc>
        <w:tc>
          <w:tcPr>
            <w:tcW w:w="0" w:type="auto"/>
            <w:tcBorders>
              <w:left w:val="nil"/>
              <w:right w:val="nil"/>
            </w:tcBorders>
          </w:tcPr>
          <w:p w14:paraId="53EB5AF1" w14:textId="77777777" w:rsidR="005F104B" w:rsidRPr="00C9506C" w:rsidRDefault="005F104B" w:rsidP="007E28B9">
            <w:pPr>
              <w:spacing w:after="0" w:line="360" w:lineRule="auto"/>
              <w:rPr>
                <w:rStyle w:val="Ninguno"/>
              </w:rPr>
            </w:pPr>
          </w:p>
        </w:tc>
        <w:tc>
          <w:tcPr>
            <w:tcW w:w="0" w:type="auto"/>
            <w:tcBorders>
              <w:left w:val="nil"/>
              <w:right w:val="nil"/>
            </w:tcBorders>
          </w:tcPr>
          <w:p w14:paraId="070CACB1" w14:textId="77777777" w:rsidR="005F104B" w:rsidRPr="00C9506C" w:rsidRDefault="005F104B" w:rsidP="007E28B9">
            <w:pPr>
              <w:spacing w:after="0" w:line="360" w:lineRule="auto"/>
              <w:rPr>
                <w:rStyle w:val="Ninguno"/>
              </w:rPr>
            </w:pPr>
          </w:p>
        </w:tc>
      </w:tr>
      <w:tr w:rsidR="005F104B" w:rsidRPr="00C9506C" w14:paraId="5B06F07F" w14:textId="77777777" w:rsidTr="007E28B9">
        <w:tc>
          <w:tcPr>
            <w:tcW w:w="0" w:type="auto"/>
            <w:shd w:val="clear" w:color="auto" w:fill="auto"/>
          </w:tcPr>
          <w:p w14:paraId="018A9395" w14:textId="77777777" w:rsidR="005F104B" w:rsidRPr="00C9506C" w:rsidRDefault="005F104B" w:rsidP="007E28B9">
            <w:pPr>
              <w:spacing w:after="0" w:line="360" w:lineRule="auto"/>
              <w:ind w:left="284"/>
              <w:rPr>
                <w:bCs/>
                <w:color w:val="000000"/>
                <w:lang w:val="en-US"/>
              </w:rPr>
            </w:pPr>
            <w:r w:rsidRPr="00C9506C">
              <w:rPr>
                <w:bCs/>
                <w:color w:val="000000"/>
                <w:lang w:val="en-US"/>
              </w:rPr>
              <w:t>Secondary</w:t>
            </w:r>
          </w:p>
        </w:tc>
        <w:tc>
          <w:tcPr>
            <w:tcW w:w="0" w:type="auto"/>
            <w:shd w:val="clear" w:color="auto" w:fill="auto"/>
          </w:tcPr>
          <w:p w14:paraId="3C4C737A" w14:textId="77777777" w:rsidR="005F104B" w:rsidRPr="00C9506C" w:rsidRDefault="005F104B" w:rsidP="007E28B9">
            <w:pPr>
              <w:spacing w:after="0" w:line="360" w:lineRule="auto"/>
              <w:rPr>
                <w:color w:val="000000"/>
                <w:lang w:val="en-US"/>
              </w:rPr>
            </w:pPr>
            <w:r w:rsidRPr="00C9506C">
              <w:rPr>
                <w:rStyle w:val="Ninguno"/>
              </w:rPr>
              <w:t>37.93 (55)</w:t>
            </w:r>
          </w:p>
        </w:tc>
        <w:tc>
          <w:tcPr>
            <w:tcW w:w="0" w:type="auto"/>
            <w:shd w:val="clear" w:color="auto" w:fill="auto"/>
          </w:tcPr>
          <w:p w14:paraId="5BF6D993" w14:textId="77777777" w:rsidR="005F104B" w:rsidRPr="00C9506C" w:rsidRDefault="005F104B" w:rsidP="007E28B9">
            <w:pPr>
              <w:spacing w:after="0" w:line="360" w:lineRule="auto"/>
              <w:rPr>
                <w:color w:val="000000"/>
                <w:lang w:val="en-US"/>
              </w:rPr>
            </w:pPr>
            <w:r w:rsidRPr="00C9506C">
              <w:rPr>
                <w:rStyle w:val="Ninguno"/>
              </w:rPr>
              <w:t>31.36 (37)</w:t>
            </w:r>
          </w:p>
        </w:tc>
        <w:tc>
          <w:tcPr>
            <w:tcW w:w="0" w:type="auto"/>
          </w:tcPr>
          <w:p w14:paraId="2805C1EF" w14:textId="77777777" w:rsidR="005F104B" w:rsidRPr="00C9506C" w:rsidRDefault="005F104B" w:rsidP="007E28B9">
            <w:pPr>
              <w:spacing w:after="0" w:line="360" w:lineRule="auto"/>
              <w:rPr>
                <w:rStyle w:val="Ninguno"/>
              </w:rPr>
            </w:pPr>
          </w:p>
        </w:tc>
        <w:tc>
          <w:tcPr>
            <w:tcW w:w="0" w:type="auto"/>
          </w:tcPr>
          <w:p w14:paraId="7FEDA604" w14:textId="77777777" w:rsidR="005F104B" w:rsidRPr="00C9506C" w:rsidRDefault="005F104B" w:rsidP="007E28B9">
            <w:pPr>
              <w:spacing w:after="0" w:line="360" w:lineRule="auto"/>
              <w:rPr>
                <w:rStyle w:val="Ninguno"/>
              </w:rPr>
            </w:pPr>
          </w:p>
        </w:tc>
      </w:tr>
      <w:tr w:rsidR="005F104B" w:rsidRPr="00C9506C" w14:paraId="69F6FCC8" w14:textId="77777777" w:rsidTr="007E28B9">
        <w:tc>
          <w:tcPr>
            <w:tcW w:w="0" w:type="auto"/>
            <w:tcBorders>
              <w:left w:val="nil"/>
              <w:right w:val="nil"/>
            </w:tcBorders>
            <w:shd w:val="clear" w:color="auto" w:fill="auto"/>
          </w:tcPr>
          <w:p w14:paraId="34451A85" w14:textId="77777777" w:rsidR="005F104B" w:rsidRPr="00C9506C" w:rsidRDefault="005F104B" w:rsidP="007E28B9">
            <w:pPr>
              <w:spacing w:after="0" w:line="360" w:lineRule="auto"/>
              <w:ind w:left="284"/>
              <w:rPr>
                <w:bCs/>
                <w:color w:val="000000"/>
                <w:lang w:val="en-US"/>
              </w:rPr>
            </w:pPr>
            <w:r w:rsidRPr="00C9506C">
              <w:rPr>
                <w:bCs/>
                <w:color w:val="000000"/>
                <w:lang w:val="en-US"/>
              </w:rPr>
              <w:t>University</w:t>
            </w:r>
          </w:p>
        </w:tc>
        <w:tc>
          <w:tcPr>
            <w:tcW w:w="0" w:type="auto"/>
            <w:tcBorders>
              <w:left w:val="nil"/>
              <w:right w:val="nil"/>
            </w:tcBorders>
            <w:shd w:val="clear" w:color="auto" w:fill="auto"/>
          </w:tcPr>
          <w:p w14:paraId="5A1726BF" w14:textId="77777777" w:rsidR="005F104B" w:rsidRPr="00C9506C" w:rsidRDefault="005F104B" w:rsidP="007E28B9">
            <w:pPr>
              <w:spacing w:after="0" w:line="360" w:lineRule="auto"/>
              <w:rPr>
                <w:color w:val="000000"/>
                <w:lang w:val="en-US"/>
              </w:rPr>
            </w:pPr>
            <w:r w:rsidRPr="00C9506C">
              <w:rPr>
                <w:rFonts w:cs="Calibri"/>
              </w:rPr>
              <w:t>13.10 (19)</w:t>
            </w:r>
          </w:p>
        </w:tc>
        <w:tc>
          <w:tcPr>
            <w:tcW w:w="0" w:type="auto"/>
            <w:tcBorders>
              <w:left w:val="nil"/>
              <w:right w:val="nil"/>
            </w:tcBorders>
            <w:shd w:val="clear" w:color="auto" w:fill="auto"/>
          </w:tcPr>
          <w:p w14:paraId="453663B3" w14:textId="77777777" w:rsidR="005F104B" w:rsidRPr="00C9506C" w:rsidRDefault="005F104B" w:rsidP="007E28B9">
            <w:pPr>
              <w:spacing w:after="0" w:line="360" w:lineRule="auto"/>
              <w:rPr>
                <w:color w:val="000000"/>
                <w:lang w:val="en-US"/>
              </w:rPr>
            </w:pPr>
            <w:r w:rsidRPr="00C9506C">
              <w:rPr>
                <w:rFonts w:cs="Calibri"/>
              </w:rPr>
              <w:t>14.41 (17)</w:t>
            </w:r>
          </w:p>
        </w:tc>
        <w:tc>
          <w:tcPr>
            <w:tcW w:w="0" w:type="auto"/>
            <w:tcBorders>
              <w:left w:val="nil"/>
              <w:right w:val="nil"/>
            </w:tcBorders>
          </w:tcPr>
          <w:p w14:paraId="529B9C99" w14:textId="77777777" w:rsidR="005F104B" w:rsidRPr="00C9506C" w:rsidRDefault="005F104B" w:rsidP="007E28B9">
            <w:pPr>
              <w:spacing w:after="0" w:line="360" w:lineRule="auto"/>
              <w:rPr>
                <w:rFonts w:cs="Calibri"/>
              </w:rPr>
            </w:pPr>
          </w:p>
        </w:tc>
        <w:tc>
          <w:tcPr>
            <w:tcW w:w="0" w:type="auto"/>
            <w:tcBorders>
              <w:left w:val="nil"/>
              <w:right w:val="nil"/>
            </w:tcBorders>
          </w:tcPr>
          <w:p w14:paraId="36D379DE" w14:textId="77777777" w:rsidR="005F104B" w:rsidRPr="00C9506C" w:rsidRDefault="005F104B" w:rsidP="007E28B9">
            <w:pPr>
              <w:spacing w:after="0" w:line="360" w:lineRule="auto"/>
              <w:rPr>
                <w:rFonts w:cs="Calibri"/>
              </w:rPr>
            </w:pPr>
          </w:p>
        </w:tc>
      </w:tr>
      <w:tr w:rsidR="005F104B" w:rsidRPr="00C9506C" w14:paraId="532B10A7" w14:textId="77777777" w:rsidTr="007E28B9">
        <w:tc>
          <w:tcPr>
            <w:tcW w:w="0" w:type="auto"/>
            <w:shd w:val="clear" w:color="auto" w:fill="auto"/>
          </w:tcPr>
          <w:p w14:paraId="434C7B45" w14:textId="77777777" w:rsidR="005F104B" w:rsidRPr="00C9506C" w:rsidRDefault="005F104B" w:rsidP="007E28B9">
            <w:pPr>
              <w:spacing w:after="0" w:line="360" w:lineRule="auto"/>
              <w:rPr>
                <w:b/>
                <w:bCs/>
                <w:color w:val="000000"/>
                <w:lang w:val="en-US"/>
              </w:rPr>
            </w:pPr>
            <w:r w:rsidRPr="00C9506C">
              <w:rPr>
                <w:b/>
                <w:bCs/>
                <w:color w:val="000000"/>
                <w:lang w:val="en-US"/>
              </w:rPr>
              <w:t>Work status, % (n)</w:t>
            </w:r>
          </w:p>
        </w:tc>
        <w:tc>
          <w:tcPr>
            <w:tcW w:w="0" w:type="auto"/>
            <w:shd w:val="clear" w:color="auto" w:fill="auto"/>
          </w:tcPr>
          <w:p w14:paraId="6821CE25" w14:textId="77777777" w:rsidR="005F104B" w:rsidRPr="00C9506C" w:rsidRDefault="005F104B" w:rsidP="007E28B9">
            <w:pPr>
              <w:spacing w:after="0" w:line="360" w:lineRule="auto"/>
              <w:rPr>
                <w:color w:val="000000"/>
                <w:lang w:val="en-US"/>
              </w:rPr>
            </w:pPr>
          </w:p>
        </w:tc>
        <w:tc>
          <w:tcPr>
            <w:tcW w:w="0" w:type="auto"/>
            <w:shd w:val="clear" w:color="auto" w:fill="auto"/>
          </w:tcPr>
          <w:p w14:paraId="73EE579A" w14:textId="77777777" w:rsidR="005F104B" w:rsidRPr="00C9506C" w:rsidRDefault="005F104B" w:rsidP="007E28B9">
            <w:pPr>
              <w:spacing w:after="0" w:line="360" w:lineRule="auto"/>
              <w:rPr>
                <w:color w:val="000000"/>
                <w:lang w:val="en-US"/>
              </w:rPr>
            </w:pPr>
          </w:p>
        </w:tc>
        <w:tc>
          <w:tcPr>
            <w:tcW w:w="0" w:type="auto"/>
          </w:tcPr>
          <w:p w14:paraId="19A399F2" w14:textId="77777777" w:rsidR="005F104B" w:rsidRPr="00C9506C" w:rsidRDefault="005F104B" w:rsidP="007E28B9">
            <w:pPr>
              <w:spacing w:after="0" w:line="360" w:lineRule="auto"/>
              <w:rPr>
                <w:color w:val="000000"/>
                <w:lang w:val="en-US"/>
              </w:rPr>
            </w:pPr>
            <w:r>
              <w:rPr>
                <w:color w:val="000000"/>
                <w:lang w:val="en-US"/>
              </w:rPr>
              <w:t>0.579</w:t>
            </w:r>
          </w:p>
        </w:tc>
        <w:tc>
          <w:tcPr>
            <w:tcW w:w="0" w:type="auto"/>
          </w:tcPr>
          <w:p w14:paraId="34559B14" w14:textId="77777777" w:rsidR="005F104B" w:rsidRPr="00C9506C" w:rsidRDefault="005F104B" w:rsidP="007E28B9">
            <w:pPr>
              <w:spacing w:after="0" w:line="360" w:lineRule="auto"/>
              <w:rPr>
                <w:color w:val="000000"/>
                <w:lang w:val="en-US"/>
              </w:rPr>
            </w:pPr>
            <w:r>
              <w:rPr>
                <w:color w:val="000000"/>
                <w:lang w:val="en-US"/>
              </w:rPr>
              <w:t>0.826</w:t>
            </w:r>
          </w:p>
        </w:tc>
      </w:tr>
      <w:tr w:rsidR="005F104B" w:rsidRPr="00C9506C" w14:paraId="394DB247" w14:textId="77777777" w:rsidTr="007E28B9">
        <w:tc>
          <w:tcPr>
            <w:tcW w:w="0" w:type="auto"/>
            <w:tcBorders>
              <w:left w:val="nil"/>
              <w:right w:val="nil"/>
            </w:tcBorders>
            <w:shd w:val="clear" w:color="auto" w:fill="auto"/>
          </w:tcPr>
          <w:p w14:paraId="362AADF6" w14:textId="77777777" w:rsidR="005F104B" w:rsidRPr="00C9506C" w:rsidRDefault="005F104B" w:rsidP="007E28B9">
            <w:pPr>
              <w:spacing w:after="0" w:line="360" w:lineRule="auto"/>
              <w:ind w:left="284"/>
              <w:rPr>
                <w:bCs/>
                <w:color w:val="000000"/>
                <w:lang w:val="en-US"/>
              </w:rPr>
            </w:pPr>
            <w:r w:rsidRPr="00C9506C">
              <w:rPr>
                <w:bCs/>
                <w:color w:val="000000"/>
                <w:lang w:val="en-US"/>
              </w:rPr>
              <w:t>Paid employment</w:t>
            </w:r>
          </w:p>
        </w:tc>
        <w:tc>
          <w:tcPr>
            <w:tcW w:w="0" w:type="auto"/>
            <w:tcBorders>
              <w:left w:val="nil"/>
              <w:right w:val="nil"/>
            </w:tcBorders>
            <w:shd w:val="clear" w:color="auto" w:fill="auto"/>
          </w:tcPr>
          <w:p w14:paraId="1E60814C" w14:textId="77777777" w:rsidR="005F104B" w:rsidRPr="00C9506C" w:rsidRDefault="005F104B" w:rsidP="007E28B9">
            <w:pPr>
              <w:spacing w:after="0" w:line="360" w:lineRule="auto"/>
              <w:rPr>
                <w:color w:val="000000"/>
                <w:lang w:val="en-US"/>
              </w:rPr>
            </w:pPr>
            <w:r w:rsidRPr="00C9506C">
              <w:rPr>
                <w:rStyle w:val="Ninguno"/>
              </w:rPr>
              <w:t>26.90 (39)</w:t>
            </w:r>
          </w:p>
        </w:tc>
        <w:tc>
          <w:tcPr>
            <w:tcW w:w="0" w:type="auto"/>
            <w:tcBorders>
              <w:left w:val="nil"/>
              <w:right w:val="nil"/>
            </w:tcBorders>
            <w:shd w:val="clear" w:color="auto" w:fill="auto"/>
          </w:tcPr>
          <w:p w14:paraId="774D0CA9" w14:textId="77777777" w:rsidR="005F104B" w:rsidRPr="00C9506C" w:rsidRDefault="005F104B" w:rsidP="007E28B9">
            <w:pPr>
              <w:spacing w:after="0" w:line="360" w:lineRule="auto"/>
              <w:rPr>
                <w:color w:val="000000"/>
                <w:lang w:val="en-US"/>
              </w:rPr>
            </w:pPr>
            <w:r w:rsidRPr="00C9506C">
              <w:rPr>
                <w:rStyle w:val="Ninguno"/>
              </w:rPr>
              <w:t>31.36 (37)</w:t>
            </w:r>
          </w:p>
        </w:tc>
        <w:tc>
          <w:tcPr>
            <w:tcW w:w="0" w:type="auto"/>
            <w:tcBorders>
              <w:left w:val="nil"/>
              <w:right w:val="nil"/>
            </w:tcBorders>
          </w:tcPr>
          <w:p w14:paraId="61EB973E" w14:textId="77777777" w:rsidR="005F104B" w:rsidRPr="00C9506C" w:rsidRDefault="005F104B" w:rsidP="007E28B9">
            <w:pPr>
              <w:spacing w:after="0" w:line="360" w:lineRule="auto"/>
              <w:rPr>
                <w:rStyle w:val="Ninguno"/>
              </w:rPr>
            </w:pPr>
          </w:p>
        </w:tc>
        <w:tc>
          <w:tcPr>
            <w:tcW w:w="0" w:type="auto"/>
            <w:tcBorders>
              <w:left w:val="nil"/>
              <w:right w:val="nil"/>
            </w:tcBorders>
          </w:tcPr>
          <w:p w14:paraId="26161C70" w14:textId="77777777" w:rsidR="005F104B" w:rsidRPr="00C9506C" w:rsidRDefault="005F104B" w:rsidP="007E28B9">
            <w:pPr>
              <w:spacing w:after="0" w:line="360" w:lineRule="auto"/>
              <w:rPr>
                <w:rStyle w:val="Ninguno"/>
              </w:rPr>
            </w:pPr>
          </w:p>
        </w:tc>
      </w:tr>
      <w:tr w:rsidR="005F104B" w:rsidRPr="00C9506C" w14:paraId="1AD3A8F1" w14:textId="77777777" w:rsidTr="007E28B9">
        <w:tc>
          <w:tcPr>
            <w:tcW w:w="0" w:type="auto"/>
            <w:shd w:val="clear" w:color="auto" w:fill="auto"/>
          </w:tcPr>
          <w:p w14:paraId="74BD3378" w14:textId="77777777" w:rsidR="005F104B" w:rsidRPr="00C9506C" w:rsidRDefault="005F104B" w:rsidP="007E28B9">
            <w:pPr>
              <w:spacing w:after="0" w:line="360" w:lineRule="auto"/>
              <w:ind w:left="284"/>
              <w:rPr>
                <w:bCs/>
                <w:color w:val="000000"/>
                <w:lang w:val="en-US"/>
              </w:rPr>
            </w:pPr>
            <w:r w:rsidRPr="00C9506C">
              <w:rPr>
                <w:bCs/>
                <w:color w:val="000000"/>
                <w:lang w:val="en-US"/>
              </w:rPr>
              <w:t>Unpaid work</w:t>
            </w:r>
          </w:p>
        </w:tc>
        <w:tc>
          <w:tcPr>
            <w:tcW w:w="0" w:type="auto"/>
            <w:shd w:val="clear" w:color="auto" w:fill="auto"/>
          </w:tcPr>
          <w:p w14:paraId="196C6F18" w14:textId="77777777" w:rsidR="005F104B" w:rsidRPr="00C9506C" w:rsidRDefault="005F104B" w:rsidP="007E28B9">
            <w:pPr>
              <w:spacing w:after="0" w:line="360" w:lineRule="auto"/>
              <w:rPr>
                <w:color w:val="000000"/>
                <w:lang w:val="en-US"/>
              </w:rPr>
            </w:pPr>
            <w:r w:rsidRPr="00C9506C">
              <w:rPr>
                <w:rStyle w:val="Ninguno"/>
              </w:rPr>
              <w:t>8.97 (13)</w:t>
            </w:r>
          </w:p>
        </w:tc>
        <w:tc>
          <w:tcPr>
            <w:tcW w:w="0" w:type="auto"/>
            <w:shd w:val="clear" w:color="auto" w:fill="auto"/>
          </w:tcPr>
          <w:p w14:paraId="6FEE9FCB" w14:textId="77777777" w:rsidR="005F104B" w:rsidRPr="00C9506C" w:rsidRDefault="005F104B" w:rsidP="007E28B9">
            <w:pPr>
              <w:spacing w:after="0" w:line="360" w:lineRule="auto"/>
              <w:rPr>
                <w:color w:val="000000"/>
                <w:lang w:val="en-US"/>
              </w:rPr>
            </w:pPr>
            <w:r w:rsidRPr="00C9506C">
              <w:rPr>
                <w:rStyle w:val="Ninguno"/>
              </w:rPr>
              <w:t>16.10 (19)</w:t>
            </w:r>
          </w:p>
        </w:tc>
        <w:tc>
          <w:tcPr>
            <w:tcW w:w="0" w:type="auto"/>
          </w:tcPr>
          <w:p w14:paraId="307511CD" w14:textId="77777777" w:rsidR="005F104B" w:rsidRPr="00C9506C" w:rsidRDefault="005F104B" w:rsidP="007E28B9">
            <w:pPr>
              <w:spacing w:after="0" w:line="360" w:lineRule="auto"/>
              <w:rPr>
                <w:rStyle w:val="Ninguno"/>
              </w:rPr>
            </w:pPr>
          </w:p>
        </w:tc>
        <w:tc>
          <w:tcPr>
            <w:tcW w:w="0" w:type="auto"/>
          </w:tcPr>
          <w:p w14:paraId="1638C469" w14:textId="77777777" w:rsidR="005F104B" w:rsidRPr="00C9506C" w:rsidRDefault="005F104B" w:rsidP="007E28B9">
            <w:pPr>
              <w:spacing w:after="0" w:line="360" w:lineRule="auto"/>
              <w:rPr>
                <w:rStyle w:val="Ninguno"/>
              </w:rPr>
            </w:pPr>
          </w:p>
        </w:tc>
      </w:tr>
      <w:tr w:rsidR="005F104B" w:rsidRPr="00C9506C" w14:paraId="17D13D7C" w14:textId="77777777" w:rsidTr="007E28B9">
        <w:tc>
          <w:tcPr>
            <w:tcW w:w="0" w:type="auto"/>
            <w:tcBorders>
              <w:left w:val="nil"/>
              <w:right w:val="nil"/>
            </w:tcBorders>
            <w:shd w:val="clear" w:color="auto" w:fill="auto"/>
          </w:tcPr>
          <w:p w14:paraId="4504F340" w14:textId="77777777" w:rsidR="005F104B" w:rsidRPr="00C9506C" w:rsidRDefault="005F104B" w:rsidP="007E28B9">
            <w:pPr>
              <w:spacing w:after="0" w:line="360" w:lineRule="auto"/>
              <w:ind w:left="284"/>
              <w:rPr>
                <w:bCs/>
                <w:color w:val="000000"/>
                <w:lang w:val="en-US"/>
              </w:rPr>
            </w:pPr>
            <w:r w:rsidRPr="00C9506C">
              <w:rPr>
                <w:bCs/>
                <w:color w:val="000000"/>
                <w:lang w:val="en-US"/>
              </w:rPr>
              <w:t>On sick leave</w:t>
            </w:r>
          </w:p>
        </w:tc>
        <w:tc>
          <w:tcPr>
            <w:tcW w:w="0" w:type="auto"/>
            <w:tcBorders>
              <w:left w:val="nil"/>
              <w:right w:val="nil"/>
            </w:tcBorders>
            <w:shd w:val="clear" w:color="auto" w:fill="auto"/>
          </w:tcPr>
          <w:p w14:paraId="69F4C5F3" w14:textId="77777777" w:rsidR="005F104B" w:rsidRPr="00C9506C" w:rsidRDefault="005F104B" w:rsidP="007E28B9">
            <w:pPr>
              <w:spacing w:after="0" w:line="360" w:lineRule="auto"/>
              <w:rPr>
                <w:color w:val="000000"/>
                <w:lang w:val="en-US"/>
              </w:rPr>
            </w:pPr>
            <w:r w:rsidRPr="00C9506C">
              <w:rPr>
                <w:rStyle w:val="Ninguno"/>
              </w:rPr>
              <w:t>18.62 (27)</w:t>
            </w:r>
          </w:p>
        </w:tc>
        <w:tc>
          <w:tcPr>
            <w:tcW w:w="0" w:type="auto"/>
            <w:tcBorders>
              <w:left w:val="nil"/>
              <w:right w:val="nil"/>
            </w:tcBorders>
            <w:shd w:val="clear" w:color="auto" w:fill="auto"/>
          </w:tcPr>
          <w:p w14:paraId="6E5AE419" w14:textId="77777777" w:rsidR="005F104B" w:rsidRPr="00C9506C" w:rsidRDefault="005F104B" w:rsidP="007E28B9">
            <w:pPr>
              <w:spacing w:after="0" w:line="360" w:lineRule="auto"/>
              <w:rPr>
                <w:color w:val="000000"/>
                <w:lang w:val="en-US"/>
              </w:rPr>
            </w:pPr>
            <w:r w:rsidRPr="00C9506C">
              <w:rPr>
                <w:rStyle w:val="Ninguno"/>
              </w:rPr>
              <w:t>15.25 (18)</w:t>
            </w:r>
          </w:p>
        </w:tc>
        <w:tc>
          <w:tcPr>
            <w:tcW w:w="0" w:type="auto"/>
            <w:tcBorders>
              <w:left w:val="nil"/>
              <w:right w:val="nil"/>
            </w:tcBorders>
          </w:tcPr>
          <w:p w14:paraId="2FED97B5" w14:textId="77777777" w:rsidR="005F104B" w:rsidRPr="00C9506C" w:rsidRDefault="005F104B" w:rsidP="007E28B9">
            <w:pPr>
              <w:spacing w:after="0" w:line="360" w:lineRule="auto"/>
              <w:rPr>
                <w:rStyle w:val="Ninguno"/>
              </w:rPr>
            </w:pPr>
          </w:p>
        </w:tc>
        <w:tc>
          <w:tcPr>
            <w:tcW w:w="0" w:type="auto"/>
            <w:tcBorders>
              <w:left w:val="nil"/>
              <w:right w:val="nil"/>
            </w:tcBorders>
          </w:tcPr>
          <w:p w14:paraId="48E1C1B6" w14:textId="77777777" w:rsidR="005F104B" w:rsidRPr="00C9506C" w:rsidRDefault="005F104B" w:rsidP="007E28B9">
            <w:pPr>
              <w:spacing w:after="0" w:line="360" w:lineRule="auto"/>
              <w:rPr>
                <w:rStyle w:val="Ninguno"/>
              </w:rPr>
            </w:pPr>
          </w:p>
        </w:tc>
      </w:tr>
      <w:tr w:rsidR="005F104B" w:rsidRPr="00C9506C" w14:paraId="45A34D41" w14:textId="77777777" w:rsidTr="007E28B9">
        <w:tc>
          <w:tcPr>
            <w:tcW w:w="0" w:type="auto"/>
            <w:shd w:val="clear" w:color="auto" w:fill="auto"/>
          </w:tcPr>
          <w:p w14:paraId="513073C5" w14:textId="77777777" w:rsidR="005F104B" w:rsidRPr="00C9506C" w:rsidRDefault="005F104B" w:rsidP="007E28B9">
            <w:pPr>
              <w:spacing w:after="0" w:line="360" w:lineRule="auto"/>
              <w:ind w:left="284"/>
              <w:rPr>
                <w:bCs/>
                <w:color w:val="000000"/>
                <w:lang w:val="en-US"/>
              </w:rPr>
            </w:pPr>
            <w:r w:rsidRPr="00C9506C">
              <w:rPr>
                <w:bCs/>
                <w:color w:val="000000"/>
                <w:lang w:val="en-US"/>
              </w:rPr>
              <w:t>Unemployed (with unemployment benefits)</w:t>
            </w:r>
          </w:p>
        </w:tc>
        <w:tc>
          <w:tcPr>
            <w:tcW w:w="0" w:type="auto"/>
            <w:shd w:val="clear" w:color="auto" w:fill="auto"/>
          </w:tcPr>
          <w:p w14:paraId="4AD62F79" w14:textId="77777777" w:rsidR="005F104B" w:rsidRPr="00C9506C" w:rsidRDefault="005F104B" w:rsidP="007E28B9">
            <w:pPr>
              <w:spacing w:after="0" w:line="360" w:lineRule="auto"/>
              <w:rPr>
                <w:color w:val="000000"/>
                <w:lang w:val="en-US"/>
              </w:rPr>
            </w:pPr>
            <w:r w:rsidRPr="00C9506C">
              <w:rPr>
                <w:rStyle w:val="Ninguno"/>
              </w:rPr>
              <w:t>19.31 (28)</w:t>
            </w:r>
          </w:p>
        </w:tc>
        <w:tc>
          <w:tcPr>
            <w:tcW w:w="0" w:type="auto"/>
            <w:shd w:val="clear" w:color="auto" w:fill="auto"/>
          </w:tcPr>
          <w:p w14:paraId="15E805CF" w14:textId="77777777" w:rsidR="005F104B" w:rsidRPr="00C9506C" w:rsidRDefault="005F104B" w:rsidP="007E28B9">
            <w:pPr>
              <w:spacing w:after="0" w:line="360" w:lineRule="auto"/>
              <w:rPr>
                <w:color w:val="000000"/>
                <w:lang w:val="en-US"/>
              </w:rPr>
            </w:pPr>
            <w:r w:rsidRPr="00C9506C">
              <w:rPr>
                <w:rStyle w:val="Ninguno"/>
              </w:rPr>
              <w:t>15.25 (18)</w:t>
            </w:r>
          </w:p>
        </w:tc>
        <w:tc>
          <w:tcPr>
            <w:tcW w:w="0" w:type="auto"/>
          </w:tcPr>
          <w:p w14:paraId="0133894E" w14:textId="77777777" w:rsidR="005F104B" w:rsidRPr="00C9506C" w:rsidRDefault="005F104B" w:rsidP="007E28B9">
            <w:pPr>
              <w:spacing w:after="0" w:line="360" w:lineRule="auto"/>
              <w:rPr>
                <w:rStyle w:val="Ninguno"/>
              </w:rPr>
            </w:pPr>
          </w:p>
        </w:tc>
        <w:tc>
          <w:tcPr>
            <w:tcW w:w="0" w:type="auto"/>
          </w:tcPr>
          <w:p w14:paraId="3127242B" w14:textId="77777777" w:rsidR="005F104B" w:rsidRPr="00C9506C" w:rsidRDefault="005F104B" w:rsidP="007E28B9">
            <w:pPr>
              <w:spacing w:after="0" w:line="360" w:lineRule="auto"/>
              <w:rPr>
                <w:rStyle w:val="Ninguno"/>
              </w:rPr>
            </w:pPr>
          </w:p>
        </w:tc>
      </w:tr>
      <w:tr w:rsidR="005F104B" w:rsidRPr="00C9506C" w14:paraId="5CDAC8F3" w14:textId="77777777" w:rsidTr="007E28B9">
        <w:tc>
          <w:tcPr>
            <w:tcW w:w="0" w:type="auto"/>
            <w:tcBorders>
              <w:left w:val="nil"/>
              <w:right w:val="nil"/>
            </w:tcBorders>
            <w:shd w:val="clear" w:color="auto" w:fill="auto"/>
          </w:tcPr>
          <w:p w14:paraId="24D78E78" w14:textId="77777777" w:rsidR="005F104B" w:rsidRPr="00C9506C" w:rsidRDefault="005F104B" w:rsidP="007E28B9">
            <w:pPr>
              <w:spacing w:after="0" w:line="360" w:lineRule="auto"/>
              <w:ind w:left="284"/>
              <w:rPr>
                <w:bCs/>
                <w:color w:val="000000"/>
                <w:lang w:val="en-US"/>
              </w:rPr>
            </w:pPr>
            <w:r w:rsidRPr="00C9506C">
              <w:rPr>
                <w:bCs/>
                <w:color w:val="000000"/>
                <w:lang w:val="en-US"/>
              </w:rPr>
              <w:t>Unemployed (without benefits)</w:t>
            </w:r>
          </w:p>
        </w:tc>
        <w:tc>
          <w:tcPr>
            <w:tcW w:w="0" w:type="auto"/>
            <w:tcBorders>
              <w:left w:val="nil"/>
              <w:right w:val="nil"/>
            </w:tcBorders>
            <w:shd w:val="clear" w:color="auto" w:fill="auto"/>
          </w:tcPr>
          <w:p w14:paraId="7C815746" w14:textId="77777777" w:rsidR="005F104B" w:rsidRPr="00C9506C" w:rsidRDefault="005F104B" w:rsidP="007E28B9">
            <w:pPr>
              <w:spacing w:after="0" w:line="360" w:lineRule="auto"/>
              <w:rPr>
                <w:color w:val="000000"/>
                <w:lang w:val="en-US"/>
              </w:rPr>
            </w:pPr>
            <w:r w:rsidRPr="00C9506C">
              <w:rPr>
                <w:rStyle w:val="Ninguno"/>
              </w:rPr>
              <w:t>13.79 (20)</w:t>
            </w:r>
          </w:p>
        </w:tc>
        <w:tc>
          <w:tcPr>
            <w:tcW w:w="0" w:type="auto"/>
            <w:tcBorders>
              <w:left w:val="nil"/>
              <w:right w:val="nil"/>
            </w:tcBorders>
            <w:shd w:val="clear" w:color="auto" w:fill="auto"/>
          </w:tcPr>
          <w:p w14:paraId="08FE15CA" w14:textId="77777777" w:rsidR="005F104B" w:rsidRPr="00C9506C" w:rsidRDefault="005F104B" w:rsidP="007E28B9">
            <w:pPr>
              <w:spacing w:after="0" w:line="360" w:lineRule="auto"/>
              <w:rPr>
                <w:color w:val="000000"/>
                <w:lang w:val="en-US"/>
              </w:rPr>
            </w:pPr>
            <w:r w:rsidRPr="00C9506C">
              <w:rPr>
                <w:rStyle w:val="Ninguno"/>
              </w:rPr>
              <w:t>11.86 (14)</w:t>
            </w:r>
          </w:p>
        </w:tc>
        <w:tc>
          <w:tcPr>
            <w:tcW w:w="0" w:type="auto"/>
            <w:tcBorders>
              <w:left w:val="nil"/>
              <w:right w:val="nil"/>
            </w:tcBorders>
          </w:tcPr>
          <w:p w14:paraId="16969584" w14:textId="77777777" w:rsidR="005F104B" w:rsidRPr="00C9506C" w:rsidRDefault="005F104B" w:rsidP="007E28B9">
            <w:pPr>
              <w:spacing w:after="0" w:line="360" w:lineRule="auto"/>
              <w:rPr>
                <w:rStyle w:val="Ninguno"/>
              </w:rPr>
            </w:pPr>
          </w:p>
        </w:tc>
        <w:tc>
          <w:tcPr>
            <w:tcW w:w="0" w:type="auto"/>
            <w:tcBorders>
              <w:left w:val="nil"/>
              <w:right w:val="nil"/>
            </w:tcBorders>
          </w:tcPr>
          <w:p w14:paraId="29F2A619" w14:textId="77777777" w:rsidR="005F104B" w:rsidRPr="00C9506C" w:rsidRDefault="005F104B" w:rsidP="007E28B9">
            <w:pPr>
              <w:spacing w:after="0" w:line="360" w:lineRule="auto"/>
              <w:rPr>
                <w:rStyle w:val="Ninguno"/>
              </w:rPr>
            </w:pPr>
          </w:p>
        </w:tc>
      </w:tr>
      <w:tr w:rsidR="005F104B" w:rsidRPr="00C9506C" w14:paraId="51031782" w14:textId="77777777" w:rsidTr="007E28B9">
        <w:tc>
          <w:tcPr>
            <w:tcW w:w="0" w:type="auto"/>
            <w:shd w:val="clear" w:color="auto" w:fill="auto"/>
          </w:tcPr>
          <w:p w14:paraId="505BF123" w14:textId="77777777" w:rsidR="005F104B" w:rsidRPr="00C9506C" w:rsidRDefault="005F104B" w:rsidP="007E28B9">
            <w:pPr>
              <w:spacing w:after="0" w:line="360" w:lineRule="auto"/>
              <w:ind w:left="284"/>
              <w:rPr>
                <w:bCs/>
                <w:color w:val="000000"/>
                <w:lang w:val="en-US"/>
              </w:rPr>
            </w:pPr>
            <w:r w:rsidRPr="00C9506C">
              <w:rPr>
                <w:bCs/>
                <w:color w:val="000000"/>
                <w:lang w:val="en-US"/>
              </w:rPr>
              <w:t>Retired</w:t>
            </w:r>
          </w:p>
        </w:tc>
        <w:tc>
          <w:tcPr>
            <w:tcW w:w="0" w:type="auto"/>
            <w:shd w:val="clear" w:color="auto" w:fill="auto"/>
          </w:tcPr>
          <w:p w14:paraId="723EA3E7" w14:textId="77777777" w:rsidR="005F104B" w:rsidRPr="00C9506C" w:rsidRDefault="005F104B" w:rsidP="007E28B9">
            <w:pPr>
              <w:spacing w:after="0" w:line="360" w:lineRule="auto"/>
              <w:rPr>
                <w:color w:val="000000"/>
                <w:lang w:val="en-US"/>
              </w:rPr>
            </w:pPr>
            <w:r w:rsidRPr="00C9506C">
              <w:rPr>
                <w:rStyle w:val="Ninguno"/>
              </w:rPr>
              <w:t>10.20 (12)</w:t>
            </w:r>
          </w:p>
        </w:tc>
        <w:tc>
          <w:tcPr>
            <w:tcW w:w="0" w:type="auto"/>
            <w:shd w:val="clear" w:color="auto" w:fill="auto"/>
          </w:tcPr>
          <w:p w14:paraId="6822CD1A" w14:textId="77777777" w:rsidR="005F104B" w:rsidRPr="00C9506C" w:rsidRDefault="005F104B" w:rsidP="007E28B9">
            <w:pPr>
              <w:spacing w:after="0" w:line="360" w:lineRule="auto"/>
              <w:rPr>
                <w:color w:val="000000"/>
                <w:lang w:val="en-US"/>
              </w:rPr>
            </w:pPr>
            <w:r w:rsidRPr="00C9506C">
              <w:rPr>
                <w:rStyle w:val="Ninguno"/>
              </w:rPr>
              <w:t>10.17 (12)</w:t>
            </w:r>
          </w:p>
        </w:tc>
        <w:tc>
          <w:tcPr>
            <w:tcW w:w="0" w:type="auto"/>
          </w:tcPr>
          <w:p w14:paraId="1A2345C6" w14:textId="77777777" w:rsidR="005F104B" w:rsidRPr="00C9506C" w:rsidRDefault="005F104B" w:rsidP="007E28B9">
            <w:pPr>
              <w:spacing w:after="0" w:line="360" w:lineRule="auto"/>
              <w:rPr>
                <w:rStyle w:val="Ninguno"/>
              </w:rPr>
            </w:pPr>
          </w:p>
        </w:tc>
        <w:tc>
          <w:tcPr>
            <w:tcW w:w="0" w:type="auto"/>
          </w:tcPr>
          <w:p w14:paraId="563882E9" w14:textId="77777777" w:rsidR="005F104B" w:rsidRPr="00C9506C" w:rsidRDefault="005F104B" w:rsidP="007E28B9">
            <w:pPr>
              <w:spacing w:after="0" w:line="360" w:lineRule="auto"/>
              <w:rPr>
                <w:rStyle w:val="Ninguno"/>
              </w:rPr>
            </w:pPr>
          </w:p>
        </w:tc>
      </w:tr>
      <w:tr w:rsidR="005F104B" w:rsidRPr="00C9506C" w14:paraId="22ADA626" w14:textId="77777777" w:rsidTr="007E28B9">
        <w:tc>
          <w:tcPr>
            <w:tcW w:w="0" w:type="auto"/>
            <w:tcBorders>
              <w:left w:val="nil"/>
              <w:right w:val="nil"/>
            </w:tcBorders>
            <w:shd w:val="clear" w:color="auto" w:fill="auto"/>
          </w:tcPr>
          <w:p w14:paraId="7EA9C185" w14:textId="77777777" w:rsidR="005F104B" w:rsidRPr="00C9506C" w:rsidRDefault="005F104B" w:rsidP="007E28B9">
            <w:pPr>
              <w:spacing w:after="0" w:line="360" w:lineRule="auto"/>
              <w:rPr>
                <w:b/>
                <w:bCs/>
                <w:color w:val="000000"/>
                <w:lang w:val="en-US"/>
              </w:rPr>
            </w:pPr>
            <w:r w:rsidRPr="00C9506C">
              <w:rPr>
                <w:b/>
                <w:bCs/>
                <w:color w:val="000000"/>
                <w:lang w:val="en-US"/>
              </w:rPr>
              <w:t>Place of birth, % (n)</w:t>
            </w:r>
          </w:p>
        </w:tc>
        <w:tc>
          <w:tcPr>
            <w:tcW w:w="0" w:type="auto"/>
            <w:tcBorders>
              <w:left w:val="nil"/>
              <w:right w:val="nil"/>
            </w:tcBorders>
            <w:shd w:val="clear" w:color="auto" w:fill="auto"/>
          </w:tcPr>
          <w:p w14:paraId="51720FB7" w14:textId="77777777" w:rsidR="005F104B" w:rsidRPr="00C9506C" w:rsidRDefault="005F104B" w:rsidP="007E28B9">
            <w:pPr>
              <w:spacing w:after="0" w:line="360" w:lineRule="auto"/>
              <w:rPr>
                <w:color w:val="000000"/>
                <w:lang w:val="en-US"/>
              </w:rPr>
            </w:pPr>
          </w:p>
        </w:tc>
        <w:tc>
          <w:tcPr>
            <w:tcW w:w="0" w:type="auto"/>
            <w:tcBorders>
              <w:left w:val="nil"/>
              <w:right w:val="nil"/>
            </w:tcBorders>
            <w:shd w:val="clear" w:color="auto" w:fill="auto"/>
          </w:tcPr>
          <w:p w14:paraId="1FD1B7D3"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4B85D30C" w14:textId="77777777" w:rsidR="005F104B" w:rsidRPr="00C9506C" w:rsidRDefault="005F104B" w:rsidP="007E28B9">
            <w:pPr>
              <w:spacing w:after="0" w:line="360" w:lineRule="auto"/>
              <w:rPr>
                <w:color w:val="000000"/>
                <w:lang w:val="en-US"/>
              </w:rPr>
            </w:pPr>
            <w:r>
              <w:rPr>
                <w:color w:val="000000"/>
                <w:lang w:val="en-US"/>
              </w:rPr>
              <w:t>0.912</w:t>
            </w:r>
          </w:p>
        </w:tc>
        <w:tc>
          <w:tcPr>
            <w:tcW w:w="0" w:type="auto"/>
            <w:tcBorders>
              <w:left w:val="nil"/>
              <w:right w:val="nil"/>
            </w:tcBorders>
          </w:tcPr>
          <w:p w14:paraId="67FE5271" w14:textId="77777777" w:rsidR="005F104B" w:rsidRPr="00C9506C" w:rsidRDefault="005F104B" w:rsidP="007E28B9">
            <w:pPr>
              <w:spacing w:after="0" w:line="360" w:lineRule="auto"/>
              <w:rPr>
                <w:color w:val="000000"/>
                <w:lang w:val="en-US"/>
              </w:rPr>
            </w:pPr>
            <w:r>
              <w:rPr>
                <w:color w:val="000000"/>
                <w:lang w:val="en-US"/>
              </w:rPr>
              <w:t>0.589</w:t>
            </w:r>
          </w:p>
        </w:tc>
      </w:tr>
      <w:tr w:rsidR="005F104B" w:rsidRPr="00C9506C" w14:paraId="1B479281" w14:textId="77777777" w:rsidTr="007E28B9">
        <w:tc>
          <w:tcPr>
            <w:tcW w:w="0" w:type="auto"/>
            <w:shd w:val="clear" w:color="auto" w:fill="auto"/>
          </w:tcPr>
          <w:p w14:paraId="7ACBC543" w14:textId="77777777" w:rsidR="005F104B" w:rsidRPr="00C9506C" w:rsidRDefault="005F104B" w:rsidP="007E28B9">
            <w:pPr>
              <w:spacing w:after="0" w:line="360" w:lineRule="auto"/>
              <w:ind w:left="284"/>
              <w:rPr>
                <w:bCs/>
                <w:color w:val="000000"/>
                <w:lang w:val="en-US"/>
              </w:rPr>
            </w:pPr>
            <w:r w:rsidRPr="00C9506C">
              <w:rPr>
                <w:bCs/>
                <w:color w:val="000000"/>
                <w:lang w:val="en-US"/>
              </w:rPr>
              <w:t>Catalonia</w:t>
            </w:r>
          </w:p>
        </w:tc>
        <w:tc>
          <w:tcPr>
            <w:tcW w:w="0" w:type="auto"/>
            <w:shd w:val="clear" w:color="auto" w:fill="auto"/>
          </w:tcPr>
          <w:p w14:paraId="765B83C9" w14:textId="77777777" w:rsidR="005F104B" w:rsidRPr="00C9506C" w:rsidRDefault="005F104B" w:rsidP="007E28B9">
            <w:pPr>
              <w:spacing w:after="0" w:line="360" w:lineRule="auto"/>
              <w:rPr>
                <w:color w:val="000000"/>
                <w:lang w:val="en-US"/>
              </w:rPr>
            </w:pPr>
            <w:r w:rsidRPr="00C9506C">
              <w:rPr>
                <w:rStyle w:val="Ninguno"/>
              </w:rPr>
              <w:t>50.34 (73)</w:t>
            </w:r>
          </w:p>
        </w:tc>
        <w:tc>
          <w:tcPr>
            <w:tcW w:w="0" w:type="auto"/>
            <w:shd w:val="clear" w:color="auto" w:fill="auto"/>
          </w:tcPr>
          <w:p w14:paraId="2FDBBE51" w14:textId="77777777" w:rsidR="005F104B" w:rsidRPr="00C9506C" w:rsidRDefault="005F104B" w:rsidP="007E28B9">
            <w:pPr>
              <w:spacing w:after="0" w:line="360" w:lineRule="auto"/>
              <w:rPr>
                <w:color w:val="000000"/>
                <w:lang w:val="en-US"/>
              </w:rPr>
            </w:pPr>
            <w:r w:rsidRPr="00C9506C">
              <w:rPr>
                <w:rStyle w:val="Ninguno"/>
              </w:rPr>
              <w:t>51.72 (60)</w:t>
            </w:r>
          </w:p>
        </w:tc>
        <w:tc>
          <w:tcPr>
            <w:tcW w:w="0" w:type="auto"/>
          </w:tcPr>
          <w:p w14:paraId="1C20EC7D" w14:textId="77777777" w:rsidR="005F104B" w:rsidRPr="00C9506C" w:rsidRDefault="005F104B" w:rsidP="007E28B9">
            <w:pPr>
              <w:spacing w:after="0" w:line="360" w:lineRule="auto"/>
              <w:rPr>
                <w:rStyle w:val="Ninguno"/>
              </w:rPr>
            </w:pPr>
          </w:p>
        </w:tc>
        <w:tc>
          <w:tcPr>
            <w:tcW w:w="0" w:type="auto"/>
          </w:tcPr>
          <w:p w14:paraId="361D40B1" w14:textId="77777777" w:rsidR="005F104B" w:rsidRPr="00C9506C" w:rsidRDefault="005F104B" w:rsidP="007E28B9">
            <w:pPr>
              <w:spacing w:after="0" w:line="360" w:lineRule="auto"/>
              <w:rPr>
                <w:rStyle w:val="Ninguno"/>
              </w:rPr>
            </w:pPr>
          </w:p>
        </w:tc>
      </w:tr>
      <w:tr w:rsidR="005F104B" w:rsidRPr="00C9506C" w14:paraId="466F2395" w14:textId="77777777" w:rsidTr="007E28B9">
        <w:tc>
          <w:tcPr>
            <w:tcW w:w="0" w:type="auto"/>
            <w:tcBorders>
              <w:left w:val="nil"/>
              <w:right w:val="nil"/>
            </w:tcBorders>
            <w:shd w:val="clear" w:color="auto" w:fill="auto"/>
          </w:tcPr>
          <w:p w14:paraId="23CC2E4A" w14:textId="77777777" w:rsidR="005F104B" w:rsidRPr="00C9506C" w:rsidRDefault="005F104B" w:rsidP="007E28B9">
            <w:pPr>
              <w:spacing w:after="0" w:line="360" w:lineRule="auto"/>
              <w:ind w:left="284"/>
              <w:rPr>
                <w:bCs/>
                <w:color w:val="000000"/>
                <w:lang w:val="en-US"/>
              </w:rPr>
            </w:pPr>
            <w:r w:rsidRPr="00C9506C">
              <w:rPr>
                <w:bCs/>
                <w:color w:val="000000"/>
                <w:lang w:val="en-US"/>
              </w:rPr>
              <w:t>Other Spanish regions</w:t>
            </w:r>
          </w:p>
        </w:tc>
        <w:tc>
          <w:tcPr>
            <w:tcW w:w="0" w:type="auto"/>
            <w:tcBorders>
              <w:left w:val="nil"/>
              <w:right w:val="nil"/>
            </w:tcBorders>
            <w:shd w:val="clear" w:color="auto" w:fill="auto"/>
          </w:tcPr>
          <w:p w14:paraId="6B189509" w14:textId="77777777" w:rsidR="005F104B" w:rsidRPr="00C9506C" w:rsidRDefault="005F104B" w:rsidP="007E28B9">
            <w:pPr>
              <w:spacing w:after="0" w:line="360" w:lineRule="auto"/>
              <w:rPr>
                <w:color w:val="000000"/>
                <w:lang w:val="en-US"/>
              </w:rPr>
            </w:pPr>
            <w:r w:rsidRPr="00C9506C">
              <w:rPr>
                <w:rStyle w:val="Ninguno"/>
              </w:rPr>
              <w:t>31.72 (46)</w:t>
            </w:r>
          </w:p>
        </w:tc>
        <w:tc>
          <w:tcPr>
            <w:tcW w:w="0" w:type="auto"/>
            <w:tcBorders>
              <w:left w:val="nil"/>
              <w:right w:val="nil"/>
            </w:tcBorders>
            <w:shd w:val="clear" w:color="auto" w:fill="auto"/>
          </w:tcPr>
          <w:p w14:paraId="291A7767" w14:textId="77777777" w:rsidR="005F104B" w:rsidRPr="00C9506C" w:rsidRDefault="005F104B" w:rsidP="007E28B9">
            <w:pPr>
              <w:spacing w:after="0" w:line="360" w:lineRule="auto"/>
              <w:rPr>
                <w:color w:val="000000"/>
                <w:lang w:val="en-US"/>
              </w:rPr>
            </w:pPr>
            <w:r w:rsidRPr="00C9506C">
              <w:rPr>
                <w:rStyle w:val="Ninguno"/>
              </w:rPr>
              <w:t>29.31 (34)</w:t>
            </w:r>
          </w:p>
        </w:tc>
        <w:tc>
          <w:tcPr>
            <w:tcW w:w="0" w:type="auto"/>
            <w:tcBorders>
              <w:left w:val="nil"/>
              <w:right w:val="nil"/>
            </w:tcBorders>
          </w:tcPr>
          <w:p w14:paraId="77636B14" w14:textId="77777777" w:rsidR="005F104B" w:rsidRPr="00C9506C" w:rsidRDefault="005F104B" w:rsidP="007E28B9">
            <w:pPr>
              <w:spacing w:after="0" w:line="360" w:lineRule="auto"/>
              <w:rPr>
                <w:rStyle w:val="Ninguno"/>
              </w:rPr>
            </w:pPr>
          </w:p>
        </w:tc>
        <w:tc>
          <w:tcPr>
            <w:tcW w:w="0" w:type="auto"/>
            <w:tcBorders>
              <w:left w:val="nil"/>
              <w:right w:val="nil"/>
            </w:tcBorders>
          </w:tcPr>
          <w:p w14:paraId="3C0FD51A" w14:textId="77777777" w:rsidR="005F104B" w:rsidRPr="00C9506C" w:rsidRDefault="005F104B" w:rsidP="007E28B9">
            <w:pPr>
              <w:spacing w:after="0" w:line="360" w:lineRule="auto"/>
              <w:rPr>
                <w:rStyle w:val="Ninguno"/>
              </w:rPr>
            </w:pPr>
          </w:p>
        </w:tc>
      </w:tr>
      <w:tr w:rsidR="005F104B" w:rsidRPr="00C9506C" w14:paraId="7066862B" w14:textId="77777777" w:rsidTr="007E28B9">
        <w:tc>
          <w:tcPr>
            <w:tcW w:w="0" w:type="auto"/>
            <w:shd w:val="clear" w:color="auto" w:fill="auto"/>
          </w:tcPr>
          <w:p w14:paraId="30B4DC81" w14:textId="77777777" w:rsidR="005F104B" w:rsidRPr="00C9506C" w:rsidRDefault="005F104B" w:rsidP="007E28B9">
            <w:pPr>
              <w:spacing w:after="0" w:line="360" w:lineRule="auto"/>
              <w:ind w:left="284"/>
              <w:rPr>
                <w:bCs/>
                <w:color w:val="000000"/>
                <w:lang w:val="en-US"/>
              </w:rPr>
            </w:pPr>
            <w:r w:rsidRPr="00C9506C">
              <w:rPr>
                <w:bCs/>
                <w:color w:val="000000"/>
                <w:lang w:val="en-US"/>
              </w:rPr>
              <w:t>Other countries</w:t>
            </w:r>
          </w:p>
        </w:tc>
        <w:tc>
          <w:tcPr>
            <w:tcW w:w="0" w:type="auto"/>
            <w:shd w:val="clear" w:color="auto" w:fill="auto"/>
          </w:tcPr>
          <w:p w14:paraId="257BFE62" w14:textId="77777777" w:rsidR="005F104B" w:rsidRPr="00C9506C" w:rsidRDefault="005F104B" w:rsidP="007E28B9">
            <w:pPr>
              <w:spacing w:after="0" w:line="360" w:lineRule="auto"/>
              <w:rPr>
                <w:color w:val="000000"/>
                <w:lang w:val="en-US"/>
              </w:rPr>
            </w:pPr>
            <w:r w:rsidRPr="00C9506C">
              <w:rPr>
                <w:rStyle w:val="Ninguno"/>
              </w:rPr>
              <w:t>17.93 (26)</w:t>
            </w:r>
          </w:p>
        </w:tc>
        <w:tc>
          <w:tcPr>
            <w:tcW w:w="0" w:type="auto"/>
            <w:shd w:val="clear" w:color="auto" w:fill="auto"/>
          </w:tcPr>
          <w:p w14:paraId="20DAADF3" w14:textId="77777777" w:rsidR="005F104B" w:rsidRPr="00C9506C" w:rsidRDefault="005F104B" w:rsidP="007E28B9">
            <w:pPr>
              <w:spacing w:after="0" w:line="360" w:lineRule="auto"/>
              <w:rPr>
                <w:color w:val="000000"/>
                <w:lang w:val="en-US"/>
              </w:rPr>
            </w:pPr>
            <w:r w:rsidRPr="00C9506C">
              <w:rPr>
                <w:rStyle w:val="Ninguno"/>
              </w:rPr>
              <w:t>18.97 (22)</w:t>
            </w:r>
          </w:p>
        </w:tc>
        <w:tc>
          <w:tcPr>
            <w:tcW w:w="0" w:type="auto"/>
          </w:tcPr>
          <w:p w14:paraId="00500D89" w14:textId="77777777" w:rsidR="005F104B" w:rsidRPr="00C9506C" w:rsidRDefault="005F104B" w:rsidP="007E28B9">
            <w:pPr>
              <w:spacing w:after="0" w:line="360" w:lineRule="auto"/>
              <w:rPr>
                <w:rStyle w:val="Ninguno"/>
              </w:rPr>
            </w:pPr>
          </w:p>
        </w:tc>
        <w:tc>
          <w:tcPr>
            <w:tcW w:w="0" w:type="auto"/>
          </w:tcPr>
          <w:p w14:paraId="1A23F479" w14:textId="77777777" w:rsidR="005F104B" w:rsidRPr="00C9506C" w:rsidRDefault="005F104B" w:rsidP="007E28B9">
            <w:pPr>
              <w:spacing w:after="0" w:line="360" w:lineRule="auto"/>
              <w:rPr>
                <w:rStyle w:val="Ninguno"/>
              </w:rPr>
            </w:pPr>
          </w:p>
        </w:tc>
      </w:tr>
      <w:tr w:rsidR="005F104B" w:rsidRPr="000900F5" w14:paraId="71D358DD" w14:textId="77777777" w:rsidTr="007E28B9">
        <w:tc>
          <w:tcPr>
            <w:tcW w:w="0" w:type="auto"/>
            <w:tcBorders>
              <w:left w:val="nil"/>
              <w:right w:val="nil"/>
            </w:tcBorders>
            <w:shd w:val="clear" w:color="auto" w:fill="auto"/>
          </w:tcPr>
          <w:p w14:paraId="28362161" w14:textId="77777777" w:rsidR="005F104B" w:rsidRPr="00C9506C" w:rsidRDefault="005F104B" w:rsidP="007E28B9">
            <w:pPr>
              <w:spacing w:after="0" w:line="360" w:lineRule="auto"/>
              <w:rPr>
                <w:b/>
                <w:bCs/>
                <w:color w:val="000000"/>
                <w:lang w:val="en-US"/>
              </w:rPr>
            </w:pPr>
            <w:r w:rsidRPr="00C9506C">
              <w:rPr>
                <w:b/>
                <w:bCs/>
                <w:color w:val="000000"/>
                <w:lang w:val="en-US"/>
              </w:rPr>
              <w:t>Mental disorders according to DSM-IV criteria, % (n)</w:t>
            </w:r>
          </w:p>
        </w:tc>
        <w:tc>
          <w:tcPr>
            <w:tcW w:w="0" w:type="auto"/>
            <w:tcBorders>
              <w:left w:val="nil"/>
              <w:right w:val="nil"/>
            </w:tcBorders>
            <w:shd w:val="clear" w:color="auto" w:fill="auto"/>
          </w:tcPr>
          <w:p w14:paraId="3FAB58BC" w14:textId="77777777" w:rsidR="005F104B" w:rsidRPr="00C9506C" w:rsidRDefault="005F104B" w:rsidP="007E28B9">
            <w:pPr>
              <w:spacing w:after="0" w:line="360" w:lineRule="auto"/>
              <w:rPr>
                <w:color w:val="000000"/>
                <w:lang w:val="en-US"/>
              </w:rPr>
            </w:pPr>
          </w:p>
        </w:tc>
        <w:tc>
          <w:tcPr>
            <w:tcW w:w="0" w:type="auto"/>
            <w:tcBorders>
              <w:left w:val="nil"/>
              <w:right w:val="nil"/>
            </w:tcBorders>
            <w:shd w:val="clear" w:color="auto" w:fill="auto"/>
          </w:tcPr>
          <w:p w14:paraId="2B77FD9D"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3549374B"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54DB081E" w14:textId="77777777" w:rsidR="005F104B" w:rsidRPr="00C9506C" w:rsidRDefault="005F104B" w:rsidP="007E28B9">
            <w:pPr>
              <w:spacing w:after="0" w:line="360" w:lineRule="auto"/>
              <w:rPr>
                <w:color w:val="000000"/>
                <w:lang w:val="en-US"/>
              </w:rPr>
            </w:pPr>
          </w:p>
        </w:tc>
      </w:tr>
      <w:tr w:rsidR="005F104B" w:rsidRPr="00C9506C" w14:paraId="7C5B7C4E" w14:textId="77777777" w:rsidTr="007E28B9">
        <w:tc>
          <w:tcPr>
            <w:tcW w:w="0" w:type="auto"/>
            <w:shd w:val="clear" w:color="auto" w:fill="auto"/>
          </w:tcPr>
          <w:p w14:paraId="5404FAB0" w14:textId="77777777" w:rsidR="005F104B" w:rsidRPr="00C9506C" w:rsidRDefault="005F104B" w:rsidP="007E28B9">
            <w:pPr>
              <w:spacing w:after="0" w:line="360" w:lineRule="auto"/>
              <w:ind w:left="284"/>
              <w:rPr>
                <w:bCs/>
                <w:color w:val="000000"/>
                <w:lang w:val="en-US"/>
              </w:rPr>
            </w:pPr>
            <w:r w:rsidRPr="00C9506C">
              <w:rPr>
                <w:color w:val="000000"/>
              </w:rPr>
              <w:t>Major depression</w:t>
            </w:r>
          </w:p>
        </w:tc>
        <w:tc>
          <w:tcPr>
            <w:tcW w:w="0" w:type="auto"/>
            <w:shd w:val="clear" w:color="auto" w:fill="auto"/>
          </w:tcPr>
          <w:p w14:paraId="5E121B0F" w14:textId="77777777" w:rsidR="005F104B" w:rsidRPr="00C9506C" w:rsidRDefault="005F104B" w:rsidP="007E28B9">
            <w:pPr>
              <w:spacing w:after="0" w:line="360" w:lineRule="auto"/>
              <w:rPr>
                <w:color w:val="000000"/>
                <w:lang w:val="en-US"/>
              </w:rPr>
            </w:pPr>
            <w:r w:rsidRPr="00C9506C">
              <w:rPr>
                <w:rStyle w:val="Ninguno"/>
              </w:rPr>
              <w:t>33.79 (49)</w:t>
            </w:r>
          </w:p>
        </w:tc>
        <w:tc>
          <w:tcPr>
            <w:tcW w:w="0" w:type="auto"/>
            <w:shd w:val="clear" w:color="auto" w:fill="auto"/>
          </w:tcPr>
          <w:p w14:paraId="77A50894" w14:textId="77777777" w:rsidR="005F104B" w:rsidRPr="00C9506C" w:rsidRDefault="005F104B" w:rsidP="007E28B9">
            <w:pPr>
              <w:spacing w:after="0" w:line="360" w:lineRule="auto"/>
              <w:rPr>
                <w:color w:val="000000"/>
                <w:lang w:val="en-US"/>
              </w:rPr>
            </w:pPr>
            <w:r w:rsidRPr="00C9506C">
              <w:rPr>
                <w:rStyle w:val="Ninguno"/>
              </w:rPr>
              <w:t>27.12 (32)</w:t>
            </w:r>
          </w:p>
        </w:tc>
        <w:tc>
          <w:tcPr>
            <w:tcW w:w="0" w:type="auto"/>
          </w:tcPr>
          <w:p w14:paraId="114718D2" w14:textId="77777777" w:rsidR="005F104B" w:rsidRPr="00C9506C" w:rsidRDefault="005F104B" w:rsidP="007E28B9">
            <w:pPr>
              <w:spacing w:after="0" w:line="360" w:lineRule="auto"/>
              <w:rPr>
                <w:rStyle w:val="Ninguno"/>
              </w:rPr>
            </w:pPr>
            <w:r>
              <w:rPr>
                <w:rStyle w:val="Ninguno"/>
              </w:rPr>
              <w:t>0.244</w:t>
            </w:r>
          </w:p>
        </w:tc>
        <w:tc>
          <w:tcPr>
            <w:tcW w:w="0" w:type="auto"/>
          </w:tcPr>
          <w:p w14:paraId="6F8FD7EC" w14:textId="77777777" w:rsidR="005F104B" w:rsidRPr="00C9506C" w:rsidRDefault="005F104B" w:rsidP="007E28B9">
            <w:pPr>
              <w:spacing w:after="0" w:line="360" w:lineRule="auto"/>
              <w:rPr>
                <w:rStyle w:val="Ninguno"/>
              </w:rPr>
            </w:pPr>
            <w:r>
              <w:rPr>
                <w:rStyle w:val="Ninguno"/>
              </w:rPr>
              <w:t>0.188</w:t>
            </w:r>
          </w:p>
        </w:tc>
      </w:tr>
      <w:tr w:rsidR="005F104B" w:rsidRPr="00C9506C" w14:paraId="60FB7600" w14:textId="77777777" w:rsidTr="007E28B9">
        <w:tc>
          <w:tcPr>
            <w:tcW w:w="0" w:type="auto"/>
            <w:tcBorders>
              <w:left w:val="nil"/>
              <w:right w:val="nil"/>
            </w:tcBorders>
            <w:shd w:val="clear" w:color="auto" w:fill="auto"/>
          </w:tcPr>
          <w:p w14:paraId="5CBCBB0A" w14:textId="77777777" w:rsidR="005F104B" w:rsidRPr="00C9506C" w:rsidRDefault="005F104B" w:rsidP="007E28B9">
            <w:pPr>
              <w:spacing w:after="0" w:line="360" w:lineRule="auto"/>
              <w:ind w:left="284"/>
              <w:rPr>
                <w:bCs/>
                <w:color w:val="000000"/>
                <w:lang w:val="en-US"/>
              </w:rPr>
            </w:pPr>
            <w:r w:rsidRPr="000900F5">
              <w:rPr>
                <w:color w:val="000000"/>
                <w:lang w:val="en-US"/>
              </w:rPr>
              <w:lastRenderedPageBreak/>
              <w:t>Past episode of major depression</w:t>
            </w:r>
          </w:p>
        </w:tc>
        <w:tc>
          <w:tcPr>
            <w:tcW w:w="0" w:type="auto"/>
            <w:tcBorders>
              <w:left w:val="nil"/>
              <w:right w:val="nil"/>
            </w:tcBorders>
            <w:shd w:val="clear" w:color="auto" w:fill="auto"/>
          </w:tcPr>
          <w:p w14:paraId="4F604E77" w14:textId="77777777" w:rsidR="005F104B" w:rsidRPr="00C9506C" w:rsidRDefault="005F104B" w:rsidP="007E28B9">
            <w:pPr>
              <w:spacing w:after="0" w:line="360" w:lineRule="auto"/>
              <w:rPr>
                <w:color w:val="000000"/>
                <w:lang w:val="en-US"/>
              </w:rPr>
            </w:pPr>
            <w:r w:rsidRPr="00C9506C">
              <w:rPr>
                <w:rStyle w:val="Ninguno"/>
              </w:rPr>
              <w:t>16.55 (24)</w:t>
            </w:r>
          </w:p>
        </w:tc>
        <w:tc>
          <w:tcPr>
            <w:tcW w:w="0" w:type="auto"/>
            <w:tcBorders>
              <w:left w:val="nil"/>
              <w:right w:val="nil"/>
            </w:tcBorders>
            <w:shd w:val="clear" w:color="auto" w:fill="auto"/>
          </w:tcPr>
          <w:p w14:paraId="3CAF1149" w14:textId="77777777" w:rsidR="005F104B" w:rsidRPr="00C9506C" w:rsidRDefault="005F104B" w:rsidP="007E28B9">
            <w:pPr>
              <w:spacing w:after="0" w:line="360" w:lineRule="auto"/>
              <w:rPr>
                <w:color w:val="000000"/>
                <w:lang w:val="en-US"/>
              </w:rPr>
            </w:pPr>
            <w:r w:rsidRPr="00C9506C">
              <w:rPr>
                <w:rStyle w:val="Ninguno"/>
              </w:rPr>
              <w:t>14.41 (17)</w:t>
            </w:r>
          </w:p>
        </w:tc>
        <w:tc>
          <w:tcPr>
            <w:tcW w:w="0" w:type="auto"/>
            <w:tcBorders>
              <w:left w:val="nil"/>
              <w:right w:val="nil"/>
            </w:tcBorders>
          </w:tcPr>
          <w:p w14:paraId="2336E022" w14:textId="77777777" w:rsidR="005F104B" w:rsidRPr="00C9506C" w:rsidRDefault="005F104B" w:rsidP="007E28B9">
            <w:pPr>
              <w:spacing w:after="0" w:line="360" w:lineRule="auto"/>
              <w:rPr>
                <w:rStyle w:val="Ninguno"/>
              </w:rPr>
            </w:pPr>
            <w:r>
              <w:rPr>
                <w:rStyle w:val="Ninguno"/>
              </w:rPr>
              <w:t>0.633</w:t>
            </w:r>
          </w:p>
        </w:tc>
        <w:tc>
          <w:tcPr>
            <w:tcW w:w="0" w:type="auto"/>
            <w:tcBorders>
              <w:left w:val="nil"/>
              <w:right w:val="nil"/>
            </w:tcBorders>
          </w:tcPr>
          <w:p w14:paraId="0B413E30" w14:textId="77777777" w:rsidR="005F104B" w:rsidRPr="00C9506C" w:rsidRDefault="005F104B" w:rsidP="007E28B9">
            <w:pPr>
              <w:spacing w:after="0" w:line="360" w:lineRule="auto"/>
              <w:rPr>
                <w:rStyle w:val="Ninguno"/>
              </w:rPr>
            </w:pPr>
            <w:r>
              <w:rPr>
                <w:rStyle w:val="Ninguno"/>
              </w:rPr>
              <w:t>0.295</w:t>
            </w:r>
          </w:p>
        </w:tc>
      </w:tr>
      <w:tr w:rsidR="005F104B" w:rsidRPr="00C9506C" w14:paraId="16CFAFF6" w14:textId="77777777" w:rsidTr="007E28B9">
        <w:tc>
          <w:tcPr>
            <w:tcW w:w="0" w:type="auto"/>
            <w:shd w:val="clear" w:color="auto" w:fill="auto"/>
          </w:tcPr>
          <w:p w14:paraId="29EAD18B" w14:textId="77777777" w:rsidR="005F104B" w:rsidRPr="00C9506C" w:rsidRDefault="005F104B" w:rsidP="007E28B9">
            <w:pPr>
              <w:spacing w:after="0" w:line="360" w:lineRule="auto"/>
              <w:ind w:left="284"/>
              <w:rPr>
                <w:bCs/>
                <w:color w:val="000000"/>
                <w:lang w:val="en-US"/>
              </w:rPr>
            </w:pPr>
            <w:r w:rsidRPr="00C9506C">
              <w:rPr>
                <w:color w:val="000000"/>
              </w:rPr>
              <w:t>Dysthymia</w:t>
            </w:r>
          </w:p>
        </w:tc>
        <w:tc>
          <w:tcPr>
            <w:tcW w:w="0" w:type="auto"/>
            <w:shd w:val="clear" w:color="auto" w:fill="auto"/>
          </w:tcPr>
          <w:p w14:paraId="3075786B" w14:textId="77777777" w:rsidR="005F104B" w:rsidRPr="00C9506C" w:rsidRDefault="005F104B" w:rsidP="007E28B9">
            <w:pPr>
              <w:spacing w:after="0" w:line="360" w:lineRule="auto"/>
              <w:rPr>
                <w:rStyle w:val="Ninguno"/>
              </w:rPr>
            </w:pPr>
            <w:r>
              <w:rPr>
                <w:rStyle w:val="Ninguno"/>
              </w:rPr>
              <w:t>8.28 (12)</w:t>
            </w:r>
          </w:p>
        </w:tc>
        <w:tc>
          <w:tcPr>
            <w:tcW w:w="0" w:type="auto"/>
            <w:shd w:val="clear" w:color="auto" w:fill="auto"/>
          </w:tcPr>
          <w:p w14:paraId="2599802F" w14:textId="77777777" w:rsidR="005F104B" w:rsidRPr="00C9506C" w:rsidRDefault="005F104B" w:rsidP="007E28B9">
            <w:pPr>
              <w:spacing w:after="0" w:line="360" w:lineRule="auto"/>
              <w:rPr>
                <w:rStyle w:val="Ninguno"/>
              </w:rPr>
            </w:pPr>
            <w:r>
              <w:rPr>
                <w:rStyle w:val="Ninguno"/>
              </w:rPr>
              <w:t>1.69 (2)</w:t>
            </w:r>
          </w:p>
        </w:tc>
        <w:tc>
          <w:tcPr>
            <w:tcW w:w="0" w:type="auto"/>
          </w:tcPr>
          <w:p w14:paraId="0CD7405A" w14:textId="77777777" w:rsidR="005F104B" w:rsidRPr="00C9506C" w:rsidRDefault="005F104B" w:rsidP="007E28B9">
            <w:pPr>
              <w:spacing w:after="0" w:line="360" w:lineRule="auto"/>
              <w:rPr>
                <w:rStyle w:val="Ninguno"/>
              </w:rPr>
            </w:pPr>
            <w:r>
              <w:rPr>
                <w:rStyle w:val="Ninguno"/>
              </w:rPr>
              <w:t>0.018</w:t>
            </w:r>
          </w:p>
        </w:tc>
        <w:tc>
          <w:tcPr>
            <w:tcW w:w="0" w:type="auto"/>
          </w:tcPr>
          <w:p w14:paraId="38CC75CB" w14:textId="77777777" w:rsidR="005F104B" w:rsidRPr="00C9506C" w:rsidRDefault="005F104B" w:rsidP="007E28B9">
            <w:pPr>
              <w:spacing w:after="0" w:line="360" w:lineRule="auto"/>
              <w:rPr>
                <w:rStyle w:val="Ninguno"/>
              </w:rPr>
            </w:pPr>
            <w:r>
              <w:rPr>
                <w:rStyle w:val="Ninguno"/>
              </w:rPr>
              <w:t>0.708</w:t>
            </w:r>
          </w:p>
        </w:tc>
      </w:tr>
      <w:tr w:rsidR="005F104B" w:rsidRPr="00C9506C" w14:paraId="38ED7E1F" w14:textId="77777777" w:rsidTr="007E28B9">
        <w:tc>
          <w:tcPr>
            <w:tcW w:w="0" w:type="auto"/>
            <w:tcBorders>
              <w:left w:val="nil"/>
              <w:right w:val="nil"/>
            </w:tcBorders>
            <w:shd w:val="clear" w:color="auto" w:fill="auto"/>
          </w:tcPr>
          <w:p w14:paraId="389E2139" w14:textId="77777777" w:rsidR="005F104B" w:rsidRPr="00C9506C" w:rsidRDefault="005F104B" w:rsidP="007E28B9">
            <w:pPr>
              <w:spacing w:after="0" w:line="360" w:lineRule="auto"/>
              <w:ind w:left="284"/>
              <w:rPr>
                <w:bCs/>
                <w:color w:val="000000"/>
                <w:lang w:val="en-US"/>
              </w:rPr>
            </w:pPr>
            <w:r w:rsidRPr="00C9506C">
              <w:rPr>
                <w:color w:val="000000"/>
              </w:rPr>
              <w:t>Panic disorder</w:t>
            </w:r>
          </w:p>
        </w:tc>
        <w:tc>
          <w:tcPr>
            <w:tcW w:w="0" w:type="auto"/>
            <w:tcBorders>
              <w:left w:val="nil"/>
              <w:right w:val="nil"/>
            </w:tcBorders>
            <w:shd w:val="clear" w:color="auto" w:fill="auto"/>
          </w:tcPr>
          <w:p w14:paraId="256D4BAB" w14:textId="77777777" w:rsidR="005F104B" w:rsidRPr="00C9506C" w:rsidRDefault="005F104B" w:rsidP="007E28B9">
            <w:pPr>
              <w:spacing w:after="0" w:line="360" w:lineRule="auto"/>
              <w:rPr>
                <w:rStyle w:val="Ninguno"/>
              </w:rPr>
            </w:pPr>
            <w:r w:rsidRPr="00C9506C">
              <w:rPr>
                <w:rStyle w:val="Ninguno"/>
              </w:rPr>
              <w:t>18.62 (27)</w:t>
            </w:r>
          </w:p>
        </w:tc>
        <w:tc>
          <w:tcPr>
            <w:tcW w:w="0" w:type="auto"/>
            <w:tcBorders>
              <w:left w:val="nil"/>
              <w:right w:val="nil"/>
            </w:tcBorders>
            <w:shd w:val="clear" w:color="auto" w:fill="auto"/>
          </w:tcPr>
          <w:p w14:paraId="6CFCAF4B" w14:textId="77777777" w:rsidR="005F104B" w:rsidRPr="00C9506C" w:rsidRDefault="005F104B" w:rsidP="007E28B9">
            <w:pPr>
              <w:spacing w:after="0" w:line="360" w:lineRule="auto"/>
              <w:rPr>
                <w:rStyle w:val="Ninguno"/>
              </w:rPr>
            </w:pPr>
            <w:r w:rsidRPr="00C9506C">
              <w:rPr>
                <w:rStyle w:val="Ninguno"/>
              </w:rPr>
              <w:t>12.71 (15)</w:t>
            </w:r>
          </w:p>
        </w:tc>
        <w:tc>
          <w:tcPr>
            <w:tcW w:w="0" w:type="auto"/>
            <w:tcBorders>
              <w:left w:val="nil"/>
              <w:right w:val="nil"/>
            </w:tcBorders>
          </w:tcPr>
          <w:p w14:paraId="34DDB7B9" w14:textId="77777777" w:rsidR="005F104B" w:rsidRPr="00C9506C" w:rsidRDefault="005F104B" w:rsidP="007E28B9">
            <w:pPr>
              <w:spacing w:after="0" w:line="360" w:lineRule="auto"/>
              <w:rPr>
                <w:rStyle w:val="Ninguno"/>
              </w:rPr>
            </w:pPr>
            <w:r>
              <w:rPr>
                <w:rStyle w:val="Ninguno"/>
              </w:rPr>
              <w:t>0.193</w:t>
            </w:r>
          </w:p>
        </w:tc>
        <w:tc>
          <w:tcPr>
            <w:tcW w:w="0" w:type="auto"/>
            <w:tcBorders>
              <w:left w:val="nil"/>
              <w:right w:val="nil"/>
            </w:tcBorders>
          </w:tcPr>
          <w:p w14:paraId="38DE0834" w14:textId="77777777" w:rsidR="005F104B" w:rsidRPr="00C9506C" w:rsidRDefault="005F104B" w:rsidP="007E28B9">
            <w:pPr>
              <w:spacing w:after="0" w:line="360" w:lineRule="auto"/>
              <w:rPr>
                <w:rStyle w:val="Ninguno"/>
              </w:rPr>
            </w:pPr>
            <w:r>
              <w:rPr>
                <w:rStyle w:val="Ninguno"/>
              </w:rPr>
              <w:t>0.787</w:t>
            </w:r>
          </w:p>
        </w:tc>
      </w:tr>
      <w:tr w:rsidR="005F104B" w:rsidRPr="00C9506C" w14:paraId="1DB65864" w14:textId="77777777" w:rsidTr="007E28B9">
        <w:tc>
          <w:tcPr>
            <w:tcW w:w="0" w:type="auto"/>
            <w:tcBorders>
              <w:left w:val="nil"/>
              <w:right w:val="nil"/>
            </w:tcBorders>
            <w:shd w:val="clear" w:color="auto" w:fill="auto"/>
          </w:tcPr>
          <w:p w14:paraId="0A0C2CD4" w14:textId="77777777" w:rsidR="005F104B" w:rsidRPr="00C9506C" w:rsidRDefault="005F104B" w:rsidP="007E28B9">
            <w:pPr>
              <w:spacing w:after="0" w:line="360" w:lineRule="auto"/>
              <w:ind w:left="284"/>
              <w:rPr>
                <w:bCs/>
                <w:color w:val="000000"/>
                <w:lang w:val="en-US"/>
              </w:rPr>
            </w:pPr>
            <w:r w:rsidRPr="00C9506C">
              <w:rPr>
                <w:color w:val="000000"/>
              </w:rPr>
              <w:t xml:space="preserve">      Panic disorder with agoraphobia</w:t>
            </w:r>
          </w:p>
        </w:tc>
        <w:tc>
          <w:tcPr>
            <w:tcW w:w="0" w:type="auto"/>
            <w:tcBorders>
              <w:left w:val="nil"/>
              <w:right w:val="nil"/>
            </w:tcBorders>
            <w:shd w:val="clear" w:color="auto" w:fill="auto"/>
          </w:tcPr>
          <w:p w14:paraId="10207206" w14:textId="77777777" w:rsidR="005F104B" w:rsidRPr="00C9506C" w:rsidRDefault="005F104B" w:rsidP="007E28B9">
            <w:pPr>
              <w:spacing w:after="0" w:line="360" w:lineRule="auto"/>
              <w:rPr>
                <w:rStyle w:val="Ninguno"/>
              </w:rPr>
            </w:pPr>
            <w:r>
              <w:rPr>
                <w:rStyle w:val="Ninguno"/>
              </w:rPr>
              <w:t>8.97 (13)</w:t>
            </w:r>
          </w:p>
        </w:tc>
        <w:tc>
          <w:tcPr>
            <w:tcW w:w="0" w:type="auto"/>
            <w:tcBorders>
              <w:left w:val="nil"/>
              <w:right w:val="nil"/>
            </w:tcBorders>
            <w:shd w:val="clear" w:color="auto" w:fill="auto"/>
          </w:tcPr>
          <w:p w14:paraId="47C2FBB6" w14:textId="77777777" w:rsidR="005F104B" w:rsidRPr="00C9506C" w:rsidRDefault="005F104B" w:rsidP="007E28B9">
            <w:pPr>
              <w:spacing w:after="0" w:line="360" w:lineRule="auto"/>
              <w:rPr>
                <w:rStyle w:val="Ninguno"/>
              </w:rPr>
            </w:pPr>
            <w:r>
              <w:rPr>
                <w:rStyle w:val="Ninguno"/>
              </w:rPr>
              <w:t>2.54 (3)</w:t>
            </w:r>
          </w:p>
        </w:tc>
        <w:tc>
          <w:tcPr>
            <w:tcW w:w="0" w:type="auto"/>
            <w:tcBorders>
              <w:left w:val="nil"/>
              <w:right w:val="nil"/>
            </w:tcBorders>
          </w:tcPr>
          <w:p w14:paraId="1E3F636A" w14:textId="77777777" w:rsidR="005F104B" w:rsidRPr="00C9506C" w:rsidRDefault="005F104B" w:rsidP="007E28B9">
            <w:pPr>
              <w:spacing w:after="0" w:line="360" w:lineRule="auto"/>
              <w:rPr>
                <w:rStyle w:val="Ninguno"/>
              </w:rPr>
            </w:pPr>
            <w:r>
              <w:rPr>
                <w:rStyle w:val="Ninguno"/>
              </w:rPr>
              <w:t>0.030</w:t>
            </w:r>
          </w:p>
        </w:tc>
        <w:tc>
          <w:tcPr>
            <w:tcW w:w="0" w:type="auto"/>
            <w:tcBorders>
              <w:left w:val="nil"/>
              <w:right w:val="nil"/>
            </w:tcBorders>
          </w:tcPr>
          <w:p w14:paraId="00D59B60" w14:textId="77777777" w:rsidR="005F104B" w:rsidRPr="00C9506C" w:rsidRDefault="005F104B" w:rsidP="007E28B9">
            <w:pPr>
              <w:spacing w:after="0" w:line="360" w:lineRule="auto"/>
              <w:rPr>
                <w:rStyle w:val="Ninguno"/>
              </w:rPr>
            </w:pPr>
            <w:r>
              <w:rPr>
                <w:rStyle w:val="Ninguno"/>
              </w:rPr>
              <w:t>0.462</w:t>
            </w:r>
          </w:p>
        </w:tc>
      </w:tr>
      <w:tr w:rsidR="005F104B" w:rsidRPr="00C9506C" w14:paraId="32D53E4C" w14:textId="77777777" w:rsidTr="007E28B9">
        <w:tc>
          <w:tcPr>
            <w:tcW w:w="0" w:type="auto"/>
            <w:tcBorders>
              <w:left w:val="nil"/>
              <w:right w:val="nil"/>
            </w:tcBorders>
            <w:shd w:val="clear" w:color="auto" w:fill="auto"/>
          </w:tcPr>
          <w:p w14:paraId="7769B5BD" w14:textId="77777777" w:rsidR="005F104B" w:rsidRPr="00C9506C" w:rsidRDefault="005F104B" w:rsidP="007E28B9">
            <w:pPr>
              <w:spacing w:after="0" w:line="360" w:lineRule="auto"/>
              <w:ind w:left="284"/>
              <w:rPr>
                <w:bCs/>
                <w:color w:val="000000"/>
                <w:lang w:val="en-US"/>
              </w:rPr>
            </w:pPr>
            <w:r w:rsidRPr="00C9506C">
              <w:rPr>
                <w:color w:val="000000"/>
              </w:rPr>
              <w:t>Social phobia</w:t>
            </w:r>
          </w:p>
        </w:tc>
        <w:tc>
          <w:tcPr>
            <w:tcW w:w="0" w:type="auto"/>
            <w:tcBorders>
              <w:left w:val="nil"/>
              <w:right w:val="nil"/>
            </w:tcBorders>
            <w:shd w:val="clear" w:color="auto" w:fill="auto"/>
          </w:tcPr>
          <w:p w14:paraId="2D6E0EF5" w14:textId="77777777" w:rsidR="005F104B" w:rsidRPr="00C9506C" w:rsidRDefault="005F104B" w:rsidP="007E28B9">
            <w:pPr>
              <w:spacing w:after="0" w:line="360" w:lineRule="auto"/>
              <w:rPr>
                <w:color w:val="000000"/>
                <w:lang w:val="en-US"/>
              </w:rPr>
            </w:pPr>
            <w:r w:rsidRPr="00C9506C">
              <w:rPr>
                <w:rStyle w:val="Ninguno"/>
              </w:rPr>
              <w:t>4.14 (6)</w:t>
            </w:r>
          </w:p>
        </w:tc>
        <w:tc>
          <w:tcPr>
            <w:tcW w:w="0" w:type="auto"/>
            <w:tcBorders>
              <w:left w:val="nil"/>
              <w:right w:val="nil"/>
            </w:tcBorders>
            <w:shd w:val="clear" w:color="auto" w:fill="auto"/>
          </w:tcPr>
          <w:p w14:paraId="72408F76" w14:textId="77777777" w:rsidR="005F104B" w:rsidRPr="00C9506C" w:rsidRDefault="005F104B" w:rsidP="007E28B9">
            <w:pPr>
              <w:spacing w:after="0" w:line="360" w:lineRule="auto"/>
              <w:rPr>
                <w:color w:val="000000"/>
                <w:lang w:val="en-US"/>
              </w:rPr>
            </w:pPr>
            <w:r w:rsidRPr="00C9506C">
              <w:rPr>
                <w:rStyle w:val="Ninguno"/>
              </w:rPr>
              <w:t>3.39 (4)</w:t>
            </w:r>
          </w:p>
        </w:tc>
        <w:tc>
          <w:tcPr>
            <w:tcW w:w="0" w:type="auto"/>
            <w:tcBorders>
              <w:left w:val="nil"/>
              <w:right w:val="nil"/>
            </w:tcBorders>
          </w:tcPr>
          <w:p w14:paraId="31CCA67E" w14:textId="77777777" w:rsidR="005F104B" w:rsidRPr="00C9506C" w:rsidRDefault="005F104B" w:rsidP="007E28B9">
            <w:pPr>
              <w:spacing w:after="0" w:line="360" w:lineRule="auto"/>
              <w:rPr>
                <w:rStyle w:val="Ninguno"/>
              </w:rPr>
            </w:pPr>
            <w:r>
              <w:rPr>
                <w:rStyle w:val="Ninguno"/>
              </w:rPr>
              <w:t>0.752</w:t>
            </w:r>
          </w:p>
        </w:tc>
        <w:tc>
          <w:tcPr>
            <w:tcW w:w="0" w:type="auto"/>
            <w:tcBorders>
              <w:left w:val="nil"/>
              <w:right w:val="nil"/>
            </w:tcBorders>
          </w:tcPr>
          <w:p w14:paraId="131BF6BC" w14:textId="77777777" w:rsidR="005F104B" w:rsidRPr="00C9506C" w:rsidRDefault="005F104B" w:rsidP="007E28B9">
            <w:pPr>
              <w:spacing w:after="0" w:line="360" w:lineRule="auto"/>
              <w:rPr>
                <w:rStyle w:val="Ninguno"/>
              </w:rPr>
            </w:pPr>
            <w:r>
              <w:rPr>
                <w:rStyle w:val="Ninguno"/>
              </w:rPr>
              <w:t>0.765</w:t>
            </w:r>
          </w:p>
        </w:tc>
      </w:tr>
      <w:tr w:rsidR="005F104B" w:rsidRPr="00C9506C" w14:paraId="224631AA" w14:textId="77777777" w:rsidTr="007E28B9">
        <w:tc>
          <w:tcPr>
            <w:tcW w:w="0" w:type="auto"/>
            <w:tcBorders>
              <w:left w:val="nil"/>
              <w:right w:val="nil"/>
            </w:tcBorders>
            <w:shd w:val="clear" w:color="auto" w:fill="auto"/>
          </w:tcPr>
          <w:p w14:paraId="39C3C5B2" w14:textId="77777777" w:rsidR="005F104B" w:rsidRPr="00C9506C" w:rsidRDefault="005F104B" w:rsidP="007E28B9">
            <w:pPr>
              <w:spacing w:after="0" w:line="360" w:lineRule="auto"/>
              <w:ind w:left="284"/>
              <w:rPr>
                <w:bCs/>
                <w:color w:val="000000"/>
                <w:lang w:val="en-US"/>
              </w:rPr>
            </w:pPr>
            <w:r w:rsidRPr="00C9506C">
              <w:rPr>
                <w:color w:val="000000"/>
              </w:rPr>
              <w:t>Specific phobia</w:t>
            </w:r>
          </w:p>
        </w:tc>
        <w:tc>
          <w:tcPr>
            <w:tcW w:w="0" w:type="auto"/>
            <w:tcBorders>
              <w:left w:val="nil"/>
              <w:right w:val="nil"/>
            </w:tcBorders>
            <w:shd w:val="clear" w:color="auto" w:fill="auto"/>
          </w:tcPr>
          <w:p w14:paraId="26842092" w14:textId="77777777" w:rsidR="005F104B" w:rsidRPr="00C9506C" w:rsidRDefault="005F104B" w:rsidP="007E28B9">
            <w:pPr>
              <w:spacing w:after="0" w:line="360" w:lineRule="auto"/>
              <w:rPr>
                <w:color w:val="000000"/>
                <w:lang w:val="en-US"/>
              </w:rPr>
            </w:pPr>
            <w:r w:rsidRPr="00C9506C">
              <w:rPr>
                <w:rStyle w:val="Ninguno"/>
              </w:rPr>
              <w:t>0.69 (1)</w:t>
            </w:r>
          </w:p>
        </w:tc>
        <w:tc>
          <w:tcPr>
            <w:tcW w:w="0" w:type="auto"/>
            <w:tcBorders>
              <w:left w:val="nil"/>
              <w:right w:val="nil"/>
            </w:tcBorders>
            <w:shd w:val="clear" w:color="auto" w:fill="auto"/>
          </w:tcPr>
          <w:p w14:paraId="35E251E3" w14:textId="77777777" w:rsidR="005F104B" w:rsidRPr="00C9506C" w:rsidRDefault="005F104B" w:rsidP="007E28B9">
            <w:pPr>
              <w:spacing w:after="0" w:line="360" w:lineRule="auto"/>
              <w:rPr>
                <w:color w:val="000000"/>
                <w:lang w:val="en-US"/>
              </w:rPr>
            </w:pPr>
            <w:r w:rsidRPr="00C9506C">
              <w:rPr>
                <w:rStyle w:val="Ninguno"/>
              </w:rPr>
              <w:t>0 (0)</w:t>
            </w:r>
          </w:p>
        </w:tc>
        <w:tc>
          <w:tcPr>
            <w:tcW w:w="0" w:type="auto"/>
            <w:tcBorders>
              <w:left w:val="nil"/>
              <w:right w:val="nil"/>
            </w:tcBorders>
          </w:tcPr>
          <w:p w14:paraId="466C4AEE" w14:textId="77777777" w:rsidR="005F104B" w:rsidRPr="00C9506C" w:rsidRDefault="005F104B" w:rsidP="007E28B9">
            <w:pPr>
              <w:spacing w:after="0" w:line="360" w:lineRule="auto"/>
              <w:rPr>
                <w:rStyle w:val="Ninguno"/>
              </w:rPr>
            </w:pPr>
            <w:r>
              <w:rPr>
                <w:rStyle w:val="Ninguno"/>
              </w:rPr>
              <w:t>0.366</w:t>
            </w:r>
          </w:p>
        </w:tc>
        <w:tc>
          <w:tcPr>
            <w:tcW w:w="0" w:type="auto"/>
            <w:tcBorders>
              <w:left w:val="nil"/>
              <w:right w:val="nil"/>
            </w:tcBorders>
          </w:tcPr>
          <w:p w14:paraId="438361A8" w14:textId="77777777" w:rsidR="005F104B" w:rsidRPr="00C9506C" w:rsidRDefault="005F104B" w:rsidP="007E28B9">
            <w:pPr>
              <w:spacing w:after="0" w:line="360" w:lineRule="auto"/>
              <w:rPr>
                <w:rStyle w:val="Ninguno"/>
              </w:rPr>
            </w:pPr>
            <w:r>
              <w:rPr>
                <w:rStyle w:val="Ninguno"/>
              </w:rPr>
              <w:t>0.298</w:t>
            </w:r>
          </w:p>
        </w:tc>
      </w:tr>
      <w:tr w:rsidR="005F104B" w:rsidRPr="00C9506C" w14:paraId="32DC7DCA" w14:textId="77777777" w:rsidTr="007E28B9">
        <w:tc>
          <w:tcPr>
            <w:tcW w:w="0" w:type="auto"/>
            <w:tcBorders>
              <w:left w:val="nil"/>
              <w:right w:val="nil"/>
            </w:tcBorders>
            <w:shd w:val="clear" w:color="auto" w:fill="auto"/>
          </w:tcPr>
          <w:p w14:paraId="79EC131B" w14:textId="77777777" w:rsidR="005F104B" w:rsidRPr="00C9506C" w:rsidRDefault="005F104B" w:rsidP="007E28B9">
            <w:pPr>
              <w:spacing w:after="0" w:line="360" w:lineRule="auto"/>
              <w:ind w:left="284"/>
              <w:rPr>
                <w:bCs/>
                <w:color w:val="000000"/>
                <w:lang w:val="en-US"/>
              </w:rPr>
            </w:pPr>
            <w:r w:rsidRPr="00C9506C">
              <w:rPr>
                <w:color w:val="000000"/>
              </w:rPr>
              <w:t>Generalized anxiety disorder</w:t>
            </w:r>
          </w:p>
        </w:tc>
        <w:tc>
          <w:tcPr>
            <w:tcW w:w="0" w:type="auto"/>
            <w:tcBorders>
              <w:left w:val="nil"/>
              <w:right w:val="nil"/>
            </w:tcBorders>
            <w:shd w:val="clear" w:color="auto" w:fill="auto"/>
          </w:tcPr>
          <w:p w14:paraId="70A5F688" w14:textId="77777777" w:rsidR="005F104B" w:rsidRPr="00C9506C" w:rsidRDefault="005F104B" w:rsidP="007E28B9">
            <w:pPr>
              <w:spacing w:after="0" w:line="360" w:lineRule="auto"/>
              <w:rPr>
                <w:color w:val="000000"/>
                <w:lang w:val="en-US"/>
              </w:rPr>
            </w:pPr>
            <w:r w:rsidRPr="00C9506C">
              <w:rPr>
                <w:rStyle w:val="Ninguno"/>
              </w:rPr>
              <w:t>4.83 (7)</w:t>
            </w:r>
          </w:p>
        </w:tc>
        <w:tc>
          <w:tcPr>
            <w:tcW w:w="0" w:type="auto"/>
            <w:tcBorders>
              <w:left w:val="nil"/>
              <w:right w:val="nil"/>
            </w:tcBorders>
            <w:shd w:val="clear" w:color="auto" w:fill="auto"/>
          </w:tcPr>
          <w:p w14:paraId="29EFA5D6" w14:textId="77777777" w:rsidR="005F104B" w:rsidRPr="00C9506C" w:rsidRDefault="005F104B" w:rsidP="007E28B9">
            <w:pPr>
              <w:spacing w:after="0" w:line="360" w:lineRule="auto"/>
              <w:rPr>
                <w:color w:val="000000"/>
                <w:lang w:val="en-US"/>
              </w:rPr>
            </w:pPr>
            <w:r w:rsidRPr="00C9506C">
              <w:rPr>
                <w:rStyle w:val="Ninguno"/>
              </w:rPr>
              <w:t>2.54 (3)</w:t>
            </w:r>
          </w:p>
        </w:tc>
        <w:tc>
          <w:tcPr>
            <w:tcW w:w="0" w:type="auto"/>
            <w:tcBorders>
              <w:left w:val="nil"/>
              <w:right w:val="nil"/>
            </w:tcBorders>
          </w:tcPr>
          <w:p w14:paraId="69B9C1E8" w14:textId="77777777" w:rsidR="005F104B" w:rsidRPr="00C9506C" w:rsidRDefault="005F104B" w:rsidP="007E28B9">
            <w:pPr>
              <w:spacing w:after="0" w:line="360" w:lineRule="auto"/>
              <w:rPr>
                <w:rStyle w:val="Ninguno"/>
              </w:rPr>
            </w:pPr>
            <w:r>
              <w:rPr>
                <w:rStyle w:val="Ninguno"/>
              </w:rPr>
              <w:t>0.335</w:t>
            </w:r>
          </w:p>
        </w:tc>
        <w:tc>
          <w:tcPr>
            <w:tcW w:w="0" w:type="auto"/>
            <w:tcBorders>
              <w:left w:val="nil"/>
              <w:right w:val="nil"/>
            </w:tcBorders>
          </w:tcPr>
          <w:p w14:paraId="1650BFD8" w14:textId="77777777" w:rsidR="005F104B" w:rsidRPr="00C9506C" w:rsidRDefault="005F104B" w:rsidP="007E28B9">
            <w:pPr>
              <w:spacing w:after="0" w:line="360" w:lineRule="auto"/>
              <w:rPr>
                <w:rStyle w:val="Ninguno"/>
              </w:rPr>
            </w:pPr>
            <w:r>
              <w:rPr>
                <w:rStyle w:val="Ninguno"/>
              </w:rPr>
              <w:t>0.176</w:t>
            </w:r>
          </w:p>
        </w:tc>
      </w:tr>
      <w:tr w:rsidR="005F104B" w:rsidRPr="00C9506C" w14:paraId="17A9A61B" w14:textId="77777777" w:rsidTr="007E28B9">
        <w:tc>
          <w:tcPr>
            <w:tcW w:w="0" w:type="auto"/>
            <w:tcBorders>
              <w:left w:val="nil"/>
              <w:right w:val="nil"/>
            </w:tcBorders>
            <w:shd w:val="clear" w:color="auto" w:fill="auto"/>
          </w:tcPr>
          <w:p w14:paraId="4FD26A53" w14:textId="77777777" w:rsidR="005F104B" w:rsidRPr="00C9506C" w:rsidRDefault="005F104B" w:rsidP="007E28B9">
            <w:pPr>
              <w:spacing w:after="0" w:line="360" w:lineRule="auto"/>
              <w:ind w:left="284"/>
              <w:rPr>
                <w:bCs/>
                <w:color w:val="000000"/>
                <w:lang w:val="en-US"/>
              </w:rPr>
            </w:pPr>
            <w:r w:rsidRPr="00C9506C">
              <w:rPr>
                <w:color w:val="000000"/>
              </w:rPr>
              <w:t>Adjustment disorder</w:t>
            </w:r>
          </w:p>
        </w:tc>
        <w:tc>
          <w:tcPr>
            <w:tcW w:w="0" w:type="auto"/>
            <w:tcBorders>
              <w:left w:val="nil"/>
              <w:right w:val="nil"/>
            </w:tcBorders>
            <w:shd w:val="clear" w:color="auto" w:fill="auto"/>
          </w:tcPr>
          <w:p w14:paraId="5645D7FB" w14:textId="77777777" w:rsidR="005F104B" w:rsidRPr="00C9506C" w:rsidRDefault="005F104B" w:rsidP="007E28B9">
            <w:pPr>
              <w:spacing w:after="0" w:line="360" w:lineRule="auto"/>
              <w:rPr>
                <w:color w:val="000000"/>
                <w:lang w:val="en-US"/>
              </w:rPr>
            </w:pPr>
            <w:r w:rsidRPr="00C9506C">
              <w:rPr>
                <w:rStyle w:val="Ninguno"/>
              </w:rPr>
              <w:t>8.97 (13)</w:t>
            </w:r>
          </w:p>
        </w:tc>
        <w:tc>
          <w:tcPr>
            <w:tcW w:w="0" w:type="auto"/>
            <w:tcBorders>
              <w:left w:val="nil"/>
              <w:right w:val="nil"/>
            </w:tcBorders>
            <w:shd w:val="clear" w:color="auto" w:fill="auto"/>
          </w:tcPr>
          <w:p w14:paraId="507B8C41" w14:textId="77777777" w:rsidR="005F104B" w:rsidRPr="00C9506C" w:rsidRDefault="005F104B" w:rsidP="007E28B9">
            <w:pPr>
              <w:spacing w:after="0" w:line="360" w:lineRule="auto"/>
              <w:rPr>
                <w:color w:val="000000"/>
                <w:lang w:val="en-US"/>
              </w:rPr>
            </w:pPr>
            <w:r w:rsidRPr="00C9506C">
              <w:rPr>
                <w:rStyle w:val="Ninguno"/>
              </w:rPr>
              <w:t>13.56 (16)</w:t>
            </w:r>
          </w:p>
        </w:tc>
        <w:tc>
          <w:tcPr>
            <w:tcW w:w="0" w:type="auto"/>
            <w:tcBorders>
              <w:left w:val="nil"/>
              <w:right w:val="nil"/>
            </w:tcBorders>
          </w:tcPr>
          <w:p w14:paraId="2EC06BD0" w14:textId="77777777" w:rsidR="005F104B" w:rsidRPr="00C9506C" w:rsidRDefault="005F104B" w:rsidP="007E28B9">
            <w:pPr>
              <w:spacing w:after="0" w:line="360" w:lineRule="auto"/>
              <w:rPr>
                <w:rStyle w:val="Ninguno"/>
              </w:rPr>
            </w:pPr>
            <w:r>
              <w:rPr>
                <w:rStyle w:val="Ninguno"/>
              </w:rPr>
              <w:t>0.237</w:t>
            </w:r>
          </w:p>
        </w:tc>
        <w:tc>
          <w:tcPr>
            <w:tcW w:w="0" w:type="auto"/>
            <w:tcBorders>
              <w:left w:val="nil"/>
              <w:right w:val="nil"/>
            </w:tcBorders>
          </w:tcPr>
          <w:p w14:paraId="26F4C801" w14:textId="77777777" w:rsidR="005F104B" w:rsidRPr="00C9506C" w:rsidRDefault="005F104B" w:rsidP="007E28B9">
            <w:pPr>
              <w:spacing w:after="0" w:line="360" w:lineRule="auto"/>
              <w:rPr>
                <w:rStyle w:val="Ninguno"/>
              </w:rPr>
            </w:pPr>
            <w:r>
              <w:rPr>
                <w:rStyle w:val="Ninguno"/>
              </w:rPr>
              <w:t>0.989</w:t>
            </w:r>
          </w:p>
        </w:tc>
      </w:tr>
      <w:tr w:rsidR="005F104B" w:rsidRPr="00C9506C" w14:paraId="30CDB126" w14:textId="77777777" w:rsidTr="007E28B9">
        <w:tc>
          <w:tcPr>
            <w:tcW w:w="0" w:type="auto"/>
            <w:shd w:val="clear" w:color="auto" w:fill="auto"/>
          </w:tcPr>
          <w:p w14:paraId="6256282F" w14:textId="77777777" w:rsidR="005F104B" w:rsidRPr="00C9506C" w:rsidRDefault="005F104B" w:rsidP="007E28B9">
            <w:pPr>
              <w:spacing w:after="0" w:line="360" w:lineRule="auto"/>
              <w:rPr>
                <w:b/>
                <w:bCs/>
                <w:color w:val="000000"/>
                <w:lang w:val="en-US"/>
              </w:rPr>
            </w:pPr>
            <w:r w:rsidRPr="00C9506C">
              <w:rPr>
                <w:b/>
                <w:bCs/>
                <w:color w:val="000000"/>
                <w:lang w:val="en-US"/>
              </w:rPr>
              <w:t>Health related quality of life, mean EQ-5D-3L score (SE)</w:t>
            </w:r>
          </w:p>
        </w:tc>
        <w:tc>
          <w:tcPr>
            <w:tcW w:w="0" w:type="auto"/>
            <w:shd w:val="clear" w:color="auto" w:fill="auto"/>
          </w:tcPr>
          <w:p w14:paraId="1E506CC4" w14:textId="77777777" w:rsidR="005F104B" w:rsidRPr="00C9506C" w:rsidRDefault="005F104B" w:rsidP="007E28B9">
            <w:pPr>
              <w:spacing w:after="0" w:line="360" w:lineRule="auto"/>
              <w:rPr>
                <w:color w:val="000000"/>
                <w:lang w:val="en-US"/>
              </w:rPr>
            </w:pPr>
            <w:r w:rsidRPr="00C9506C">
              <w:rPr>
                <w:rStyle w:val="Ninguno"/>
              </w:rPr>
              <w:t>0.571 (0.017)</w:t>
            </w:r>
          </w:p>
        </w:tc>
        <w:tc>
          <w:tcPr>
            <w:tcW w:w="0" w:type="auto"/>
            <w:shd w:val="clear" w:color="auto" w:fill="auto"/>
          </w:tcPr>
          <w:p w14:paraId="0E695EF1" w14:textId="77777777" w:rsidR="005F104B" w:rsidRPr="00C9506C" w:rsidRDefault="005F104B" w:rsidP="007E28B9">
            <w:pPr>
              <w:spacing w:after="0" w:line="360" w:lineRule="auto"/>
              <w:rPr>
                <w:color w:val="000000"/>
                <w:lang w:val="en-US"/>
              </w:rPr>
            </w:pPr>
            <w:r w:rsidRPr="00C9506C">
              <w:rPr>
                <w:rStyle w:val="Ninguno"/>
              </w:rPr>
              <w:t>0.605 (0.017)</w:t>
            </w:r>
          </w:p>
        </w:tc>
        <w:tc>
          <w:tcPr>
            <w:tcW w:w="0" w:type="auto"/>
          </w:tcPr>
          <w:p w14:paraId="7B6BFED1" w14:textId="77777777" w:rsidR="005F104B" w:rsidRPr="00C9506C" w:rsidRDefault="005F104B" w:rsidP="007E28B9">
            <w:pPr>
              <w:spacing w:after="0" w:line="360" w:lineRule="auto"/>
              <w:rPr>
                <w:rStyle w:val="Ninguno"/>
              </w:rPr>
            </w:pPr>
            <w:r>
              <w:rPr>
                <w:rStyle w:val="Ninguno"/>
              </w:rPr>
              <w:t>0.167</w:t>
            </w:r>
          </w:p>
        </w:tc>
        <w:tc>
          <w:tcPr>
            <w:tcW w:w="0" w:type="auto"/>
          </w:tcPr>
          <w:p w14:paraId="791B8BC3" w14:textId="77777777" w:rsidR="005F104B" w:rsidRPr="00C9506C" w:rsidRDefault="005F104B" w:rsidP="007E28B9">
            <w:pPr>
              <w:spacing w:after="0" w:line="360" w:lineRule="auto"/>
              <w:rPr>
                <w:rStyle w:val="Ninguno"/>
              </w:rPr>
            </w:pPr>
            <w:r>
              <w:rPr>
                <w:rStyle w:val="Ninguno"/>
              </w:rPr>
              <w:t>0.634</w:t>
            </w:r>
          </w:p>
        </w:tc>
      </w:tr>
      <w:tr w:rsidR="005F104B" w:rsidRPr="00C9506C" w14:paraId="72646FDA" w14:textId="77777777" w:rsidTr="007E28B9">
        <w:tc>
          <w:tcPr>
            <w:tcW w:w="0" w:type="auto"/>
            <w:tcBorders>
              <w:left w:val="nil"/>
              <w:right w:val="nil"/>
            </w:tcBorders>
            <w:shd w:val="clear" w:color="auto" w:fill="auto"/>
          </w:tcPr>
          <w:p w14:paraId="5E11DBA4" w14:textId="77777777" w:rsidR="005F104B" w:rsidRPr="00C9506C" w:rsidRDefault="005F104B" w:rsidP="007E28B9">
            <w:pPr>
              <w:spacing w:after="0" w:line="360" w:lineRule="auto"/>
              <w:rPr>
                <w:b/>
                <w:bCs/>
                <w:color w:val="000000"/>
                <w:lang w:val="en-US"/>
              </w:rPr>
            </w:pPr>
            <w:r w:rsidRPr="00C9506C">
              <w:rPr>
                <w:rStyle w:val="Ninguno"/>
                <w:b/>
                <w:bCs/>
              </w:rPr>
              <w:t>Disability, mean WHODAS score (SE)</w:t>
            </w:r>
          </w:p>
        </w:tc>
        <w:tc>
          <w:tcPr>
            <w:tcW w:w="0" w:type="auto"/>
            <w:tcBorders>
              <w:left w:val="nil"/>
              <w:right w:val="nil"/>
            </w:tcBorders>
            <w:shd w:val="clear" w:color="auto" w:fill="auto"/>
          </w:tcPr>
          <w:p w14:paraId="6E23FE70" w14:textId="77777777" w:rsidR="005F104B" w:rsidRPr="00C9506C" w:rsidRDefault="005F104B" w:rsidP="007E28B9">
            <w:pPr>
              <w:spacing w:after="0" w:line="360" w:lineRule="auto"/>
              <w:rPr>
                <w:rStyle w:val="Ninguno"/>
              </w:rPr>
            </w:pPr>
            <w:r>
              <w:rPr>
                <w:rStyle w:val="Ninguno"/>
              </w:rPr>
              <w:t>39.28 (1.81)</w:t>
            </w:r>
          </w:p>
        </w:tc>
        <w:tc>
          <w:tcPr>
            <w:tcW w:w="0" w:type="auto"/>
            <w:tcBorders>
              <w:left w:val="nil"/>
              <w:right w:val="nil"/>
            </w:tcBorders>
            <w:shd w:val="clear" w:color="auto" w:fill="auto"/>
          </w:tcPr>
          <w:p w14:paraId="75E5030C" w14:textId="77777777" w:rsidR="005F104B" w:rsidRPr="00C9506C" w:rsidRDefault="005F104B" w:rsidP="007E28B9">
            <w:pPr>
              <w:spacing w:after="0" w:line="360" w:lineRule="auto"/>
              <w:rPr>
                <w:rStyle w:val="Ninguno"/>
              </w:rPr>
            </w:pPr>
            <w:r>
              <w:rPr>
                <w:rStyle w:val="Ninguno"/>
              </w:rPr>
              <w:t>32.93 (1.82)</w:t>
            </w:r>
          </w:p>
        </w:tc>
        <w:tc>
          <w:tcPr>
            <w:tcW w:w="0" w:type="auto"/>
            <w:tcBorders>
              <w:left w:val="nil"/>
              <w:right w:val="nil"/>
            </w:tcBorders>
          </w:tcPr>
          <w:p w14:paraId="6DB2E702" w14:textId="77777777" w:rsidR="005F104B" w:rsidRPr="00C9506C" w:rsidRDefault="005F104B" w:rsidP="007E28B9">
            <w:pPr>
              <w:spacing w:after="0" w:line="360" w:lineRule="auto"/>
              <w:rPr>
                <w:rStyle w:val="Ninguno"/>
              </w:rPr>
            </w:pPr>
            <w:r>
              <w:rPr>
                <w:rStyle w:val="Ninguno"/>
              </w:rPr>
              <w:t>0.015</w:t>
            </w:r>
          </w:p>
        </w:tc>
        <w:tc>
          <w:tcPr>
            <w:tcW w:w="0" w:type="auto"/>
            <w:tcBorders>
              <w:left w:val="nil"/>
              <w:right w:val="nil"/>
            </w:tcBorders>
          </w:tcPr>
          <w:p w14:paraId="0355171D" w14:textId="77777777" w:rsidR="005F104B" w:rsidRPr="00C9506C" w:rsidRDefault="005F104B" w:rsidP="007E28B9">
            <w:pPr>
              <w:spacing w:after="0" w:line="360" w:lineRule="auto"/>
              <w:rPr>
                <w:rStyle w:val="Ninguno"/>
              </w:rPr>
            </w:pPr>
            <w:r>
              <w:rPr>
                <w:rStyle w:val="Ninguno"/>
              </w:rPr>
              <w:t>0.191</w:t>
            </w:r>
          </w:p>
        </w:tc>
      </w:tr>
      <w:tr w:rsidR="005F104B" w:rsidRPr="00C9506C" w14:paraId="08F6376B" w14:textId="77777777" w:rsidTr="007E28B9">
        <w:tc>
          <w:tcPr>
            <w:tcW w:w="0" w:type="auto"/>
            <w:tcBorders>
              <w:left w:val="nil"/>
              <w:right w:val="nil"/>
            </w:tcBorders>
            <w:shd w:val="clear" w:color="auto" w:fill="auto"/>
          </w:tcPr>
          <w:p w14:paraId="1223E082" w14:textId="77777777" w:rsidR="005F104B" w:rsidRPr="00C9506C" w:rsidRDefault="005F104B" w:rsidP="007E28B9">
            <w:pPr>
              <w:spacing w:after="0" w:line="360" w:lineRule="auto"/>
              <w:rPr>
                <w:b/>
                <w:bCs/>
                <w:color w:val="000000"/>
                <w:lang w:val="en-US"/>
              </w:rPr>
            </w:pPr>
            <w:r w:rsidRPr="00C9506C">
              <w:rPr>
                <w:rStyle w:val="Ninguno"/>
                <w:b/>
                <w:bCs/>
              </w:rPr>
              <w:t>Beliefs about medication, mean BMQ (general medication) score (SE)</w:t>
            </w:r>
          </w:p>
        </w:tc>
        <w:tc>
          <w:tcPr>
            <w:tcW w:w="0" w:type="auto"/>
            <w:tcBorders>
              <w:left w:val="nil"/>
              <w:right w:val="nil"/>
            </w:tcBorders>
            <w:shd w:val="clear" w:color="auto" w:fill="auto"/>
          </w:tcPr>
          <w:p w14:paraId="05688B69" w14:textId="77777777" w:rsidR="005F104B" w:rsidRPr="00C9506C" w:rsidRDefault="005F104B" w:rsidP="007E28B9">
            <w:pPr>
              <w:spacing w:after="0" w:line="360" w:lineRule="auto"/>
              <w:rPr>
                <w:rStyle w:val="Ninguno"/>
              </w:rPr>
            </w:pPr>
            <w:r>
              <w:rPr>
                <w:rStyle w:val="Ninguno"/>
              </w:rPr>
              <w:t>22.46 (0.44)</w:t>
            </w:r>
          </w:p>
        </w:tc>
        <w:tc>
          <w:tcPr>
            <w:tcW w:w="0" w:type="auto"/>
            <w:tcBorders>
              <w:left w:val="nil"/>
              <w:right w:val="nil"/>
            </w:tcBorders>
            <w:shd w:val="clear" w:color="auto" w:fill="auto"/>
          </w:tcPr>
          <w:p w14:paraId="16B8E6C1" w14:textId="77777777" w:rsidR="005F104B" w:rsidRPr="00C9506C" w:rsidRDefault="005F104B" w:rsidP="007E28B9">
            <w:pPr>
              <w:spacing w:after="0" w:line="360" w:lineRule="auto"/>
              <w:rPr>
                <w:rStyle w:val="Ninguno"/>
              </w:rPr>
            </w:pPr>
            <w:r>
              <w:rPr>
                <w:rStyle w:val="Ninguno"/>
              </w:rPr>
              <w:t>24.31 (0.51)</w:t>
            </w:r>
          </w:p>
        </w:tc>
        <w:tc>
          <w:tcPr>
            <w:tcW w:w="0" w:type="auto"/>
            <w:tcBorders>
              <w:left w:val="nil"/>
              <w:right w:val="nil"/>
            </w:tcBorders>
          </w:tcPr>
          <w:p w14:paraId="4E794903" w14:textId="77777777" w:rsidR="005F104B" w:rsidRPr="00C9506C" w:rsidRDefault="005F104B" w:rsidP="007E28B9">
            <w:pPr>
              <w:spacing w:after="0" w:line="360" w:lineRule="auto"/>
              <w:rPr>
                <w:rStyle w:val="Ninguno"/>
              </w:rPr>
            </w:pPr>
            <w:r>
              <w:rPr>
                <w:rStyle w:val="Ninguno"/>
              </w:rPr>
              <w:t>0.006</w:t>
            </w:r>
          </w:p>
        </w:tc>
        <w:tc>
          <w:tcPr>
            <w:tcW w:w="0" w:type="auto"/>
            <w:tcBorders>
              <w:left w:val="nil"/>
              <w:right w:val="nil"/>
            </w:tcBorders>
          </w:tcPr>
          <w:p w14:paraId="1DF2DC32" w14:textId="77777777" w:rsidR="005F104B" w:rsidRPr="00C9506C" w:rsidRDefault="005F104B" w:rsidP="007E28B9">
            <w:pPr>
              <w:spacing w:after="0" w:line="360" w:lineRule="auto"/>
              <w:rPr>
                <w:rStyle w:val="Ninguno"/>
              </w:rPr>
            </w:pPr>
            <w:r>
              <w:rPr>
                <w:rStyle w:val="Ninguno"/>
              </w:rPr>
              <w:t>0.444</w:t>
            </w:r>
          </w:p>
        </w:tc>
      </w:tr>
      <w:tr w:rsidR="005F104B" w:rsidRPr="00C9506C" w14:paraId="7E076264" w14:textId="77777777" w:rsidTr="007E28B9">
        <w:tc>
          <w:tcPr>
            <w:tcW w:w="0" w:type="auto"/>
            <w:tcBorders>
              <w:left w:val="nil"/>
              <w:right w:val="nil"/>
            </w:tcBorders>
            <w:shd w:val="clear" w:color="auto" w:fill="auto"/>
          </w:tcPr>
          <w:p w14:paraId="68B8C1C2" w14:textId="77777777" w:rsidR="005F104B" w:rsidRPr="00C9506C" w:rsidRDefault="005F104B" w:rsidP="007E28B9">
            <w:pPr>
              <w:spacing w:after="0" w:line="360" w:lineRule="auto"/>
              <w:rPr>
                <w:b/>
                <w:bCs/>
                <w:color w:val="000000"/>
                <w:lang w:val="en-US"/>
              </w:rPr>
            </w:pPr>
            <w:r w:rsidRPr="00C9506C">
              <w:rPr>
                <w:b/>
                <w:bCs/>
                <w:color w:val="000000"/>
                <w:lang w:val="en-US"/>
              </w:rPr>
              <w:t>Comorbidities</w:t>
            </w:r>
          </w:p>
        </w:tc>
        <w:tc>
          <w:tcPr>
            <w:tcW w:w="0" w:type="auto"/>
            <w:tcBorders>
              <w:left w:val="nil"/>
              <w:right w:val="nil"/>
            </w:tcBorders>
            <w:shd w:val="clear" w:color="auto" w:fill="auto"/>
          </w:tcPr>
          <w:p w14:paraId="12EE3108" w14:textId="77777777" w:rsidR="005F104B" w:rsidRPr="00C9506C" w:rsidRDefault="005F104B" w:rsidP="007E28B9">
            <w:pPr>
              <w:spacing w:after="0" w:line="360" w:lineRule="auto"/>
              <w:rPr>
                <w:color w:val="000000"/>
                <w:lang w:val="en-US"/>
              </w:rPr>
            </w:pPr>
          </w:p>
        </w:tc>
        <w:tc>
          <w:tcPr>
            <w:tcW w:w="0" w:type="auto"/>
            <w:tcBorders>
              <w:left w:val="nil"/>
              <w:right w:val="nil"/>
            </w:tcBorders>
            <w:shd w:val="clear" w:color="auto" w:fill="auto"/>
          </w:tcPr>
          <w:p w14:paraId="56DBB58E"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45D0E486"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79DBBDA5" w14:textId="77777777" w:rsidR="005F104B" w:rsidRPr="00C9506C" w:rsidRDefault="005F104B" w:rsidP="007E28B9">
            <w:pPr>
              <w:spacing w:after="0" w:line="360" w:lineRule="auto"/>
              <w:rPr>
                <w:color w:val="000000"/>
                <w:lang w:val="en-US"/>
              </w:rPr>
            </w:pPr>
          </w:p>
        </w:tc>
      </w:tr>
      <w:tr w:rsidR="005F104B" w:rsidRPr="00C9506C" w14:paraId="7CD6AFCA" w14:textId="77777777" w:rsidTr="007E28B9">
        <w:tc>
          <w:tcPr>
            <w:tcW w:w="0" w:type="auto"/>
            <w:shd w:val="clear" w:color="auto" w:fill="auto"/>
          </w:tcPr>
          <w:p w14:paraId="7C56957A" w14:textId="77777777" w:rsidR="005F104B" w:rsidRPr="00C9506C" w:rsidRDefault="005F104B" w:rsidP="007E28B9">
            <w:pPr>
              <w:spacing w:after="0" w:line="360" w:lineRule="auto"/>
              <w:ind w:left="284"/>
              <w:rPr>
                <w:bCs/>
                <w:color w:val="000000"/>
                <w:lang w:val="en-US"/>
              </w:rPr>
            </w:pPr>
            <w:r w:rsidRPr="00C9506C">
              <w:rPr>
                <w:bCs/>
                <w:color w:val="000000"/>
                <w:lang w:val="en-US"/>
              </w:rPr>
              <w:t>Cardiovascular diseases, % (n)</w:t>
            </w:r>
          </w:p>
        </w:tc>
        <w:tc>
          <w:tcPr>
            <w:tcW w:w="0" w:type="auto"/>
            <w:shd w:val="clear" w:color="auto" w:fill="auto"/>
          </w:tcPr>
          <w:p w14:paraId="20B172F7" w14:textId="77777777" w:rsidR="005F104B" w:rsidRPr="00C9506C" w:rsidRDefault="005F104B" w:rsidP="007E28B9">
            <w:pPr>
              <w:spacing w:after="0" w:line="360" w:lineRule="auto"/>
              <w:rPr>
                <w:color w:val="000000"/>
                <w:lang w:val="en-US"/>
              </w:rPr>
            </w:pPr>
            <w:r w:rsidRPr="00C9506C">
              <w:rPr>
                <w:color w:val="000000"/>
                <w:lang w:val="en-US"/>
              </w:rPr>
              <w:t>37.24 (54)</w:t>
            </w:r>
          </w:p>
        </w:tc>
        <w:tc>
          <w:tcPr>
            <w:tcW w:w="0" w:type="auto"/>
            <w:shd w:val="clear" w:color="auto" w:fill="auto"/>
          </w:tcPr>
          <w:p w14:paraId="52943B21" w14:textId="77777777" w:rsidR="005F104B" w:rsidRPr="00C9506C" w:rsidRDefault="005F104B" w:rsidP="007E28B9">
            <w:pPr>
              <w:spacing w:after="0" w:line="360" w:lineRule="auto"/>
              <w:rPr>
                <w:color w:val="000000"/>
                <w:lang w:val="en-US"/>
              </w:rPr>
            </w:pPr>
            <w:r w:rsidRPr="00C9506C">
              <w:rPr>
                <w:color w:val="000000"/>
                <w:lang w:val="en-US"/>
              </w:rPr>
              <w:t>35.59 (42)</w:t>
            </w:r>
          </w:p>
        </w:tc>
        <w:tc>
          <w:tcPr>
            <w:tcW w:w="0" w:type="auto"/>
          </w:tcPr>
          <w:p w14:paraId="1BAD532E" w14:textId="77777777" w:rsidR="005F104B" w:rsidRPr="00C9506C" w:rsidRDefault="005F104B" w:rsidP="007E28B9">
            <w:pPr>
              <w:spacing w:after="0" w:line="360" w:lineRule="auto"/>
              <w:rPr>
                <w:color w:val="000000"/>
                <w:lang w:val="en-US"/>
              </w:rPr>
            </w:pPr>
            <w:r>
              <w:rPr>
                <w:color w:val="000000"/>
                <w:lang w:val="en-US"/>
              </w:rPr>
              <w:t>0.782</w:t>
            </w:r>
          </w:p>
        </w:tc>
        <w:tc>
          <w:tcPr>
            <w:tcW w:w="0" w:type="auto"/>
          </w:tcPr>
          <w:p w14:paraId="635CDEA8" w14:textId="77777777" w:rsidR="005F104B" w:rsidRPr="00C9506C" w:rsidRDefault="005F104B" w:rsidP="007E28B9">
            <w:pPr>
              <w:spacing w:after="0" w:line="360" w:lineRule="auto"/>
              <w:rPr>
                <w:color w:val="000000"/>
                <w:lang w:val="en-US"/>
              </w:rPr>
            </w:pPr>
            <w:r>
              <w:rPr>
                <w:color w:val="000000"/>
                <w:lang w:val="en-US"/>
              </w:rPr>
              <w:t>0.623</w:t>
            </w:r>
          </w:p>
        </w:tc>
      </w:tr>
      <w:tr w:rsidR="005F104B" w:rsidRPr="00C9506C" w14:paraId="13E7174A" w14:textId="77777777" w:rsidTr="007E28B9">
        <w:tc>
          <w:tcPr>
            <w:tcW w:w="0" w:type="auto"/>
            <w:tcBorders>
              <w:left w:val="nil"/>
              <w:right w:val="nil"/>
            </w:tcBorders>
            <w:shd w:val="clear" w:color="auto" w:fill="auto"/>
          </w:tcPr>
          <w:p w14:paraId="5322D3A4" w14:textId="77777777" w:rsidR="005F104B" w:rsidRPr="00C9506C" w:rsidRDefault="005F104B" w:rsidP="007E28B9">
            <w:pPr>
              <w:spacing w:after="0" w:line="360" w:lineRule="auto"/>
              <w:ind w:left="284"/>
              <w:rPr>
                <w:bCs/>
                <w:color w:val="000000"/>
                <w:lang w:val="en-US"/>
              </w:rPr>
            </w:pPr>
            <w:r w:rsidRPr="00C9506C">
              <w:rPr>
                <w:bCs/>
                <w:color w:val="000000"/>
                <w:lang w:val="en-US"/>
              </w:rPr>
              <w:t>Respiratory diseases, % (n)</w:t>
            </w:r>
          </w:p>
        </w:tc>
        <w:tc>
          <w:tcPr>
            <w:tcW w:w="0" w:type="auto"/>
            <w:tcBorders>
              <w:left w:val="nil"/>
              <w:right w:val="nil"/>
            </w:tcBorders>
            <w:shd w:val="clear" w:color="auto" w:fill="auto"/>
          </w:tcPr>
          <w:p w14:paraId="7A1E0CC5" w14:textId="77777777" w:rsidR="005F104B" w:rsidRPr="00C9506C" w:rsidRDefault="005F104B" w:rsidP="007E28B9">
            <w:pPr>
              <w:spacing w:after="0" w:line="360" w:lineRule="auto"/>
              <w:rPr>
                <w:color w:val="000000"/>
                <w:lang w:val="en-US"/>
              </w:rPr>
            </w:pPr>
            <w:r w:rsidRPr="00C9506C">
              <w:rPr>
                <w:color w:val="000000"/>
                <w:lang w:val="en-US"/>
              </w:rPr>
              <w:t>7.59 (11)</w:t>
            </w:r>
          </w:p>
        </w:tc>
        <w:tc>
          <w:tcPr>
            <w:tcW w:w="0" w:type="auto"/>
            <w:tcBorders>
              <w:left w:val="nil"/>
              <w:right w:val="nil"/>
            </w:tcBorders>
            <w:shd w:val="clear" w:color="auto" w:fill="auto"/>
          </w:tcPr>
          <w:p w14:paraId="6DDCEBBB" w14:textId="77777777" w:rsidR="005F104B" w:rsidRPr="00C9506C" w:rsidRDefault="005F104B" w:rsidP="007E28B9">
            <w:pPr>
              <w:spacing w:after="0" w:line="360" w:lineRule="auto"/>
              <w:rPr>
                <w:color w:val="000000"/>
                <w:lang w:val="en-US"/>
              </w:rPr>
            </w:pPr>
            <w:r w:rsidRPr="00C9506C">
              <w:rPr>
                <w:color w:val="000000"/>
                <w:lang w:val="en-US"/>
              </w:rPr>
              <w:t>10.17 (12)</w:t>
            </w:r>
          </w:p>
        </w:tc>
        <w:tc>
          <w:tcPr>
            <w:tcW w:w="0" w:type="auto"/>
            <w:tcBorders>
              <w:left w:val="nil"/>
              <w:right w:val="nil"/>
            </w:tcBorders>
          </w:tcPr>
          <w:p w14:paraId="4F4C630A" w14:textId="77777777" w:rsidR="005F104B" w:rsidRPr="00C9506C" w:rsidRDefault="005F104B" w:rsidP="007E28B9">
            <w:pPr>
              <w:spacing w:after="0" w:line="360" w:lineRule="auto"/>
              <w:rPr>
                <w:color w:val="000000"/>
                <w:lang w:val="en-US"/>
              </w:rPr>
            </w:pPr>
            <w:r>
              <w:rPr>
                <w:color w:val="000000"/>
                <w:lang w:val="en-US"/>
              </w:rPr>
              <w:t>0.461</w:t>
            </w:r>
          </w:p>
        </w:tc>
        <w:tc>
          <w:tcPr>
            <w:tcW w:w="0" w:type="auto"/>
            <w:tcBorders>
              <w:left w:val="nil"/>
              <w:right w:val="nil"/>
            </w:tcBorders>
          </w:tcPr>
          <w:p w14:paraId="40804515" w14:textId="77777777" w:rsidR="005F104B" w:rsidRPr="00C9506C" w:rsidRDefault="005F104B" w:rsidP="007E28B9">
            <w:pPr>
              <w:spacing w:after="0" w:line="360" w:lineRule="auto"/>
              <w:rPr>
                <w:color w:val="000000"/>
                <w:lang w:val="en-US"/>
              </w:rPr>
            </w:pPr>
            <w:r>
              <w:rPr>
                <w:color w:val="000000"/>
                <w:lang w:val="en-US"/>
              </w:rPr>
              <w:t>0.474</w:t>
            </w:r>
          </w:p>
        </w:tc>
      </w:tr>
      <w:tr w:rsidR="005F104B" w:rsidRPr="00C9506C" w14:paraId="497D7205" w14:textId="77777777" w:rsidTr="007E28B9">
        <w:tc>
          <w:tcPr>
            <w:tcW w:w="0" w:type="auto"/>
            <w:shd w:val="clear" w:color="auto" w:fill="auto"/>
          </w:tcPr>
          <w:p w14:paraId="23753180" w14:textId="77777777" w:rsidR="005F104B" w:rsidRPr="00C9506C" w:rsidRDefault="005F104B" w:rsidP="007E28B9">
            <w:pPr>
              <w:spacing w:after="0" w:line="360" w:lineRule="auto"/>
              <w:ind w:left="284"/>
              <w:rPr>
                <w:bCs/>
                <w:color w:val="000000"/>
                <w:lang w:val="en-US"/>
              </w:rPr>
            </w:pPr>
            <w:r w:rsidRPr="00C9506C">
              <w:rPr>
                <w:bCs/>
                <w:color w:val="000000"/>
                <w:lang w:val="en-US"/>
              </w:rPr>
              <w:t>Pain, % (n)</w:t>
            </w:r>
          </w:p>
        </w:tc>
        <w:tc>
          <w:tcPr>
            <w:tcW w:w="0" w:type="auto"/>
            <w:shd w:val="clear" w:color="auto" w:fill="auto"/>
          </w:tcPr>
          <w:p w14:paraId="61F8B724" w14:textId="77777777" w:rsidR="005F104B" w:rsidRPr="00C9506C" w:rsidRDefault="005F104B" w:rsidP="007E28B9">
            <w:pPr>
              <w:spacing w:after="0" w:line="360" w:lineRule="auto"/>
              <w:rPr>
                <w:color w:val="000000"/>
                <w:lang w:val="en-US"/>
              </w:rPr>
            </w:pPr>
            <w:r w:rsidRPr="00C9506C">
              <w:rPr>
                <w:color w:val="000000"/>
                <w:lang w:val="en-US"/>
              </w:rPr>
              <w:t>57.24 (83)</w:t>
            </w:r>
          </w:p>
        </w:tc>
        <w:tc>
          <w:tcPr>
            <w:tcW w:w="0" w:type="auto"/>
            <w:shd w:val="clear" w:color="auto" w:fill="auto"/>
          </w:tcPr>
          <w:p w14:paraId="1D96D066" w14:textId="77777777" w:rsidR="005F104B" w:rsidRPr="00C9506C" w:rsidRDefault="005F104B" w:rsidP="007E28B9">
            <w:pPr>
              <w:spacing w:after="0" w:line="360" w:lineRule="auto"/>
              <w:rPr>
                <w:color w:val="000000"/>
                <w:lang w:val="en-US"/>
              </w:rPr>
            </w:pPr>
            <w:r w:rsidRPr="00C9506C">
              <w:rPr>
                <w:color w:val="000000"/>
                <w:lang w:val="en-US"/>
              </w:rPr>
              <w:t>63.56 (75)</w:t>
            </w:r>
          </w:p>
        </w:tc>
        <w:tc>
          <w:tcPr>
            <w:tcW w:w="0" w:type="auto"/>
          </w:tcPr>
          <w:p w14:paraId="3DC5973F" w14:textId="77777777" w:rsidR="005F104B" w:rsidRPr="00C9506C" w:rsidRDefault="005F104B" w:rsidP="007E28B9">
            <w:pPr>
              <w:spacing w:after="0" w:line="360" w:lineRule="auto"/>
              <w:rPr>
                <w:color w:val="000000"/>
                <w:lang w:val="en-US"/>
              </w:rPr>
            </w:pPr>
            <w:r>
              <w:rPr>
                <w:color w:val="000000"/>
                <w:lang w:val="en-US"/>
              </w:rPr>
              <w:t>0.298</w:t>
            </w:r>
          </w:p>
        </w:tc>
        <w:tc>
          <w:tcPr>
            <w:tcW w:w="0" w:type="auto"/>
          </w:tcPr>
          <w:p w14:paraId="60481C95" w14:textId="77777777" w:rsidR="005F104B" w:rsidRPr="00C9506C" w:rsidRDefault="005F104B" w:rsidP="007E28B9">
            <w:pPr>
              <w:spacing w:after="0" w:line="360" w:lineRule="auto"/>
              <w:rPr>
                <w:color w:val="000000"/>
                <w:lang w:val="en-US"/>
              </w:rPr>
            </w:pPr>
            <w:r>
              <w:rPr>
                <w:color w:val="000000"/>
                <w:lang w:val="en-US"/>
              </w:rPr>
              <w:t>0.543</w:t>
            </w:r>
          </w:p>
        </w:tc>
      </w:tr>
      <w:tr w:rsidR="005F104B" w:rsidRPr="00C9506C" w14:paraId="6B9FE373" w14:textId="77777777" w:rsidTr="007E28B9">
        <w:tc>
          <w:tcPr>
            <w:tcW w:w="0" w:type="auto"/>
            <w:tcBorders>
              <w:left w:val="nil"/>
              <w:right w:val="nil"/>
            </w:tcBorders>
            <w:shd w:val="clear" w:color="auto" w:fill="auto"/>
          </w:tcPr>
          <w:p w14:paraId="6C8C0740" w14:textId="77777777" w:rsidR="005F104B" w:rsidRPr="00C9506C" w:rsidRDefault="005F104B" w:rsidP="007E28B9">
            <w:pPr>
              <w:spacing w:after="0" w:line="360" w:lineRule="auto"/>
              <w:ind w:left="284"/>
              <w:rPr>
                <w:bCs/>
                <w:color w:val="000000"/>
                <w:lang w:val="en-US"/>
              </w:rPr>
            </w:pPr>
            <w:r w:rsidRPr="00C9506C">
              <w:rPr>
                <w:bCs/>
                <w:color w:val="000000"/>
                <w:lang w:val="en-US"/>
              </w:rPr>
              <w:t>Digestive diseases, % (n)</w:t>
            </w:r>
          </w:p>
        </w:tc>
        <w:tc>
          <w:tcPr>
            <w:tcW w:w="0" w:type="auto"/>
            <w:tcBorders>
              <w:left w:val="nil"/>
              <w:right w:val="nil"/>
            </w:tcBorders>
            <w:shd w:val="clear" w:color="auto" w:fill="auto"/>
          </w:tcPr>
          <w:p w14:paraId="52FF0F7F" w14:textId="77777777" w:rsidR="005F104B" w:rsidRPr="00C9506C" w:rsidRDefault="005F104B" w:rsidP="007E28B9">
            <w:pPr>
              <w:spacing w:after="0" w:line="360" w:lineRule="auto"/>
              <w:rPr>
                <w:color w:val="000000"/>
                <w:lang w:val="en-US"/>
              </w:rPr>
            </w:pPr>
            <w:r w:rsidRPr="00C9506C">
              <w:rPr>
                <w:color w:val="000000"/>
                <w:lang w:val="en-US"/>
              </w:rPr>
              <w:t>80.28 (12)</w:t>
            </w:r>
          </w:p>
        </w:tc>
        <w:tc>
          <w:tcPr>
            <w:tcW w:w="0" w:type="auto"/>
            <w:tcBorders>
              <w:left w:val="nil"/>
              <w:right w:val="nil"/>
            </w:tcBorders>
            <w:shd w:val="clear" w:color="auto" w:fill="auto"/>
          </w:tcPr>
          <w:p w14:paraId="1E024EAF" w14:textId="77777777" w:rsidR="005F104B" w:rsidRPr="00C9506C" w:rsidRDefault="005F104B" w:rsidP="007E28B9">
            <w:pPr>
              <w:spacing w:after="0" w:line="360" w:lineRule="auto"/>
              <w:rPr>
                <w:color w:val="000000"/>
                <w:lang w:val="en-US"/>
              </w:rPr>
            </w:pPr>
            <w:r w:rsidRPr="00C9506C">
              <w:rPr>
                <w:color w:val="000000"/>
                <w:lang w:val="en-US"/>
              </w:rPr>
              <w:t>11.02 (13)</w:t>
            </w:r>
          </w:p>
        </w:tc>
        <w:tc>
          <w:tcPr>
            <w:tcW w:w="0" w:type="auto"/>
            <w:tcBorders>
              <w:left w:val="nil"/>
              <w:right w:val="nil"/>
            </w:tcBorders>
          </w:tcPr>
          <w:p w14:paraId="5991575B" w14:textId="77777777" w:rsidR="005F104B" w:rsidRPr="00C9506C" w:rsidRDefault="005F104B" w:rsidP="007E28B9">
            <w:pPr>
              <w:spacing w:after="0" w:line="360" w:lineRule="auto"/>
              <w:rPr>
                <w:color w:val="000000"/>
                <w:lang w:val="en-US"/>
              </w:rPr>
            </w:pPr>
            <w:r>
              <w:rPr>
                <w:color w:val="000000"/>
                <w:lang w:val="en-US"/>
              </w:rPr>
              <w:t>0.451</w:t>
            </w:r>
          </w:p>
        </w:tc>
        <w:tc>
          <w:tcPr>
            <w:tcW w:w="0" w:type="auto"/>
            <w:tcBorders>
              <w:left w:val="nil"/>
              <w:right w:val="nil"/>
            </w:tcBorders>
          </w:tcPr>
          <w:p w14:paraId="37D11859" w14:textId="77777777" w:rsidR="005F104B" w:rsidRPr="00C9506C" w:rsidRDefault="005F104B" w:rsidP="007E28B9">
            <w:pPr>
              <w:spacing w:after="0" w:line="360" w:lineRule="auto"/>
              <w:rPr>
                <w:color w:val="000000"/>
                <w:lang w:val="en-US"/>
              </w:rPr>
            </w:pPr>
            <w:r>
              <w:rPr>
                <w:color w:val="000000"/>
                <w:lang w:val="en-US"/>
              </w:rPr>
              <w:t>0.513</w:t>
            </w:r>
          </w:p>
        </w:tc>
      </w:tr>
      <w:tr w:rsidR="005F104B" w:rsidRPr="00C9506C" w14:paraId="09C81221" w14:textId="77777777" w:rsidTr="007E28B9">
        <w:tc>
          <w:tcPr>
            <w:tcW w:w="0" w:type="auto"/>
            <w:shd w:val="clear" w:color="auto" w:fill="auto"/>
          </w:tcPr>
          <w:p w14:paraId="6FE599CD" w14:textId="77777777" w:rsidR="005F104B" w:rsidRPr="00C9506C" w:rsidRDefault="005F104B" w:rsidP="007E28B9">
            <w:pPr>
              <w:spacing w:after="0" w:line="360" w:lineRule="auto"/>
              <w:ind w:left="284"/>
              <w:rPr>
                <w:bCs/>
                <w:color w:val="000000"/>
                <w:lang w:val="en-US"/>
              </w:rPr>
            </w:pPr>
            <w:r w:rsidRPr="00C9506C">
              <w:rPr>
                <w:bCs/>
                <w:color w:val="000000"/>
                <w:lang w:val="en-US"/>
              </w:rPr>
              <w:t>Sense organs diseases, % (n)</w:t>
            </w:r>
          </w:p>
        </w:tc>
        <w:tc>
          <w:tcPr>
            <w:tcW w:w="0" w:type="auto"/>
            <w:shd w:val="clear" w:color="auto" w:fill="auto"/>
          </w:tcPr>
          <w:p w14:paraId="564A4462" w14:textId="77777777" w:rsidR="005F104B" w:rsidRPr="00C9506C" w:rsidRDefault="005F104B" w:rsidP="007E28B9">
            <w:pPr>
              <w:spacing w:after="0" w:line="360" w:lineRule="auto"/>
              <w:rPr>
                <w:color w:val="000000"/>
                <w:lang w:val="en-US"/>
              </w:rPr>
            </w:pPr>
            <w:r w:rsidRPr="00C9506C">
              <w:rPr>
                <w:color w:val="000000"/>
                <w:lang w:val="en-US"/>
              </w:rPr>
              <w:t>51.03 (74)</w:t>
            </w:r>
          </w:p>
        </w:tc>
        <w:tc>
          <w:tcPr>
            <w:tcW w:w="0" w:type="auto"/>
            <w:shd w:val="clear" w:color="auto" w:fill="auto"/>
          </w:tcPr>
          <w:p w14:paraId="7A2E47A1" w14:textId="77777777" w:rsidR="005F104B" w:rsidRPr="00C9506C" w:rsidRDefault="005F104B" w:rsidP="007E28B9">
            <w:pPr>
              <w:spacing w:after="0" w:line="360" w:lineRule="auto"/>
              <w:rPr>
                <w:color w:val="000000"/>
                <w:lang w:val="en-US"/>
              </w:rPr>
            </w:pPr>
            <w:r w:rsidRPr="00C9506C">
              <w:rPr>
                <w:color w:val="000000"/>
                <w:lang w:val="en-US"/>
              </w:rPr>
              <w:t>45.76 (54)</w:t>
            </w:r>
          </w:p>
        </w:tc>
        <w:tc>
          <w:tcPr>
            <w:tcW w:w="0" w:type="auto"/>
          </w:tcPr>
          <w:p w14:paraId="5C7ED822" w14:textId="77777777" w:rsidR="005F104B" w:rsidRPr="00C9506C" w:rsidRDefault="005F104B" w:rsidP="007E28B9">
            <w:pPr>
              <w:spacing w:after="0" w:line="360" w:lineRule="auto"/>
              <w:rPr>
                <w:color w:val="000000"/>
                <w:lang w:val="en-US"/>
              </w:rPr>
            </w:pPr>
            <w:r>
              <w:rPr>
                <w:color w:val="000000"/>
                <w:lang w:val="en-US"/>
              </w:rPr>
              <w:t>0.395</w:t>
            </w:r>
          </w:p>
        </w:tc>
        <w:tc>
          <w:tcPr>
            <w:tcW w:w="0" w:type="auto"/>
          </w:tcPr>
          <w:p w14:paraId="093678E1" w14:textId="77777777" w:rsidR="005F104B" w:rsidRPr="00C9506C" w:rsidRDefault="005F104B" w:rsidP="007E28B9">
            <w:pPr>
              <w:spacing w:after="0" w:line="360" w:lineRule="auto"/>
              <w:rPr>
                <w:color w:val="000000"/>
                <w:lang w:val="en-US"/>
              </w:rPr>
            </w:pPr>
            <w:r>
              <w:rPr>
                <w:color w:val="000000"/>
                <w:lang w:val="en-US"/>
              </w:rPr>
              <w:t>0.674</w:t>
            </w:r>
          </w:p>
        </w:tc>
      </w:tr>
      <w:tr w:rsidR="005F104B" w:rsidRPr="00C9506C" w14:paraId="4FAC675A" w14:textId="77777777" w:rsidTr="007E28B9">
        <w:tc>
          <w:tcPr>
            <w:tcW w:w="0" w:type="auto"/>
            <w:tcBorders>
              <w:left w:val="nil"/>
              <w:right w:val="nil"/>
            </w:tcBorders>
            <w:shd w:val="clear" w:color="auto" w:fill="auto"/>
          </w:tcPr>
          <w:p w14:paraId="5B6C2CEA" w14:textId="77777777" w:rsidR="005F104B" w:rsidRPr="00C9506C" w:rsidRDefault="005F104B" w:rsidP="007E28B9">
            <w:pPr>
              <w:spacing w:after="0" w:line="360" w:lineRule="auto"/>
              <w:rPr>
                <w:b/>
                <w:bCs/>
                <w:color w:val="000000"/>
                <w:lang w:val="en-US"/>
              </w:rPr>
            </w:pPr>
            <w:r>
              <w:rPr>
                <w:b/>
                <w:bCs/>
                <w:color w:val="000000"/>
                <w:lang w:val="en-US"/>
              </w:rPr>
              <w:t>GP</w:t>
            </w:r>
            <w:r w:rsidRPr="00C9506C">
              <w:rPr>
                <w:b/>
                <w:bCs/>
                <w:color w:val="000000"/>
                <w:lang w:val="en-US"/>
              </w:rPr>
              <w:t xml:space="preserve"> characteristics </w:t>
            </w:r>
          </w:p>
        </w:tc>
        <w:tc>
          <w:tcPr>
            <w:tcW w:w="0" w:type="auto"/>
            <w:tcBorders>
              <w:left w:val="nil"/>
              <w:right w:val="nil"/>
            </w:tcBorders>
            <w:shd w:val="clear" w:color="auto" w:fill="auto"/>
          </w:tcPr>
          <w:p w14:paraId="6003FE4C" w14:textId="77777777" w:rsidR="005F104B" w:rsidRPr="00C9506C" w:rsidRDefault="005F104B" w:rsidP="007E28B9">
            <w:pPr>
              <w:spacing w:after="0" w:line="360" w:lineRule="auto"/>
              <w:rPr>
                <w:color w:val="000000"/>
                <w:lang w:val="en-US"/>
              </w:rPr>
            </w:pPr>
          </w:p>
        </w:tc>
        <w:tc>
          <w:tcPr>
            <w:tcW w:w="0" w:type="auto"/>
            <w:tcBorders>
              <w:left w:val="nil"/>
              <w:right w:val="nil"/>
            </w:tcBorders>
            <w:shd w:val="clear" w:color="auto" w:fill="auto"/>
          </w:tcPr>
          <w:p w14:paraId="143F9C07"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67517A07"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3BC3554E" w14:textId="77777777" w:rsidR="005F104B" w:rsidRPr="00C9506C" w:rsidRDefault="005F104B" w:rsidP="007E28B9">
            <w:pPr>
              <w:spacing w:after="0" w:line="360" w:lineRule="auto"/>
              <w:rPr>
                <w:color w:val="000000"/>
                <w:lang w:val="en-US"/>
              </w:rPr>
            </w:pPr>
          </w:p>
        </w:tc>
      </w:tr>
      <w:tr w:rsidR="005F104B" w:rsidRPr="00C9506C" w14:paraId="0FFCC7D7" w14:textId="77777777" w:rsidTr="007E28B9">
        <w:tc>
          <w:tcPr>
            <w:tcW w:w="0" w:type="auto"/>
            <w:shd w:val="clear" w:color="auto" w:fill="auto"/>
          </w:tcPr>
          <w:p w14:paraId="2405D59E" w14:textId="77777777" w:rsidR="005F104B" w:rsidRPr="00C9506C" w:rsidRDefault="005F104B" w:rsidP="007E28B9">
            <w:pPr>
              <w:spacing w:after="0" w:line="360" w:lineRule="auto"/>
              <w:ind w:left="284"/>
              <w:rPr>
                <w:bCs/>
                <w:color w:val="000000"/>
                <w:lang w:val="en-US"/>
              </w:rPr>
            </w:pPr>
            <w:r w:rsidRPr="00C9506C">
              <w:rPr>
                <w:bCs/>
                <w:color w:val="000000"/>
                <w:lang w:val="en-US"/>
              </w:rPr>
              <w:t>Gender, % women (n)</w:t>
            </w:r>
          </w:p>
        </w:tc>
        <w:tc>
          <w:tcPr>
            <w:tcW w:w="0" w:type="auto"/>
            <w:shd w:val="clear" w:color="auto" w:fill="auto"/>
          </w:tcPr>
          <w:p w14:paraId="0EE0D3C9" w14:textId="77777777" w:rsidR="005F104B" w:rsidRPr="00C9506C" w:rsidRDefault="005F104B" w:rsidP="007E28B9">
            <w:pPr>
              <w:spacing w:after="0" w:line="360" w:lineRule="auto"/>
              <w:rPr>
                <w:color w:val="000000"/>
                <w:lang w:val="en-US"/>
              </w:rPr>
            </w:pPr>
            <w:r w:rsidRPr="00C9506C">
              <w:rPr>
                <w:color w:val="000000"/>
                <w:lang w:val="en-US"/>
              </w:rPr>
              <w:t>82.76 (120)</w:t>
            </w:r>
          </w:p>
        </w:tc>
        <w:tc>
          <w:tcPr>
            <w:tcW w:w="0" w:type="auto"/>
            <w:shd w:val="clear" w:color="auto" w:fill="auto"/>
          </w:tcPr>
          <w:p w14:paraId="62298123" w14:textId="77777777" w:rsidR="005F104B" w:rsidRPr="00C9506C" w:rsidRDefault="005F104B" w:rsidP="007E28B9">
            <w:pPr>
              <w:spacing w:after="0" w:line="360" w:lineRule="auto"/>
              <w:rPr>
                <w:color w:val="000000"/>
                <w:lang w:val="en-US"/>
              </w:rPr>
            </w:pPr>
            <w:r w:rsidRPr="00C9506C">
              <w:rPr>
                <w:color w:val="000000"/>
                <w:lang w:val="en-US"/>
              </w:rPr>
              <w:t>84.75 (100)</w:t>
            </w:r>
          </w:p>
        </w:tc>
        <w:tc>
          <w:tcPr>
            <w:tcW w:w="0" w:type="auto"/>
          </w:tcPr>
          <w:p w14:paraId="6D4C019D" w14:textId="77777777" w:rsidR="005F104B" w:rsidRPr="00C9506C" w:rsidRDefault="005F104B" w:rsidP="007E28B9">
            <w:pPr>
              <w:spacing w:after="0" w:line="360" w:lineRule="auto"/>
              <w:rPr>
                <w:color w:val="000000"/>
                <w:lang w:val="en-US"/>
              </w:rPr>
            </w:pPr>
            <w:r>
              <w:rPr>
                <w:color w:val="000000"/>
                <w:lang w:val="en-US"/>
              </w:rPr>
              <w:t>0.665</w:t>
            </w:r>
          </w:p>
        </w:tc>
        <w:tc>
          <w:tcPr>
            <w:tcW w:w="0" w:type="auto"/>
          </w:tcPr>
          <w:p w14:paraId="17E6E570" w14:textId="77777777" w:rsidR="005F104B" w:rsidRPr="00C9506C" w:rsidRDefault="005F104B" w:rsidP="007E28B9">
            <w:pPr>
              <w:spacing w:after="0" w:line="360" w:lineRule="auto"/>
              <w:rPr>
                <w:color w:val="000000"/>
                <w:lang w:val="en-US"/>
              </w:rPr>
            </w:pPr>
            <w:r>
              <w:rPr>
                <w:color w:val="000000"/>
                <w:lang w:val="en-US"/>
              </w:rPr>
              <w:t>0.824</w:t>
            </w:r>
          </w:p>
        </w:tc>
      </w:tr>
      <w:tr w:rsidR="005F104B" w:rsidRPr="00C9506C" w14:paraId="232B988A" w14:textId="77777777" w:rsidTr="007E28B9">
        <w:tc>
          <w:tcPr>
            <w:tcW w:w="0" w:type="auto"/>
            <w:tcBorders>
              <w:left w:val="nil"/>
              <w:right w:val="nil"/>
            </w:tcBorders>
            <w:shd w:val="clear" w:color="auto" w:fill="auto"/>
          </w:tcPr>
          <w:p w14:paraId="6F8B47E3" w14:textId="77777777" w:rsidR="005F104B" w:rsidRPr="00C9506C" w:rsidRDefault="005F104B" w:rsidP="007E28B9">
            <w:pPr>
              <w:spacing w:after="0" w:line="360" w:lineRule="auto"/>
              <w:ind w:left="284"/>
              <w:rPr>
                <w:bCs/>
                <w:color w:val="000000"/>
                <w:lang w:val="en-US"/>
              </w:rPr>
            </w:pPr>
            <w:r w:rsidRPr="00C9506C">
              <w:rPr>
                <w:bCs/>
                <w:color w:val="000000"/>
                <w:lang w:val="en-US"/>
              </w:rPr>
              <w:t>Age, mean (SE)</w:t>
            </w:r>
          </w:p>
        </w:tc>
        <w:tc>
          <w:tcPr>
            <w:tcW w:w="0" w:type="auto"/>
            <w:tcBorders>
              <w:left w:val="nil"/>
              <w:right w:val="nil"/>
            </w:tcBorders>
            <w:shd w:val="clear" w:color="auto" w:fill="auto"/>
          </w:tcPr>
          <w:p w14:paraId="4D51C5ED" w14:textId="77777777" w:rsidR="005F104B" w:rsidRPr="00C9506C" w:rsidRDefault="005F104B" w:rsidP="007E28B9">
            <w:pPr>
              <w:spacing w:after="0" w:line="360" w:lineRule="auto"/>
              <w:rPr>
                <w:color w:val="000000"/>
                <w:lang w:val="en-US"/>
              </w:rPr>
            </w:pPr>
            <w:r w:rsidRPr="00C9506C">
              <w:rPr>
                <w:color w:val="000000"/>
                <w:lang w:val="en-US"/>
              </w:rPr>
              <w:t>46.07 (0.55)</w:t>
            </w:r>
          </w:p>
        </w:tc>
        <w:tc>
          <w:tcPr>
            <w:tcW w:w="0" w:type="auto"/>
            <w:tcBorders>
              <w:left w:val="nil"/>
              <w:right w:val="nil"/>
            </w:tcBorders>
            <w:shd w:val="clear" w:color="auto" w:fill="auto"/>
          </w:tcPr>
          <w:p w14:paraId="5522F5AE" w14:textId="77777777" w:rsidR="005F104B" w:rsidRPr="00C9506C" w:rsidRDefault="005F104B" w:rsidP="007E28B9">
            <w:pPr>
              <w:spacing w:after="0" w:line="360" w:lineRule="auto"/>
              <w:rPr>
                <w:color w:val="000000"/>
                <w:lang w:val="en-US"/>
              </w:rPr>
            </w:pPr>
            <w:r w:rsidRPr="00C9506C">
              <w:rPr>
                <w:color w:val="000000"/>
                <w:lang w:val="en-US"/>
              </w:rPr>
              <w:t>45.61 (0.62)</w:t>
            </w:r>
          </w:p>
        </w:tc>
        <w:tc>
          <w:tcPr>
            <w:tcW w:w="0" w:type="auto"/>
            <w:tcBorders>
              <w:left w:val="nil"/>
              <w:right w:val="nil"/>
            </w:tcBorders>
          </w:tcPr>
          <w:p w14:paraId="3937F339" w14:textId="77777777" w:rsidR="005F104B" w:rsidRPr="00C9506C" w:rsidRDefault="005F104B" w:rsidP="007E28B9">
            <w:pPr>
              <w:spacing w:after="0" w:line="360" w:lineRule="auto"/>
              <w:rPr>
                <w:color w:val="000000"/>
                <w:lang w:val="en-US"/>
              </w:rPr>
            </w:pPr>
            <w:r>
              <w:rPr>
                <w:color w:val="000000"/>
                <w:lang w:val="en-US"/>
              </w:rPr>
              <w:t>0.579</w:t>
            </w:r>
          </w:p>
        </w:tc>
        <w:tc>
          <w:tcPr>
            <w:tcW w:w="0" w:type="auto"/>
            <w:tcBorders>
              <w:left w:val="nil"/>
              <w:right w:val="nil"/>
            </w:tcBorders>
          </w:tcPr>
          <w:p w14:paraId="327A9179" w14:textId="77777777" w:rsidR="005F104B" w:rsidRPr="00C9506C" w:rsidRDefault="005F104B" w:rsidP="007E28B9">
            <w:pPr>
              <w:spacing w:after="0" w:line="360" w:lineRule="auto"/>
              <w:rPr>
                <w:color w:val="000000"/>
                <w:lang w:val="en-US"/>
              </w:rPr>
            </w:pPr>
            <w:r>
              <w:rPr>
                <w:color w:val="000000"/>
                <w:lang w:val="en-US"/>
              </w:rPr>
              <w:t>0.231</w:t>
            </w:r>
          </w:p>
        </w:tc>
      </w:tr>
      <w:tr w:rsidR="005F104B" w:rsidRPr="00C9506C" w14:paraId="01A162A8" w14:textId="77777777" w:rsidTr="007E28B9">
        <w:tc>
          <w:tcPr>
            <w:tcW w:w="0" w:type="auto"/>
            <w:tcBorders>
              <w:left w:val="nil"/>
              <w:right w:val="nil"/>
            </w:tcBorders>
            <w:shd w:val="clear" w:color="auto" w:fill="auto"/>
          </w:tcPr>
          <w:p w14:paraId="5A87A7D8" w14:textId="77777777" w:rsidR="005F104B" w:rsidRPr="00C9506C" w:rsidRDefault="005F104B" w:rsidP="007E28B9">
            <w:pPr>
              <w:spacing w:after="0" w:line="360" w:lineRule="auto"/>
              <w:rPr>
                <w:b/>
                <w:bCs/>
                <w:color w:val="000000"/>
                <w:vertAlign w:val="superscript"/>
                <w:lang w:val="en-US"/>
              </w:rPr>
            </w:pPr>
            <w:r w:rsidRPr="00C9506C">
              <w:rPr>
                <w:b/>
                <w:bCs/>
                <w:lang w:val="en-US"/>
              </w:rPr>
              <w:t>Mean number of non-pharmacological</w:t>
            </w:r>
            <w:r>
              <w:rPr>
                <w:b/>
                <w:bCs/>
                <w:lang w:val="en-US"/>
              </w:rPr>
              <w:t xml:space="preserve"> interventions received during follow-up (SE)</w:t>
            </w:r>
            <w:r>
              <w:rPr>
                <w:b/>
                <w:bCs/>
                <w:vertAlign w:val="superscript"/>
                <w:lang w:val="en-US"/>
              </w:rPr>
              <w:t>$</w:t>
            </w:r>
          </w:p>
        </w:tc>
        <w:tc>
          <w:tcPr>
            <w:tcW w:w="0" w:type="auto"/>
            <w:tcBorders>
              <w:left w:val="nil"/>
              <w:right w:val="nil"/>
            </w:tcBorders>
            <w:shd w:val="clear" w:color="auto" w:fill="auto"/>
          </w:tcPr>
          <w:p w14:paraId="213EEEC6" w14:textId="77777777" w:rsidR="005F104B" w:rsidRPr="00C9506C" w:rsidRDefault="005F104B" w:rsidP="007E28B9">
            <w:pPr>
              <w:spacing w:after="0" w:line="360" w:lineRule="auto"/>
              <w:rPr>
                <w:color w:val="000000"/>
                <w:lang w:val="en-US"/>
              </w:rPr>
            </w:pPr>
            <w:r>
              <w:rPr>
                <w:bCs/>
                <w:lang w:val="en-US"/>
              </w:rPr>
              <w:t>1,05 (0.10)</w:t>
            </w:r>
          </w:p>
        </w:tc>
        <w:tc>
          <w:tcPr>
            <w:tcW w:w="0" w:type="auto"/>
            <w:tcBorders>
              <w:left w:val="nil"/>
              <w:right w:val="nil"/>
            </w:tcBorders>
            <w:shd w:val="clear" w:color="auto" w:fill="auto"/>
          </w:tcPr>
          <w:p w14:paraId="065AEB97" w14:textId="77777777" w:rsidR="005F104B" w:rsidRPr="00C9506C" w:rsidRDefault="005F104B" w:rsidP="007E28B9">
            <w:pPr>
              <w:spacing w:after="0" w:line="360" w:lineRule="auto"/>
              <w:rPr>
                <w:color w:val="000000"/>
                <w:lang w:val="en-US"/>
              </w:rPr>
            </w:pPr>
            <w:r>
              <w:rPr>
                <w:bCs/>
                <w:lang w:val="en-US"/>
              </w:rPr>
              <w:t>1,40 (0.09)</w:t>
            </w:r>
          </w:p>
        </w:tc>
        <w:tc>
          <w:tcPr>
            <w:tcW w:w="0" w:type="auto"/>
            <w:tcBorders>
              <w:left w:val="nil"/>
              <w:right w:val="nil"/>
            </w:tcBorders>
          </w:tcPr>
          <w:p w14:paraId="690CA22C" w14:textId="77777777" w:rsidR="005F104B" w:rsidRPr="00C9506C" w:rsidRDefault="005F104B" w:rsidP="007E28B9">
            <w:pPr>
              <w:spacing w:after="0" w:line="360" w:lineRule="auto"/>
              <w:rPr>
                <w:bCs/>
                <w:lang w:val="en-US"/>
              </w:rPr>
            </w:pPr>
            <w:r>
              <w:rPr>
                <w:bCs/>
                <w:lang w:val="en-US"/>
              </w:rPr>
              <w:t>0.009</w:t>
            </w:r>
          </w:p>
        </w:tc>
        <w:tc>
          <w:tcPr>
            <w:tcW w:w="0" w:type="auto"/>
            <w:tcBorders>
              <w:left w:val="nil"/>
              <w:right w:val="nil"/>
            </w:tcBorders>
          </w:tcPr>
          <w:p w14:paraId="24B6532B" w14:textId="77777777" w:rsidR="005F104B" w:rsidRPr="00C9506C" w:rsidRDefault="005F104B" w:rsidP="007E28B9">
            <w:pPr>
              <w:spacing w:after="0" w:line="360" w:lineRule="auto"/>
              <w:rPr>
                <w:bCs/>
                <w:lang w:val="en-US"/>
              </w:rPr>
            </w:pPr>
            <w:r>
              <w:rPr>
                <w:bCs/>
                <w:lang w:val="en-US"/>
              </w:rPr>
              <w:t>n.a.</w:t>
            </w:r>
          </w:p>
        </w:tc>
      </w:tr>
      <w:tr w:rsidR="005F104B" w:rsidRPr="00C9506C" w14:paraId="490CCC4E" w14:textId="77777777" w:rsidTr="007E28B9">
        <w:tc>
          <w:tcPr>
            <w:tcW w:w="0" w:type="auto"/>
            <w:tcBorders>
              <w:left w:val="nil"/>
              <w:right w:val="nil"/>
            </w:tcBorders>
            <w:shd w:val="clear" w:color="auto" w:fill="auto"/>
          </w:tcPr>
          <w:p w14:paraId="275265D4" w14:textId="77777777" w:rsidR="005F104B" w:rsidRPr="00C9506C" w:rsidRDefault="005F104B" w:rsidP="007E28B9">
            <w:pPr>
              <w:spacing w:after="0" w:line="360" w:lineRule="auto"/>
              <w:rPr>
                <w:b/>
                <w:bCs/>
                <w:color w:val="000000"/>
                <w:vertAlign w:val="superscript"/>
                <w:lang w:val="en-US"/>
              </w:rPr>
            </w:pPr>
            <w:r w:rsidRPr="00C9506C">
              <w:rPr>
                <w:b/>
                <w:bCs/>
                <w:lang w:val="en-US"/>
              </w:rPr>
              <w:t>Mean number of follow-up visits in primary care (SE)</w:t>
            </w:r>
            <w:r>
              <w:rPr>
                <w:vertAlign w:val="superscript"/>
                <w:lang w:val="en-US"/>
              </w:rPr>
              <w:t>$</w:t>
            </w:r>
          </w:p>
        </w:tc>
        <w:tc>
          <w:tcPr>
            <w:tcW w:w="0" w:type="auto"/>
            <w:tcBorders>
              <w:left w:val="nil"/>
              <w:right w:val="nil"/>
            </w:tcBorders>
            <w:shd w:val="clear" w:color="auto" w:fill="auto"/>
          </w:tcPr>
          <w:p w14:paraId="1F194299" w14:textId="77777777" w:rsidR="005F104B" w:rsidRPr="00C9506C" w:rsidRDefault="005F104B" w:rsidP="007E28B9">
            <w:pPr>
              <w:spacing w:after="0" w:line="360" w:lineRule="auto"/>
              <w:rPr>
                <w:color w:val="000000"/>
                <w:lang w:val="en-US"/>
              </w:rPr>
            </w:pPr>
            <w:r w:rsidRPr="00C9506C">
              <w:rPr>
                <w:lang w:val="en-US"/>
              </w:rPr>
              <w:t>5.26 (0.52)</w:t>
            </w:r>
          </w:p>
        </w:tc>
        <w:tc>
          <w:tcPr>
            <w:tcW w:w="0" w:type="auto"/>
            <w:tcBorders>
              <w:left w:val="nil"/>
              <w:right w:val="nil"/>
            </w:tcBorders>
            <w:shd w:val="clear" w:color="auto" w:fill="auto"/>
          </w:tcPr>
          <w:p w14:paraId="271C98A0" w14:textId="77777777" w:rsidR="005F104B" w:rsidRPr="00C9506C" w:rsidRDefault="005F104B" w:rsidP="007E28B9">
            <w:pPr>
              <w:spacing w:after="0" w:line="360" w:lineRule="auto"/>
              <w:rPr>
                <w:color w:val="000000"/>
                <w:lang w:val="en-US"/>
              </w:rPr>
            </w:pPr>
            <w:r w:rsidRPr="00C9506C">
              <w:rPr>
                <w:color w:val="000000"/>
                <w:lang w:val="en-US"/>
              </w:rPr>
              <w:t>4.90 (0.45)</w:t>
            </w:r>
          </w:p>
        </w:tc>
        <w:tc>
          <w:tcPr>
            <w:tcW w:w="0" w:type="auto"/>
            <w:tcBorders>
              <w:left w:val="nil"/>
              <w:right w:val="nil"/>
            </w:tcBorders>
          </w:tcPr>
          <w:p w14:paraId="0F17F454" w14:textId="77777777" w:rsidR="005F104B" w:rsidRPr="00C9506C" w:rsidRDefault="005F104B" w:rsidP="007E28B9">
            <w:pPr>
              <w:spacing w:after="0" w:line="360" w:lineRule="auto"/>
              <w:rPr>
                <w:color w:val="000000"/>
                <w:lang w:val="en-US"/>
              </w:rPr>
            </w:pPr>
            <w:r>
              <w:rPr>
                <w:color w:val="000000"/>
                <w:lang w:val="en-US"/>
              </w:rPr>
              <w:t>0.621</w:t>
            </w:r>
          </w:p>
        </w:tc>
        <w:tc>
          <w:tcPr>
            <w:tcW w:w="0" w:type="auto"/>
            <w:tcBorders>
              <w:left w:val="nil"/>
              <w:right w:val="nil"/>
            </w:tcBorders>
          </w:tcPr>
          <w:p w14:paraId="2504ED35" w14:textId="77777777" w:rsidR="005F104B" w:rsidRPr="00C9506C" w:rsidRDefault="005F104B" w:rsidP="007E28B9">
            <w:pPr>
              <w:spacing w:after="0" w:line="360" w:lineRule="auto"/>
              <w:rPr>
                <w:color w:val="000000"/>
                <w:lang w:val="en-US"/>
              </w:rPr>
            </w:pPr>
            <w:r>
              <w:rPr>
                <w:color w:val="000000"/>
                <w:lang w:val="en-US"/>
              </w:rPr>
              <w:t>n.a.</w:t>
            </w:r>
          </w:p>
        </w:tc>
      </w:tr>
      <w:tr w:rsidR="005F104B" w:rsidRPr="000900F5" w14:paraId="44F4E93C" w14:textId="77777777" w:rsidTr="007E28B9">
        <w:tc>
          <w:tcPr>
            <w:tcW w:w="0" w:type="auto"/>
            <w:tcBorders>
              <w:left w:val="nil"/>
              <w:right w:val="nil"/>
            </w:tcBorders>
            <w:shd w:val="clear" w:color="auto" w:fill="auto"/>
          </w:tcPr>
          <w:p w14:paraId="0B069775" w14:textId="77777777" w:rsidR="005F104B" w:rsidRPr="00C9506C" w:rsidRDefault="005F104B" w:rsidP="007E28B9">
            <w:pPr>
              <w:spacing w:after="0" w:line="360" w:lineRule="auto"/>
              <w:rPr>
                <w:b/>
                <w:bCs/>
                <w:color w:val="000000"/>
                <w:lang w:val="en-US"/>
              </w:rPr>
            </w:pPr>
            <w:r w:rsidRPr="00C9506C">
              <w:rPr>
                <w:b/>
                <w:bCs/>
                <w:lang w:val="en-US"/>
              </w:rPr>
              <w:t>Non-pharmacological interventions received, % (n)</w:t>
            </w:r>
            <w:r w:rsidRPr="00C9506C">
              <w:rPr>
                <w:b/>
                <w:bCs/>
                <w:vertAlign w:val="superscript"/>
                <w:lang w:val="en-US"/>
              </w:rPr>
              <w:t>$</w:t>
            </w:r>
          </w:p>
        </w:tc>
        <w:tc>
          <w:tcPr>
            <w:tcW w:w="0" w:type="auto"/>
            <w:tcBorders>
              <w:left w:val="nil"/>
              <w:right w:val="nil"/>
            </w:tcBorders>
            <w:shd w:val="clear" w:color="auto" w:fill="auto"/>
          </w:tcPr>
          <w:p w14:paraId="16ED0779" w14:textId="77777777" w:rsidR="005F104B" w:rsidRPr="00C9506C" w:rsidRDefault="005F104B" w:rsidP="007E28B9">
            <w:pPr>
              <w:spacing w:after="0" w:line="360" w:lineRule="auto"/>
              <w:rPr>
                <w:color w:val="000000"/>
                <w:lang w:val="en-US"/>
              </w:rPr>
            </w:pPr>
          </w:p>
        </w:tc>
        <w:tc>
          <w:tcPr>
            <w:tcW w:w="0" w:type="auto"/>
            <w:tcBorders>
              <w:left w:val="nil"/>
              <w:right w:val="nil"/>
            </w:tcBorders>
            <w:shd w:val="clear" w:color="auto" w:fill="auto"/>
          </w:tcPr>
          <w:p w14:paraId="1E4467A1"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41484795" w14:textId="77777777" w:rsidR="005F104B" w:rsidRPr="00C9506C" w:rsidRDefault="005F104B" w:rsidP="007E28B9">
            <w:pPr>
              <w:spacing w:after="0" w:line="360" w:lineRule="auto"/>
              <w:rPr>
                <w:color w:val="000000"/>
                <w:lang w:val="en-US"/>
              </w:rPr>
            </w:pPr>
          </w:p>
        </w:tc>
        <w:tc>
          <w:tcPr>
            <w:tcW w:w="0" w:type="auto"/>
            <w:tcBorders>
              <w:left w:val="nil"/>
              <w:right w:val="nil"/>
            </w:tcBorders>
          </w:tcPr>
          <w:p w14:paraId="0CEEEC89" w14:textId="77777777" w:rsidR="005F104B" w:rsidRPr="00C9506C" w:rsidRDefault="005F104B" w:rsidP="007E28B9">
            <w:pPr>
              <w:spacing w:after="0" w:line="360" w:lineRule="auto"/>
              <w:rPr>
                <w:color w:val="000000"/>
                <w:lang w:val="en-US"/>
              </w:rPr>
            </w:pPr>
          </w:p>
        </w:tc>
      </w:tr>
    </w:tbl>
    <w:p w14:paraId="27030303" w14:textId="77777777" w:rsidR="005F104B" w:rsidRPr="00464E67" w:rsidRDefault="005F104B" w:rsidP="004F3E5A">
      <w:pPr>
        <w:jc w:val="both"/>
        <w:rPr>
          <w:rFonts w:ascii="Times New Roman" w:hAnsi="Times New Roman" w:cs="Times New Roman"/>
          <w:lang w:val="en-US"/>
        </w:rPr>
      </w:pPr>
    </w:p>
    <w:p w14:paraId="5A329F62" w14:textId="77777777" w:rsidR="00F51D8E" w:rsidRPr="00C9506C" w:rsidRDefault="00F51D8E" w:rsidP="00F51D8E">
      <w:pPr>
        <w:rPr>
          <w:lang w:val="en-US"/>
        </w:rPr>
      </w:pPr>
      <w:r w:rsidRPr="00C9506C">
        <w:rPr>
          <w:lang w:val="en-US"/>
        </w:rPr>
        <w:lastRenderedPageBreak/>
        <w:t xml:space="preserve">Table </w:t>
      </w:r>
      <w:r>
        <w:rPr>
          <w:lang w:val="en-US"/>
        </w:rPr>
        <w:t>3</w:t>
      </w:r>
      <w:r w:rsidRPr="00C9506C">
        <w:rPr>
          <w:lang w:val="en-US"/>
        </w:rPr>
        <w:t xml:space="preserve">. Antidepressants incremental cost-utility ratios at 6 and 12-month follow-up for the main and sensitivity analyses*  </w:t>
      </w:r>
    </w:p>
    <w:tbl>
      <w:tblPr>
        <w:tblStyle w:val="TableGrid"/>
        <w:tblW w:w="1428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1734"/>
        <w:gridCol w:w="1843"/>
        <w:gridCol w:w="1533"/>
        <w:gridCol w:w="2335"/>
        <w:gridCol w:w="1802"/>
        <w:gridCol w:w="1667"/>
      </w:tblGrid>
      <w:tr w:rsidR="00F51D8E" w:rsidRPr="0037024D" w14:paraId="2A5D367D" w14:textId="77777777" w:rsidTr="007E28B9">
        <w:trPr>
          <w:trHeight w:val="765"/>
        </w:trPr>
        <w:tc>
          <w:tcPr>
            <w:tcW w:w="3369" w:type="dxa"/>
            <w:noWrap/>
            <w:hideMark/>
          </w:tcPr>
          <w:p w14:paraId="6319683D" w14:textId="77777777" w:rsidR="00F51D8E" w:rsidRPr="0037024D" w:rsidRDefault="00F51D8E" w:rsidP="007E28B9">
            <w:pPr>
              <w:spacing w:line="360" w:lineRule="auto"/>
              <w:rPr>
                <w:rFonts w:eastAsia="Times New Roman" w:cs="Calibri"/>
                <w:lang w:val="en-US"/>
              </w:rPr>
            </w:pPr>
          </w:p>
        </w:tc>
        <w:tc>
          <w:tcPr>
            <w:tcW w:w="1734" w:type="dxa"/>
            <w:hideMark/>
          </w:tcPr>
          <w:p w14:paraId="60C0CCB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Cost difference € (95% CI)</w:t>
            </w:r>
          </w:p>
        </w:tc>
        <w:tc>
          <w:tcPr>
            <w:tcW w:w="1843" w:type="dxa"/>
            <w:hideMark/>
          </w:tcPr>
          <w:p w14:paraId="5F7B7408"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Difference in QALY (95% CI)</w:t>
            </w:r>
          </w:p>
        </w:tc>
        <w:tc>
          <w:tcPr>
            <w:tcW w:w="1533" w:type="dxa"/>
          </w:tcPr>
          <w:p w14:paraId="1E1F3D09"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ICUR (€/QALY)</w:t>
            </w:r>
          </w:p>
        </w:tc>
        <w:tc>
          <w:tcPr>
            <w:tcW w:w="2335" w:type="dxa"/>
          </w:tcPr>
          <w:p w14:paraId="2F754BDA"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 xml:space="preserve">Cost difference € </w:t>
            </w:r>
          </w:p>
          <w:p w14:paraId="41EBABE8"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(95% CI)</w:t>
            </w:r>
          </w:p>
        </w:tc>
        <w:tc>
          <w:tcPr>
            <w:tcW w:w="1802" w:type="dxa"/>
          </w:tcPr>
          <w:p w14:paraId="092EC897"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Difference in QALY (95% CI)</w:t>
            </w:r>
          </w:p>
        </w:tc>
        <w:tc>
          <w:tcPr>
            <w:tcW w:w="1667" w:type="dxa"/>
          </w:tcPr>
          <w:p w14:paraId="62D1EC25"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ICUR (€/QALY)</w:t>
            </w:r>
          </w:p>
        </w:tc>
      </w:tr>
      <w:tr w:rsidR="00F51D8E" w:rsidRPr="0037024D" w14:paraId="660C52DC" w14:textId="77777777" w:rsidTr="007E28B9">
        <w:trPr>
          <w:trHeight w:val="255"/>
        </w:trPr>
        <w:tc>
          <w:tcPr>
            <w:tcW w:w="3369" w:type="dxa"/>
            <w:tcBorders>
              <w:bottom w:val="single" w:sz="4" w:space="0" w:color="auto"/>
            </w:tcBorders>
            <w:noWrap/>
            <w:hideMark/>
          </w:tcPr>
          <w:p w14:paraId="5500143A" w14:textId="77777777" w:rsidR="00F51D8E" w:rsidRPr="0037024D" w:rsidRDefault="00F51D8E" w:rsidP="007E28B9">
            <w:pPr>
              <w:spacing w:line="360" w:lineRule="auto"/>
              <w:rPr>
                <w:rFonts w:eastAsia="Times New Roman" w:cs="Calibri"/>
                <w:b/>
                <w:lang w:val="en-US"/>
              </w:rPr>
            </w:pPr>
          </w:p>
        </w:tc>
        <w:tc>
          <w:tcPr>
            <w:tcW w:w="1734" w:type="dxa"/>
            <w:tcBorders>
              <w:bottom w:val="single" w:sz="4" w:space="0" w:color="auto"/>
            </w:tcBorders>
            <w:hideMark/>
          </w:tcPr>
          <w:p w14:paraId="7F14E576"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6-month follow-up</w:t>
            </w:r>
          </w:p>
        </w:tc>
        <w:tc>
          <w:tcPr>
            <w:tcW w:w="1843" w:type="dxa"/>
            <w:tcBorders>
              <w:bottom w:val="single" w:sz="4" w:space="0" w:color="auto"/>
            </w:tcBorders>
            <w:hideMark/>
          </w:tcPr>
          <w:p w14:paraId="5FB3CB63" w14:textId="77777777" w:rsidR="00F51D8E" w:rsidRPr="0037024D" w:rsidRDefault="00F51D8E" w:rsidP="007E28B9">
            <w:pPr>
              <w:spacing w:line="360" w:lineRule="auto"/>
              <w:rPr>
                <w:rFonts w:eastAsia="Times New Roman" w:cs="Calibri"/>
                <w:b/>
                <w:lang w:val="en-US"/>
              </w:rPr>
            </w:pPr>
          </w:p>
        </w:tc>
        <w:tc>
          <w:tcPr>
            <w:tcW w:w="1533" w:type="dxa"/>
            <w:tcBorders>
              <w:bottom w:val="single" w:sz="4" w:space="0" w:color="auto"/>
            </w:tcBorders>
          </w:tcPr>
          <w:p w14:paraId="0F8E87FC" w14:textId="77777777" w:rsidR="00F51D8E" w:rsidRPr="0037024D" w:rsidRDefault="00F51D8E" w:rsidP="007E28B9">
            <w:pPr>
              <w:spacing w:line="360" w:lineRule="auto"/>
              <w:rPr>
                <w:rFonts w:eastAsia="Times New Roman" w:cs="Calibri"/>
                <w:b/>
                <w:lang w:val="en-US"/>
              </w:rPr>
            </w:pPr>
          </w:p>
        </w:tc>
        <w:tc>
          <w:tcPr>
            <w:tcW w:w="2335" w:type="dxa"/>
            <w:tcBorders>
              <w:bottom w:val="single" w:sz="4" w:space="0" w:color="auto"/>
            </w:tcBorders>
          </w:tcPr>
          <w:p w14:paraId="6A037B0D"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12-month follow-up</w:t>
            </w:r>
          </w:p>
        </w:tc>
        <w:tc>
          <w:tcPr>
            <w:tcW w:w="1802" w:type="dxa"/>
            <w:tcBorders>
              <w:bottom w:val="single" w:sz="4" w:space="0" w:color="auto"/>
            </w:tcBorders>
          </w:tcPr>
          <w:p w14:paraId="22949DE2" w14:textId="77777777" w:rsidR="00F51D8E" w:rsidRPr="0037024D" w:rsidRDefault="00F51D8E" w:rsidP="007E28B9">
            <w:pPr>
              <w:spacing w:line="360" w:lineRule="auto"/>
              <w:rPr>
                <w:rFonts w:eastAsia="Times New Roman" w:cs="Calibri"/>
                <w:b/>
                <w:lang w:val="en-US"/>
              </w:rPr>
            </w:pPr>
          </w:p>
        </w:tc>
        <w:tc>
          <w:tcPr>
            <w:tcW w:w="1667" w:type="dxa"/>
            <w:tcBorders>
              <w:bottom w:val="single" w:sz="4" w:space="0" w:color="auto"/>
            </w:tcBorders>
          </w:tcPr>
          <w:p w14:paraId="3A7999C1" w14:textId="77777777" w:rsidR="00F51D8E" w:rsidRPr="0037024D" w:rsidRDefault="00F51D8E" w:rsidP="007E28B9">
            <w:pPr>
              <w:spacing w:line="360" w:lineRule="auto"/>
              <w:rPr>
                <w:rFonts w:eastAsia="Times New Roman" w:cs="Calibri"/>
                <w:b/>
                <w:lang w:val="en-US"/>
              </w:rPr>
            </w:pPr>
          </w:p>
        </w:tc>
      </w:tr>
      <w:tr w:rsidR="00F51D8E" w:rsidRPr="0037024D" w14:paraId="65ABCC66" w14:textId="77777777" w:rsidTr="007E28B9">
        <w:trPr>
          <w:trHeight w:val="255"/>
        </w:trPr>
        <w:tc>
          <w:tcPr>
            <w:tcW w:w="3369" w:type="dxa"/>
            <w:tcBorders>
              <w:bottom w:val="nil"/>
            </w:tcBorders>
            <w:noWrap/>
          </w:tcPr>
          <w:p w14:paraId="01D3A249"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Main analysis (ITT)</w:t>
            </w:r>
          </w:p>
        </w:tc>
        <w:tc>
          <w:tcPr>
            <w:tcW w:w="1734" w:type="dxa"/>
            <w:tcBorders>
              <w:bottom w:val="nil"/>
            </w:tcBorders>
            <w:noWrap/>
          </w:tcPr>
          <w:p w14:paraId="2F056E43" w14:textId="77777777" w:rsidR="00F51D8E" w:rsidRPr="0037024D" w:rsidRDefault="00F51D8E" w:rsidP="007E28B9">
            <w:pPr>
              <w:spacing w:line="360" w:lineRule="auto"/>
              <w:rPr>
                <w:rFonts w:eastAsia="Times New Roman" w:cs="Calibri"/>
                <w:lang w:val="en-US"/>
              </w:rPr>
            </w:pPr>
          </w:p>
        </w:tc>
        <w:tc>
          <w:tcPr>
            <w:tcW w:w="1843" w:type="dxa"/>
            <w:tcBorders>
              <w:bottom w:val="nil"/>
            </w:tcBorders>
            <w:noWrap/>
          </w:tcPr>
          <w:p w14:paraId="7E63CC77" w14:textId="77777777" w:rsidR="00F51D8E" w:rsidRPr="0037024D" w:rsidRDefault="00F51D8E" w:rsidP="007E28B9">
            <w:pPr>
              <w:spacing w:line="360" w:lineRule="auto"/>
              <w:rPr>
                <w:rFonts w:eastAsia="Times New Roman" w:cs="Calibri"/>
                <w:lang w:val="en-US"/>
              </w:rPr>
            </w:pPr>
          </w:p>
        </w:tc>
        <w:tc>
          <w:tcPr>
            <w:tcW w:w="1533" w:type="dxa"/>
            <w:tcBorders>
              <w:bottom w:val="nil"/>
            </w:tcBorders>
          </w:tcPr>
          <w:p w14:paraId="55A7F70D" w14:textId="77777777" w:rsidR="00F51D8E" w:rsidRPr="0037024D" w:rsidRDefault="00F51D8E" w:rsidP="007E28B9">
            <w:pPr>
              <w:spacing w:line="360" w:lineRule="auto"/>
              <w:jc w:val="right"/>
              <w:rPr>
                <w:rFonts w:eastAsia="Times New Roman" w:cs="Calibri"/>
                <w:lang w:val="en-US"/>
              </w:rPr>
            </w:pPr>
          </w:p>
        </w:tc>
        <w:tc>
          <w:tcPr>
            <w:tcW w:w="2335" w:type="dxa"/>
            <w:tcBorders>
              <w:bottom w:val="nil"/>
            </w:tcBorders>
          </w:tcPr>
          <w:p w14:paraId="27BD9773" w14:textId="77777777" w:rsidR="00F51D8E" w:rsidRPr="0037024D" w:rsidRDefault="00F51D8E" w:rsidP="007E28B9">
            <w:pPr>
              <w:spacing w:line="360" w:lineRule="auto"/>
              <w:jc w:val="right"/>
              <w:rPr>
                <w:rFonts w:eastAsia="Times New Roman" w:cs="Calibri"/>
                <w:lang w:val="en-US"/>
              </w:rPr>
            </w:pPr>
          </w:p>
        </w:tc>
        <w:tc>
          <w:tcPr>
            <w:tcW w:w="1802" w:type="dxa"/>
            <w:tcBorders>
              <w:bottom w:val="nil"/>
            </w:tcBorders>
          </w:tcPr>
          <w:p w14:paraId="2F67D592" w14:textId="77777777" w:rsidR="00F51D8E" w:rsidRPr="0037024D" w:rsidRDefault="00F51D8E" w:rsidP="007E28B9">
            <w:pPr>
              <w:spacing w:line="360" w:lineRule="auto"/>
              <w:jc w:val="right"/>
              <w:rPr>
                <w:rFonts w:eastAsia="Times New Roman" w:cs="Calibri"/>
                <w:lang w:val="en-US"/>
              </w:rPr>
            </w:pPr>
          </w:p>
        </w:tc>
        <w:tc>
          <w:tcPr>
            <w:tcW w:w="1667" w:type="dxa"/>
            <w:tcBorders>
              <w:bottom w:val="nil"/>
            </w:tcBorders>
          </w:tcPr>
          <w:p w14:paraId="3D78FDC2" w14:textId="77777777" w:rsidR="00F51D8E" w:rsidRPr="0037024D" w:rsidRDefault="00F51D8E" w:rsidP="007E28B9">
            <w:pPr>
              <w:spacing w:line="360" w:lineRule="auto"/>
              <w:jc w:val="right"/>
              <w:rPr>
                <w:rFonts w:eastAsia="Times New Roman" w:cs="Calibri"/>
                <w:lang w:val="en-US"/>
              </w:rPr>
            </w:pPr>
          </w:p>
        </w:tc>
      </w:tr>
      <w:tr w:rsidR="00F51D8E" w:rsidRPr="0037024D" w14:paraId="06B349CC" w14:textId="77777777" w:rsidTr="007E28B9">
        <w:trPr>
          <w:trHeight w:val="255"/>
        </w:trPr>
        <w:tc>
          <w:tcPr>
            <w:tcW w:w="3369" w:type="dxa"/>
            <w:tcBorders>
              <w:top w:val="nil"/>
              <w:bottom w:val="nil"/>
            </w:tcBorders>
            <w:noWrap/>
            <w:hideMark/>
          </w:tcPr>
          <w:p w14:paraId="0ACD457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Healthcare perspective</w:t>
            </w:r>
          </w:p>
        </w:tc>
        <w:tc>
          <w:tcPr>
            <w:tcW w:w="1734" w:type="dxa"/>
            <w:tcBorders>
              <w:top w:val="nil"/>
              <w:bottom w:val="nil"/>
            </w:tcBorders>
            <w:noWrap/>
            <w:hideMark/>
          </w:tcPr>
          <w:p w14:paraId="7FEF9D7B"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27.6 (-102.0, 157.2)</w:t>
            </w:r>
          </w:p>
        </w:tc>
        <w:tc>
          <w:tcPr>
            <w:tcW w:w="1843" w:type="dxa"/>
            <w:tcBorders>
              <w:top w:val="nil"/>
              <w:bottom w:val="nil"/>
            </w:tcBorders>
            <w:noWrap/>
            <w:hideMark/>
          </w:tcPr>
          <w:p w14:paraId="2679660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0.01 (-0.01, 0.03)</w:t>
            </w:r>
          </w:p>
        </w:tc>
        <w:tc>
          <w:tcPr>
            <w:tcW w:w="1533" w:type="dxa"/>
            <w:tcBorders>
              <w:top w:val="nil"/>
              <w:bottom w:val="nil"/>
            </w:tcBorders>
          </w:tcPr>
          <w:p w14:paraId="1A4CEFF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2549 (-4616; 8413)</w:t>
            </w:r>
          </w:p>
        </w:tc>
        <w:tc>
          <w:tcPr>
            <w:tcW w:w="2335" w:type="dxa"/>
            <w:tcBorders>
              <w:top w:val="nil"/>
              <w:bottom w:val="nil"/>
            </w:tcBorders>
          </w:tcPr>
          <w:p w14:paraId="149FB300"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156 (-149, 461)</w:t>
            </w:r>
          </w:p>
        </w:tc>
        <w:tc>
          <w:tcPr>
            <w:tcW w:w="1802" w:type="dxa"/>
            <w:tcBorders>
              <w:top w:val="nil"/>
              <w:bottom w:val="nil"/>
            </w:tcBorders>
          </w:tcPr>
          <w:p w14:paraId="4DA2C4AA" w14:textId="77777777" w:rsidR="00F51D8E" w:rsidRPr="0037024D" w:rsidRDefault="00F51D8E" w:rsidP="007E28B9">
            <w:pPr>
              <w:spacing w:line="360" w:lineRule="auto"/>
              <w:rPr>
                <w:lang w:val="en-US"/>
              </w:rPr>
            </w:pPr>
            <w:r w:rsidRPr="0037024D">
              <w:rPr>
                <w:rFonts w:eastAsia="Times New Roman" w:cs="Calibri"/>
                <w:lang w:val="en-US"/>
              </w:rPr>
              <w:t>0.03 (-0.01, 0.06)</w:t>
            </w:r>
          </w:p>
        </w:tc>
        <w:tc>
          <w:tcPr>
            <w:tcW w:w="1667" w:type="dxa"/>
            <w:tcBorders>
              <w:top w:val="nil"/>
              <w:bottom w:val="nil"/>
            </w:tcBorders>
          </w:tcPr>
          <w:p w14:paraId="785F9A67"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6142 (-30117; 40286)</w:t>
            </w:r>
          </w:p>
        </w:tc>
      </w:tr>
      <w:tr w:rsidR="00F51D8E" w:rsidRPr="0037024D" w14:paraId="1B5835C9" w14:textId="77777777" w:rsidTr="007E28B9">
        <w:trPr>
          <w:trHeight w:val="255"/>
        </w:trPr>
        <w:tc>
          <w:tcPr>
            <w:tcW w:w="3369" w:type="dxa"/>
            <w:tcBorders>
              <w:top w:val="nil"/>
              <w:bottom w:val="nil"/>
            </w:tcBorders>
            <w:noWrap/>
            <w:hideMark/>
          </w:tcPr>
          <w:p w14:paraId="2722CBA3"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Government perspective</w:t>
            </w:r>
          </w:p>
        </w:tc>
        <w:tc>
          <w:tcPr>
            <w:tcW w:w="1734" w:type="dxa"/>
            <w:tcBorders>
              <w:top w:val="nil"/>
              <w:bottom w:val="nil"/>
            </w:tcBorders>
            <w:noWrap/>
            <w:hideMark/>
          </w:tcPr>
          <w:p w14:paraId="7CEAEC5A"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23.6 (-289.4, 336.5)</w:t>
            </w:r>
          </w:p>
        </w:tc>
        <w:tc>
          <w:tcPr>
            <w:tcW w:w="1843" w:type="dxa"/>
            <w:tcBorders>
              <w:top w:val="nil"/>
              <w:bottom w:val="nil"/>
            </w:tcBorders>
            <w:noWrap/>
            <w:hideMark/>
          </w:tcPr>
          <w:p w14:paraId="5B7A251D"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0.01 (-0.01, 0.03)</w:t>
            </w:r>
          </w:p>
        </w:tc>
        <w:tc>
          <w:tcPr>
            <w:tcW w:w="1533" w:type="dxa"/>
            <w:tcBorders>
              <w:top w:val="nil"/>
              <w:bottom w:val="nil"/>
            </w:tcBorders>
          </w:tcPr>
          <w:p w14:paraId="77EEC371"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2177</w:t>
            </w:r>
            <w:r>
              <w:rPr>
                <w:rFonts w:eastAsia="Times New Roman" w:cs="Calibri"/>
                <w:lang w:val="en-US"/>
              </w:rPr>
              <w:t xml:space="preserve"> (-5394; 12088)</w:t>
            </w:r>
          </w:p>
        </w:tc>
        <w:tc>
          <w:tcPr>
            <w:tcW w:w="2335" w:type="dxa"/>
            <w:tcBorders>
              <w:top w:val="nil"/>
              <w:bottom w:val="nil"/>
            </w:tcBorders>
          </w:tcPr>
          <w:p w14:paraId="1DCCB433"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269 (-260, 798)</w:t>
            </w:r>
          </w:p>
        </w:tc>
        <w:tc>
          <w:tcPr>
            <w:tcW w:w="1802" w:type="dxa"/>
            <w:tcBorders>
              <w:top w:val="nil"/>
              <w:bottom w:val="nil"/>
            </w:tcBorders>
          </w:tcPr>
          <w:p w14:paraId="5129BC9A"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0.03 (-0.01, 0.06)</w:t>
            </w:r>
          </w:p>
        </w:tc>
        <w:tc>
          <w:tcPr>
            <w:tcW w:w="1667" w:type="dxa"/>
            <w:tcBorders>
              <w:top w:val="nil"/>
              <w:bottom w:val="nil"/>
            </w:tcBorders>
          </w:tcPr>
          <w:p w14:paraId="49354300"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10593 (-62446; 87687)</w:t>
            </w:r>
          </w:p>
        </w:tc>
      </w:tr>
      <w:tr w:rsidR="00F51D8E" w:rsidRPr="0037024D" w14:paraId="65F7213C" w14:textId="77777777" w:rsidTr="007E28B9">
        <w:trPr>
          <w:trHeight w:val="255"/>
        </w:trPr>
        <w:tc>
          <w:tcPr>
            <w:tcW w:w="3369" w:type="dxa"/>
            <w:tcBorders>
              <w:top w:val="nil"/>
              <w:bottom w:val="nil"/>
            </w:tcBorders>
            <w:noWrap/>
          </w:tcPr>
          <w:p w14:paraId="2214313E" w14:textId="77777777" w:rsidR="00F51D8E" w:rsidRPr="0037024D" w:rsidRDefault="00F51D8E" w:rsidP="007E28B9">
            <w:pPr>
              <w:spacing w:line="360" w:lineRule="auto"/>
              <w:rPr>
                <w:rFonts w:eastAsia="Times New Roman" w:cs="Calibri"/>
                <w:lang w:val="en-US"/>
              </w:rPr>
            </w:pPr>
            <w:r w:rsidRPr="0037024D">
              <w:rPr>
                <w:rFonts w:eastAsia="Times New Roman" w:cs="Calibri"/>
                <w:b/>
                <w:lang w:val="en-US"/>
              </w:rPr>
              <w:t>Sensitivity analyses</w:t>
            </w:r>
          </w:p>
        </w:tc>
        <w:tc>
          <w:tcPr>
            <w:tcW w:w="1734" w:type="dxa"/>
            <w:tcBorders>
              <w:top w:val="nil"/>
              <w:bottom w:val="nil"/>
            </w:tcBorders>
            <w:noWrap/>
          </w:tcPr>
          <w:p w14:paraId="7BB1ED76" w14:textId="77777777" w:rsidR="00F51D8E" w:rsidRPr="0037024D" w:rsidRDefault="00F51D8E" w:rsidP="007E28B9">
            <w:pPr>
              <w:spacing w:line="360" w:lineRule="auto"/>
              <w:rPr>
                <w:rFonts w:eastAsia="Times New Roman" w:cs="Calibri"/>
                <w:lang w:val="en-US"/>
              </w:rPr>
            </w:pPr>
          </w:p>
        </w:tc>
        <w:tc>
          <w:tcPr>
            <w:tcW w:w="1843" w:type="dxa"/>
            <w:tcBorders>
              <w:top w:val="nil"/>
              <w:bottom w:val="nil"/>
            </w:tcBorders>
            <w:noWrap/>
          </w:tcPr>
          <w:p w14:paraId="73EFD52E" w14:textId="77777777" w:rsidR="00F51D8E" w:rsidRPr="0037024D" w:rsidRDefault="00F51D8E" w:rsidP="007E28B9">
            <w:pPr>
              <w:spacing w:line="360" w:lineRule="auto"/>
              <w:rPr>
                <w:rFonts w:eastAsia="Times New Roman" w:cs="Calibri"/>
                <w:lang w:val="en-US"/>
              </w:rPr>
            </w:pPr>
          </w:p>
        </w:tc>
        <w:tc>
          <w:tcPr>
            <w:tcW w:w="1533" w:type="dxa"/>
            <w:tcBorders>
              <w:top w:val="nil"/>
              <w:bottom w:val="nil"/>
            </w:tcBorders>
          </w:tcPr>
          <w:p w14:paraId="52D235BA" w14:textId="77777777" w:rsidR="00F51D8E" w:rsidRPr="0037024D" w:rsidRDefault="00F51D8E" w:rsidP="007E28B9">
            <w:pPr>
              <w:spacing w:line="360" w:lineRule="auto"/>
              <w:rPr>
                <w:rFonts w:eastAsia="Times New Roman" w:cs="Calibri"/>
                <w:lang w:val="en-US"/>
              </w:rPr>
            </w:pPr>
          </w:p>
        </w:tc>
        <w:tc>
          <w:tcPr>
            <w:tcW w:w="2335" w:type="dxa"/>
            <w:tcBorders>
              <w:top w:val="nil"/>
              <w:bottom w:val="nil"/>
            </w:tcBorders>
          </w:tcPr>
          <w:p w14:paraId="65640FB0" w14:textId="77777777" w:rsidR="00F51D8E" w:rsidRPr="0037024D" w:rsidRDefault="00F51D8E" w:rsidP="007E28B9">
            <w:pPr>
              <w:spacing w:line="360" w:lineRule="auto"/>
              <w:jc w:val="right"/>
              <w:rPr>
                <w:rFonts w:eastAsia="Times New Roman" w:cs="Calibri"/>
                <w:lang w:val="en-US"/>
              </w:rPr>
            </w:pPr>
          </w:p>
        </w:tc>
        <w:tc>
          <w:tcPr>
            <w:tcW w:w="1802" w:type="dxa"/>
            <w:tcBorders>
              <w:top w:val="nil"/>
              <w:bottom w:val="nil"/>
            </w:tcBorders>
          </w:tcPr>
          <w:p w14:paraId="4ABABB16" w14:textId="77777777" w:rsidR="00F51D8E" w:rsidRPr="0037024D" w:rsidRDefault="00F51D8E" w:rsidP="007E28B9">
            <w:pPr>
              <w:spacing w:line="360" w:lineRule="auto"/>
              <w:jc w:val="right"/>
              <w:rPr>
                <w:rFonts w:eastAsia="Times New Roman" w:cs="Calibri"/>
                <w:lang w:val="en-US"/>
              </w:rPr>
            </w:pPr>
          </w:p>
        </w:tc>
        <w:tc>
          <w:tcPr>
            <w:tcW w:w="1667" w:type="dxa"/>
            <w:tcBorders>
              <w:top w:val="nil"/>
              <w:bottom w:val="nil"/>
            </w:tcBorders>
          </w:tcPr>
          <w:p w14:paraId="78A82743" w14:textId="77777777" w:rsidR="00F51D8E" w:rsidRPr="0037024D" w:rsidRDefault="00F51D8E" w:rsidP="007E28B9">
            <w:pPr>
              <w:spacing w:line="360" w:lineRule="auto"/>
              <w:rPr>
                <w:rFonts w:eastAsia="Times New Roman" w:cs="Calibri"/>
                <w:lang w:val="en-US"/>
              </w:rPr>
            </w:pPr>
          </w:p>
        </w:tc>
      </w:tr>
      <w:tr w:rsidR="00F51D8E" w:rsidRPr="0037024D" w14:paraId="4BAC75A1" w14:textId="77777777" w:rsidTr="007E28B9">
        <w:trPr>
          <w:trHeight w:val="255"/>
        </w:trPr>
        <w:tc>
          <w:tcPr>
            <w:tcW w:w="3369" w:type="dxa"/>
            <w:tcBorders>
              <w:top w:val="nil"/>
              <w:bottom w:val="nil"/>
            </w:tcBorders>
            <w:noWrap/>
            <w:hideMark/>
          </w:tcPr>
          <w:p w14:paraId="54C2EA37"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Analysis with generalized linear models (no correction for propensity score)</w:t>
            </w:r>
          </w:p>
        </w:tc>
        <w:tc>
          <w:tcPr>
            <w:tcW w:w="1734" w:type="dxa"/>
            <w:tcBorders>
              <w:top w:val="nil"/>
              <w:bottom w:val="nil"/>
            </w:tcBorders>
            <w:noWrap/>
            <w:hideMark/>
          </w:tcPr>
          <w:p w14:paraId="54A01DA4"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137.6 (-246.4, 521.6)</w:t>
            </w:r>
          </w:p>
        </w:tc>
        <w:tc>
          <w:tcPr>
            <w:tcW w:w="1843" w:type="dxa"/>
            <w:tcBorders>
              <w:top w:val="nil"/>
              <w:bottom w:val="nil"/>
            </w:tcBorders>
            <w:noWrap/>
            <w:hideMark/>
          </w:tcPr>
          <w:p w14:paraId="1D9DF85E"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0.01 (0.002, 0.025)</w:t>
            </w:r>
          </w:p>
        </w:tc>
        <w:tc>
          <w:tcPr>
            <w:tcW w:w="1533" w:type="dxa"/>
            <w:tcBorders>
              <w:top w:val="nil"/>
              <w:bottom w:val="nil"/>
            </w:tcBorders>
          </w:tcPr>
          <w:p w14:paraId="504DF52E"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10226 (4991; 20625)</w:t>
            </w:r>
          </w:p>
        </w:tc>
        <w:tc>
          <w:tcPr>
            <w:tcW w:w="2335" w:type="dxa"/>
            <w:tcBorders>
              <w:top w:val="nil"/>
              <w:bottom w:val="nil"/>
            </w:tcBorders>
          </w:tcPr>
          <w:p w14:paraId="59C3C70B"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294.9 (-298.6, 888.4)</w:t>
            </w:r>
          </w:p>
        </w:tc>
        <w:tc>
          <w:tcPr>
            <w:tcW w:w="1802" w:type="dxa"/>
            <w:tcBorders>
              <w:top w:val="nil"/>
              <w:bottom w:val="nil"/>
            </w:tcBorders>
          </w:tcPr>
          <w:p w14:paraId="46B7C8F6"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0.04 (-0.01, 0.09)</w:t>
            </w:r>
          </w:p>
        </w:tc>
        <w:tc>
          <w:tcPr>
            <w:tcW w:w="1667" w:type="dxa"/>
            <w:tcBorders>
              <w:top w:val="nil"/>
              <w:bottom w:val="nil"/>
            </w:tcBorders>
          </w:tcPr>
          <w:p w14:paraId="13A568A6"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10241 (-16288; 92294)</w:t>
            </w:r>
          </w:p>
        </w:tc>
      </w:tr>
      <w:tr w:rsidR="00F51D8E" w:rsidRPr="0037024D" w14:paraId="7288151A" w14:textId="77777777" w:rsidTr="007E28B9">
        <w:trPr>
          <w:trHeight w:val="255"/>
        </w:trPr>
        <w:tc>
          <w:tcPr>
            <w:tcW w:w="3369" w:type="dxa"/>
            <w:tcBorders>
              <w:top w:val="nil"/>
              <w:bottom w:val="nil"/>
            </w:tcBorders>
            <w:noWrap/>
          </w:tcPr>
          <w:p w14:paraId="32298CB6"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Patients with major depression according to DSM-IV criteria (n=82)</w:t>
            </w:r>
          </w:p>
        </w:tc>
        <w:tc>
          <w:tcPr>
            <w:tcW w:w="1734" w:type="dxa"/>
            <w:tcBorders>
              <w:top w:val="nil"/>
              <w:bottom w:val="nil"/>
            </w:tcBorders>
            <w:noWrap/>
          </w:tcPr>
          <w:p w14:paraId="7F07F92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-59.1 (-593.1, 474.8)</w:t>
            </w:r>
          </w:p>
        </w:tc>
        <w:tc>
          <w:tcPr>
            <w:tcW w:w="1843" w:type="dxa"/>
            <w:tcBorders>
              <w:top w:val="nil"/>
              <w:bottom w:val="nil"/>
            </w:tcBorders>
            <w:noWrap/>
          </w:tcPr>
          <w:p w14:paraId="6FEF5C75"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0.03 (0.01, 0.05)</w:t>
            </w:r>
          </w:p>
        </w:tc>
        <w:tc>
          <w:tcPr>
            <w:tcW w:w="1533" w:type="dxa"/>
            <w:tcBorders>
              <w:top w:val="nil"/>
              <w:bottom w:val="nil"/>
            </w:tcBorders>
          </w:tcPr>
          <w:p w14:paraId="4CBAF35B"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-2273</w:t>
            </w:r>
            <w:r>
              <w:rPr>
                <w:rFonts w:eastAsia="Times New Roman" w:cs="Calibri"/>
                <w:lang w:val="en-US"/>
              </w:rPr>
              <w:t xml:space="preserve"> (-8163; 6310)</w:t>
            </w:r>
          </w:p>
        </w:tc>
        <w:tc>
          <w:tcPr>
            <w:tcW w:w="2335" w:type="dxa"/>
            <w:tcBorders>
              <w:top w:val="nil"/>
              <w:bottom w:val="nil"/>
            </w:tcBorders>
          </w:tcPr>
          <w:p w14:paraId="3B16D7D4"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53 (-782, 888)</w:t>
            </w:r>
          </w:p>
        </w:tc>
        <w:tc>
          <w:tcPr>
            <w:tcW w:w="1802" w:type="dxa"/>
            <w:tcBorders>
              <w:top w:val="nil"/>
              <w:bottom w:val="nil"/>
            </w:tcBorders>
          </w:tcPr>
          <w:p w14:paraId="7662BDD3" w14:textId="77777777" w:rsidR="00F51D8E" w:rsidRPr="0037024D" w:rsidRDefault="00F51D8E" w:rsidP="007E28B9">
            <w:pPr>
              <w:spacing w:line="360" w:lineRule="auto"/>
              <w:rPr>
                <w:rFonts w:eastAsia="Times New Roman" w:cs="Calibri"/>
                <w:b/>
                <w:lang w:val="en-US"/>
              </w:rPr>
            </w:pPr>
            <w:r w:rsidRPr="0037024D">
              <w:rPr>
                <w:rFonts w:eastAsia="Times New Roman" w:cs="Calibri"/>
                <w:b/>
                <w:lang w:val="en-US"/>
              </w:rPr>
              <w:t>0.08 (0.02, 0.14)</w:t>
            </w:r>
          </w:p>
        </w:tc>
        <w:tc>
          <w:tcPr>
            <w:tcW w:w="1667" w:type="dxa"/>
            <w:tcBorders>
              <w:top w:val="nil"/>
              <w:bottom w:val="nil"/>
            </w:tcBorders>
          </w:tcPr>
          <w:p w14:paraId="45193160"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690 (-21610; 52629)</w:t>
            </w:r>
          </w:p>
        </w:tc>
      </w:tr>
      <w:tr w:rsidR="00F51D8E" w:rsidRPr="0037024D" w14:paraId="41FDE8D5" w14:textId="77777777" w:rsidTr="007E28B9">
        <w:trPr>
          <w:trHeight w:val="255"/>
        </w:trPr>
        <w:tc>
          <w:tcPr>
            <w:tcW w:w="3369" w:type="dxa"/>
            <w:tcBorders>
              <w:top w:val="nil"/>
              <w:bottom w:val="nil"/>
            </w:tcBorders>
            <w:noWrap/>
            <w:hideMark/>
          </w:tcPr>
          <w:p w14:paraId="699E6F7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 xml:space="preserve">Average absenteeism salary costs </w:t>
            </w:r>
          </w:p>
        </w:tc>
        <w:tc>
          <w:tcPr>
            <w:tcW w:w="1734" w:type="dxa"/>
            <w:tcBorders>
              <w:top w:val="nil"/>
              <w:bottom w:val="nil"/>
            </w:tcBorders>
            <w:noWrap/>
            <w:hideMark/>
          </w:tcPr>
          <w:p w14:paraId="7E282816"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104.5 (-759.3, 968.2)</w:t>
            </w:r>
          </w:p>
        </w:tc>
        <w:tc>
          <w:tcPr>
            <w:tcW w:w="1843" w:type="dxa"/>
            <w:tcBorders>
              <w:top w:val="nil"/>
              <w:bottom w:val="nil"/>
            </w:tcBorders>
            <w:noWrap/>
            <w:hideMark/>
          </w:tcPr>
          <w:p w14:paraId="6596C2BC"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0.01 (-0.01, 0.03)</w:t>
            </w:r>
          </w:p>
        </w:tc>
        <w:tc>
          <w:tcPr>
            <w:tcW w:w="1533" w:type="dxa"/>
            <w:tcBorders>
              <w:top w:val="nil"/>
              <w:bottom w:val="nil"/>
            </w:tcBorders>
          </w:tcPr>
          <w:p w14:paraId="63B9921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9659</w:t>
            </w:r>
            <w:r>
              <w:rPr>
                <w:rFonts w:eastAsia="Times New Roman" w:cs="Calibri"/>
                <w:lang w:val="en-US"/>
              </w:rPr>
              <w:t xml:space="preserve"> (-4223; 37073)</w:t>
            </w:r>
          </w:p>
        </w:tc>
        <w:tc>
          <w:tcPr>
            <w:tcW w:w="2335" w:type="dxa"/>
            <w:tcBorders>
              <w:top w:val="nil"/>
              <w:bottom w:val="nil"/>
            </w:tcBorders>
          </w:tcPr>
          <w:p w14:paraId="61277159"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688 (-669, 2045)</w:t>
            </w:r>
          </w:p>
        </w:tc>
        <w:tc>
          <w:tcPr>
            <w:tcW w:w="1802" w:type="dxa"/>
            <w:tcBorders>
              <w:top w:val="nil"/>
              <w:bottom w:val="nil"/>
            </w:tcBorders>
          </w:tcPr>
          <w:p w14:paraId="4134451D" w14:textId="77777777" w:rsidR="00F51D8E" w:rsidRPr="0037024D" w:rsidRDefault="00F51D8E" w:rsidP="007E28B9">
            <w:pPr>
              <w:spacing w:line="360" w:lineRule="auto"/>
              <w:rPr>
                <w:lang w:val="en-US"/>
              </w:rPr>
            </w:pPr>
            <w:r w:rsidRPr="0037024D">
              <w:rPr>
                <w:rFonts w:eastAsia="Times New Roman" w:cs="Calibri"/>
                <w:lang w:val="en-US"/>
              </w:rPr>
              <w:t>0.03 (-0.01, 0.06)</w:t>
            </w:r>
          </w:p>
        </w:tc>
        <w:tc>
          <w:tcPr>
            <w:tcW w:w="1667" w:type="dxa"/>
            <w:tcBorders>
              <w:top w:val="nil"/>
              <w:bottom w:val="nil"/>
            </w:tcBorders>
          </w:tcPr>
          <w:p w14:paraId="0D4C44F3"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27092 (-179307; 212583)</w:t>
            </w:r>
          </w:p>
        </w:tc>
      </w:tr>
      <w:tr w:rsidR="00F51D8E" w:rsidRPr="0037024D" w14:paraId="32840089" w14:textId="77777777" w:rsidTr="007E28B9">
        <w:trPr>
          <w:trHeight w:val="255"/>
        </w:trPr>
        <w:tc>
          <w:tcPr>
            <w:tcW w:w="3369" w:type="dxa"/>
            <w:tcBorders>
              <w:top w:val="nil"/>
              <w:bottom w:val="nil"/>
            </w:tcBorders>
            <w:noWrap/>
            <w:hideMark/>
          </w:tcPr>
          <w:p w14:paraId="44DA02F4"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Per protocol analysis (n=128)</w:t>
            </w:r>
          </w:p>
        </w:tc>
        <w:tc>
          <w:tcPr>
            <w:tcW w:w="1734" w:type="dxa"/>
            <w:tcBorders>
              <w:top w:val="nil"/>
              <w:bottom w:val="nil"/>
            </w:tcBorders>
            <w:noWrap/>
            <w:hideMark/>
          </w:tcPr>
          <w:p w14:paraId="7AB020BB"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-548.3 (-1125.4, 28.8)</w:t>
            </w:r>
          </w:p>
        </w:tc>
        <w:tc>
          <w:tcPr>
            <w:tcW w:w="1843" w:type="dxa"/>
            <w:tcBorders>
              <w:top w:val="nil"/>
              <w:bottom w:val="nil"/>
            </w:tcBorders>
            <w:noWrap/>
            <w:hideMark/>
          </w:tcPr>
          <w:p w14:paraId="51E49AD2"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0.02 (-0.01, 0.05)</w:t>
            </w:r>
          </w:p>
        </w:tc>
        <w:tc>
          <w:tcPr>
            <w:tcW w:w="1533" w:type="dxa"/>
            <w:tcBorders>
              <w:top w:val="nil"/>
              <w:bottom w:val="nil"/>
            </w:tcBorders>
          </w:tcPr>
          <w:p w14:paraId="4A1451EA" w14:textId="77777777" w:rsidR="00F51D8E" w:rsidRPr="00D56B35" w:rsidRDefault="00F51D8E" w:rsidP="007E28B9">
            <w:pPr>
              <w:spacing w:line="360" w:lineRule="auto"/>
              <w:rPr>
                <w:rFonts w:eastAsia="Times New Roman" w:cs="Calibri"/>
                <w:b/>
                <w:lang w:val="en-US"/>
              </w:rPr>
            </w:pPr>
            <w:r w:rsidRPr="00D56B35">
              <w:rPr>
                <w:rFonts w:eastAsia="Times New Roman" w:cs="Calibri"/>
                <w:b/>
                <w:lang w:val="en-US"/>
              </w:rPr>
              <w:t>-23328 (-73422; -16738)</w:t>
            </w:r>
          </w:p>
        </w:tc>
        <w:tc>
          <w:tcPr>
            <w:tcW w:w="2335" w:type="dxa"/>
            <w:tcBorders>
              <w:top w:val="nil"/>
              <w:bottom w:val="nil"/>
            </w:tcBorders>
          </w:tcPr>
          <w:p w14:paraId="08975FD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-162 (-1003, 679)</w:t>
            </w:r>
          </w:p>
        </w:tc>
        <w:tc>
          <w:tcPr>
            <w:tcW w:w="1802" w:type="dxa"/>
            <w:tcBorders>
              <w:top w:val="nil"/>
              <w:bottom w:val="nil"/>
            </w:tcBorders>
          </w:tcPr>
          <w:p w14:paraId="324583AB"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0.05 (-0.01, 0.11)</w:t>
            </w:r>
          </w:p>
        </w:tc>
        <w:tc>
          <w:tcPr>
            <w:tcW w:w="1667" w:type="dxa"/>
            <w:tcBorders>
              <w:top w:val="nil"/>
              <w:bottom w:val="nil"/>
            </w:tcBorders>
          </w:tcPr>
          <w:p w14:paraId="2FD8FD8E"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-3257 (-65604; 42122)</w:t>
            </w:r>
          </w:p>
        </w:tc>
      </w:tr>
      <w:tr w:rsidR="00F51D8E" w:rsidRPr="0037024D" w14:paraId="622C1DDD" w14:textId="77777777" w:rsidTr="007E28B9">
        <w:trPr>
          <w:trHeight w:val="255"/>
        </w:trPr>
        <w:tc>
          <w:tcPr>
            <w:tcW w:w="3369" w:type="dxa"/>
            <w:tcBorders>
              <w:top w:val="nil"/>
            </w:tcBorders>
            <w:noWrap/>
            <w:hideMark/>
          </w:tcPr>
          <w:p w14:paraId="0D155A58"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Completers’ analysis (6-month n=214; 12-month n=195)</w:t>
            </w:r>
          </w:p>
        </w:tc>
        <w:tc>
          <w:tcPr>
            <w:tcW w:w="1734" w:type="dxa"/>
            <w:tcBorders>
              <w:top w:val="nil"/>
            </w:tcBorders>
            <w:noWrap/>
            <w:hideMark/>
          </w:tcPr>
          <w:p w14:paraId="07379BE4"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-21.0 (-409.3, 367.4)</w:t>
            </w:r>
          </w:p>
        </w:tc>
        <w:tc>
          <w:tcPr>
            <w:tcW w:w="1843" w:type="dxa"/>
            <w:tcBorders>
              <w:top w:val="nil"/>
            </w:tcBorders>
            <w:noWrap/>
            <w:hideMark/>
          </w:tcPr>
          <w:p w14:paraId="7B643CF6"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0.01 (-0.01, 0.02)</w:t>
            </w:r>
          </w:p>
        </w:tc>
        <w:tc>
          <w:tcPr>
            <w:tcW w:w="1533" w:type="dxa"/>
            <w:tcBorders>
              <w:top w:val="nil"/>
            </w:tcBorders>
          </w:tcPr>
          <w:p w14:paraId="4F839FFA"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-2017</w:t>
            </w:r>
            <w:r>
              <w:rPr>
                <w:rFonts w:eastAsia="Times New Roman" w:cs="Calibri"/>
                <w:lang w:val="en-US"/>
              </w:rPr>
              <w:t xml:space="preserve"> (-89315; 174605)</w:t>
            </w:r>
          </w:p>
        </w:tc>
        <w:tc>
          <w:tcPr>
            <w:tcW w:w="2335" w:type="dxa"/>
            <w:tcBorders>
              <w:top w:val="nil"/>
            </w:tcBorders>
          </w:tcPr>
          <w:p w14:paraId="079D2858"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 xml:space="preserve"> 185 (-401.5, 771.1)</w:t>
            </w:r>
          </w:p>
        </w:tc>
        <w:tc>
          <w:tcPr>
            <w:tcW w:w="1802" w:type="dxa"/>
            <w:tcBorders>
              <w:top w:val="nil"/>
            </w:tcBorders>
          </w:tcPr>
          <w:p w14:paraId="33216860"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0.03 (-0.01, 0.07)</w:t>
            </w:r>
          </w:p>
        </w:tc>
        <w:tc>
          <w:tcPr>
            <w:tcW w:w="1667" w:type="dxa"/>
            <w:tcBorders>
              <w:top w:val="nil"/>
            </w:tcBorders>
          </w:tcPr>
          <w:p w14:paraId="23ADEB64" w14:textId="77777777" w:rsidR="00F51D8E" w:rsidRPr="0037024D" w:rsidRDefault="00F51D8E" w:rsidP="007E28B9">
            <w:pPr>
              <w:spacing w:line="360" w:lineRule="auto"/>
              <w:rPr>
                <w:rFonts w:eastAsia="Times New Roman" w:cs="Calibri"/>
                <w:lang w:val="en-US"/>
              </w:rPr>
            </w:pPr>
            <w:r w:rsidRPr="0037024D">
              <w:rPr>
                <w:rFonts w:eastAsia="Times New Roman" w:cs="Calibri"/>
                <w:lang w:val="en-US"/>
              </w:rPr>
              <w:t>5940 (-52780; 135122)</w:t>
            </w:r>
          </w:p>
        </w:tc>
      </w:tr>
    </w:tbl>
    <w:p w14:paraId="51828C83" w14:textId="77777777" w:rsidR="00F51D8E" w:rsidRPr="00630086" w:rsidRDefault="00F51D8E" w:rsidP="00F51D8E">
      <w:pPr>
        <w:rPr>
          <w:lang w:val="en-US"/>
        </w:rPr>
      </w:pPr>
      <w:r w:rsidRPr="00C9506C">
        <w:rPr>
          <w:lang w:val="en-US"/>
        </w:rPr>
        <w:t>* Active Monitoring is the reference group. Bold numbers indicate statistically significant differences between study arms.</w:t>
      </w:r>
      <w:r>
        <w:rPr>
          <w:lang w:val="en-US"/>
        </w:rPr>
        <w:t xml:space="preserve"> ITT: Intention to treat.</w:t>
      </w:r>
    </w:p>
    <w:p w14:paraId="5B3E6D0C" w14:textId="77777777" w:rsidR="00464E67" w:rsidRDefault="00464E67" w:rsidP="00F51D8E">
      <w:pPr>
        <w:rPr>
          <w:lang w:val="en-US"/>
        </w:rPr>
      </w:pPr>
    </w:p>
    <w:p w14:paraId="642DC83C" w14:textId="77777777" w:rsidR="00F51D8E" w:rsidRDefault="00F51D8E" w:rsidP="00F51D8E">
      <w:pPr>
        <w:rPr>
          <w:lang w:val="en-US"/>
        </w:rPr>
      </w:pPr>
    </w:p>
    <w:p w14:paraId="4B6794D7" w14:textId="77777777" w:rsidR="00F51D8E" w:rsidRDefault="00F51D8E" w:rsidP="00F51D8E">
      <w:pPr>
        <w:rPr>
          <w:lang w:val="en-US"/>
        </w:rPr>
      </w:pPr>
    </w:p>
    <w:p w14:paraId="5FC5DD49" w14:textId="77777777" w:rsidR="00F51D8E" w:rsidRDefault="00F51D8E" w:rsidP="00F51D8E">
      <w:pPr>
        <w:rPr>
          <w:lang w:val="en-US"/>
        </w:rPr>
      </w:pPr>
    </w:p>
    <w:p w14:paraId="44C729E9" w14:textId="77777777" w:rsidR="00F51D8E" w:rsidRDefault="00F51D8E" w:rsidP="00F51D8E">
      <w:pPr>
        <w:rPr>
          <w:lang w:val="en-US"/>
        </w:rPr>
      </w:pPr>
    </w:p>
    <w:p w14:paraId="279FBB2B" w14:textId="77777777" w:rsidR="00F51D8E" w:rsidRDefault="00F51D8E" w:rsidP="00F51D8E">
      <w:pPr>
        <w:rPr>
          <w:lang w:val="en-US"/>
        </w:rPr>
      </w:pPr>
    </w:p>
    <w:p w14:paraId="35DC2D33" w14:textId="77777777" w:rsidR="00F51D8E" w:rsidRDefault="00F51D8E" w:rsidP="00F51D8E">
      <w:pPr>
        <w:rPr>
          <w:lang w:val="en-US"/>
        </w:rPr>
      </w:pPr>
    </w:p>
    <w:p w14:paraId="5ABEC96E" w14:textId="77777777" w:rsidR="00F51D8E" w:rsidRDefault="00F51D8E" w:rsidP="00F51D8E">
      <w:pPr>
        <w:rPr>
          <w:lang w:val="en-US"/>
        </w:rPr>
      </w:pPr>
    </w:p>
    <w:p w14:paraId="64425ADF" w14:textId="77777777" w:rsidR="00F51D8E" w:rsidRDefault="00F51D8E" w:rsidP="00F51D8E">
      <w:pPr>
        <w:rPr>
          <w:lang w:val="en-US"/>
        </w:rPr>
      </w:pPr>
    </w:p>
    <w:p w14:paraId="18AC79CF" w14:textId="77777777" w:rsidR="00F51D8E" w:rsidRDefault="00F51D8E" w:rsidP="00F51D8E">
      <w:pPr>
        <w:rPr>
          <w:lang w:val="en-US"/>
        </w:rPr>
      </w:pPr>
    </w:p>
    <w:p w14:paraId="7634D3B1" w14:textId="77777777" w:rsidR="00F51D8E" w:rsidRPr="00C9506C" w:rsidRDefault="00F51D8E" w:rsidP="00F51D8E">
      <w:pPr>
        <w:spacing w:after="0" w:line="480" w:lineRule="auto"/>
        <w:rPr>
          <w:b/>
          <w:bCs/>
          <w:color w:val="000000"/>
          <w:lang w:val="en-US"/>
        </w:rPr>
      </w:pPr>
      <w:r>
        <w:rPr>
          <w:lang w:val="en-US"/>
        </w:rPr>
        <w:lastRenderedPageBreak/>
        <w:t xml:space="preserve">Supplementary </w:t>
      </w:r>
      <w:r w:rsidRPr="00C9506C">
        <w:rPr>
          <w:lang w:val="en-US"/>
        </w:rPr>
        <w:t xml:space="preserve">Table </w:t>
      </w:r>
      <w:r>
        <w:rPr>
          <w:lang w:val="en-US"/>
        </w:rPr>
        <w:t>1</w:t>
      </w:r>
      <w:r w:rsidRPr="00C9506C">
        <w:rPr>
          <w:lang w:val="en-US"/>
        </w:rPr>
        <w:t>. Unadjusted differences in costs between groups at 6 and 12 months follow-up</w:t>
      </w:r>
      <w:r>
        <w:rPr>
          <w:lang w:val="en-US"/>
        </w:rPr>
        <w:t xml:space="preserve"> and evolution of the severity of depression</w:t>
      </w:r>
    </w:p>
    <w:tbl>
      <w:tblPr>
        <w:tblW w:w="0" w:type="auto"/>
        <w:tblBorders>
          <w:top w:val="single" w:sz="8" w:space="0" w:color="000000"/>
          <w:bottom w:val="single" w:sz="8" w:space="0" w:color="000000"/>
        </w:tblBorders>
        <w:tblLook w:val="04A0" w:firstRow="1" w:lastRow="0" w:firstColumn="1" w:lastColumn="0" w:noHBand="0" w:noVBand="1"/>
      </w:tblPr>
      <w:tblGrid>
        <w:gridCol w:w="1420"/>
        <w:gridCol w:w="1031"/>
        <w:gridCol w:w="1331"/>
        <w:gridCol w:w="1030"/>
        <w:gridCol w:w="1331"/>
        <w:gridCol w:w="1030"/>
        <w:gridCol w:w="1331"/>
      </w:tblGrid>
      <w:tr w:rsidR="00F51D8E" w:rsidRPr="00C9506C" w14:paraId="522FEA6C" w14:textId="77777777" w:rsidTr="007E28B9">
        <w:trPr>
          <w:trHeight w:val="454"/>
        </w:trPr>
        <w:tc>
          <w:tcPr>
            <w:tcW w:w="2559" w:type="dxa"/>
            <w:tcBorders>
              <w:top w:val="single" w:sz="8" w:space="0" w:color="000000"/>
              <w:left w:val="nil"/>
              <w:bottom w:val="single" w:sz="8" w:space="0" w:color="000000"/>
              <w:right w:val="nil"/>
            </w:tcBorders>
            <w:shd w:val="clear" w:color="auto" w:fill="auto"/>
          </w:tcPr>
          <w:p w14:paraId="63AA366B" w14:textId="77777777" w:rsidR="00F51D8E" w:rsidRPr="00C9506C" w:rsidRDefault="00F51D8E" w:rsidP="007E28B9">
            <w:pPr>
              <w:spacing w:after="0" w:line="480" w:lineRule="auto"/>
              <w:rPr>
                <w:b/>
                <w:bCs/>
                <w:color w:val="000000"/>
                <w:lang w:val="en-US"/>
              </w:rPr>
            </w:pPr>
          </w:p>
        </w:tc>
        <w:tc>
          <w:tcPr>
            <w:tcW w:w="1523" w:type="dxa"/>
            <w:tcBorders>
              <w:top w:val="single" w:sz="8" w:space="0" w:color="000000"/>
              <w:left w:val="nil"/>
              <w:bottom w:val="single" w:sz="8" w:space="0" w:color="000000"/>
              <w:right w:val="nil"/>
            </w:tcBorders>
          </w:tcPr>
          <w:p w14:paraId="13F6904C" w14:textId="77777777" w:rsidR="00F51D8E" w:rsidRPr="00C9506C" w:rsidRDefault="00F51D8E" w:rsidP="007E28B9">
            <w:pPr>
              <w:spacing w:after="0" w:line="480" w:lineRule="auto"/>
              <w:rPr>
                <w:b/>
                <w:bCs/>
                <w:color w:val="000000"/>
                <w:lang w:val="en-US"/>
              </w:rPr>
            </w:pPr>
            <w:r>
              <w:rPr>
                <w:b/>
                <w:bCs/>
                <w:color w:val="000000"/>
                <w:lang w:val="en-US"/>
              </w:rPr>
              <w:t>Baseline</w:t>
            </w:r>
          </w:p>
        </w:tc>
        <w:tc>
          <w:tcPr>
            <w:tcW w:w="1612" w:type="dxa"/>
            <w:tcBorders>
              <w:top w:val="single" w:sz="8" w:space="0" w:color="000000"/>
              <w:left w:val="nil"/>
              <w:bottom w:val="single" w:sz="8" w:space="0" w:color="000000"/>
              <w:right w:val="nil"/>
            </w:tcBorders>
          </w:tcPr>
          <w:p w14:paraId="750A7CE3" w14:textId="77777777" w:rsidR="00F51D8E" w:rsidRPr="00C9506C" w:rsidRDefault="00F51D8E" w:rsidP="007E28B9">
            <w:pPr>
              <w:spacing w:after="0" w:line="480" w:lineRule="auto"/>
              <w:rPr>
                <w:b/>
                <w:bCs/>
                <w:color w:val="000000"/>
                <w:lang w:val="en-US"/>
              </w:rPr>
            </w:pPr>
          </w:p>
        </w:tc>
        <w:tc>
          <w:tcPr>
            <w:tcW w:w="1985" w:type="dxa"/>
            <w:tcBorders>
              <w:top w:val="single" w:sz="8" w:space="0" w:color="000000"/>
              <w:left w:val="nil"/>
              <w:bottom w:val="single" w:sz="8" w:space="0" w:color="000000"/>
              <w:right w:val="nil"/>
            </w:tcBorders>
          </w:tcPr>
          <w:p w14:paraId="2E660308" w14:textId="77777777" w:rsidR="00F51D8E" w:rsidRPr="00C9506C" w:rsidRDefault="00F51D8E" w:rsidP="007E28B9">
            <w:pPr>
              <w:spacing w:after="0" w:line="480" w:lineRule="auto"/>
              <w:rPr>
                <w:b/>
                <w:bCs/>
                <w:color w:val="000000"/>
                <w:lang w:val="en-US"/>
              </w:rPr>
            </w:pPr>
            <w:r w:rsidRPr="00C9506C">
              <w:rPr>
                <w:b/>
                <w:bCs/>
                <w:color w:val="000000"/>
                <w:lang w:val="en-US"/>
              </w:rPr>
              <w:t>6 month</w:t>
            </w:r>
          </w:p>
        </w:tc>
        <w:tc>
          <w:tcPr>
            <w:tcW w:w="2170" w:type="dxa"/>
            <w:tcBorders>
              <w:top w:val="single" w:sz="8" w:space="0" w:color="000000"/>
              <w:left w:val="nil"/>
              <w:bottom w:val="single" w:sz="8" w:space="0" w:color="000000"/>
              <w:right w:val="nil"/>
            </w:tcBorders>
          </w:tcPr>
          <w:p w14:paraId="1A8F1968" w14:textId="77777777" w:rsidR="00F51D8E" w:rsidRPr="00C9506C" w:rsidRDefault="00F51D8E" w:rsidP="007E28B9">
            <w:pPr>
              <w:spacing w:after="0" w:line="480" w:lineRule="auto"/>
              <w:rPr>
                <w:b/>
                <w:bCs/>
                <w:color w:val="000000"/>
                <w:lang w:val="en-US"/>
              </w:rPr>
            </w:pPr>
          </w:p>
        </w:tc>
        <w:tc>
          <w:tcPr>
            <w:tcW w:w="1985" w:type="dxa"/>
            <w:tcBorders>
              <w:top w:val="single" w:sz="8" w:space="0" w:color="000000"/>
              <w:left w:val="nil"/>
              <w:bottom w:val="single" w:sz="8" w:space="0" w:color="000000"/>
              <w:right w:val="nil"/>
            </w:tcBorders>
          </w:tcPr>
          <w:p w14:paraId="7ECE79E7" w14:textId="77777777" w:rsidR="00F51D8E" w:rsidRPr="00C9506C" w:rsidRDefault="00F51D8E" w:rsidP="007E28B9">
            <w:pPr>
              <w:spacing w:after="0" w:line="480" w:lineRule="auto"/>
              <w:rPr>
                <w:b/>
                <w:bCs/>
                <w:color w:val="000000"/>
                <w:lang w:val="en-US"/>
              </w:rPr>
            </w:pPr>
            <w:r w:rsidRPr="00C9506C">
              <w:rPr>
                <w:b/>
                <w:bCs/>
                <w:color w:val="000000"/>
                <w:lang w:val="en-US"/>
              </w:rPr>
              <w:t>12 month</w:t>
            </w:r>
          </w:p>
        </w:tc>
        <w:tc>
          <w:tcPr>
            <w:tcW w:w="2170" w:type="dxa"/>
            <w:tcBorders>
              <w:top w:val="single" w:sz="8" w:space="0" w:color="000000"/>
              <w:left w:val="nil"/>
              <w:bottom w:val="single" w:sz="8" w:space="0" w:color="000000"/>
              <w:right w:val="nil"/>
            </w:tcBorders>
          </w:tcPr>
          <w:p w14:paraId="52278BED" w14:textId="77777777" w:rsidR="00F51D8E" w:rsidRPr="00C9506C" w:rsidRDefault="00F51D8E" w:rsidP="007E28B9">
            <w:pPr>
              <w:spacing w:after="0" w:line="480" w:lineRule="auto"/>
              <w:rPr>
                <w:b/>
                <w:bCs/>
                <w:color w:val="000000"/>
                <w:lang w:val="en-US"/>
              </w:rPr>
            </w:pPr>
          </w:p>
        </w:tc>
      </w:tr>
      <w:tr w:rsidR="00F51D8E" w:rsidRPr="00C9506C" w14:paraId="122D3090" w14:textId="77777777" w:rsidTr="007E28B9">
        <w:trPr>
          <w:trHeight w:val="454"/>
        </w:trPr>
        <w:tc>
          <w:tcPr>
            <w:tcW w:w="2559" w:type="dxa"/>
            <w:tcBorders>
              <w:top w:val="single" w:sz="8" w:space="0" w:color="000000"/>
              <w:left w:val="nil"/>
              <w:bottom w:val="single" w:sz="8" w:space="0" w:color="000000"/>
              <w:right w:val="nil"/>
            </w:tcBorders>
            <w:shd w:val="clear" w:color="auto" w:fill="auto"/>
          </w:tcPr>
          <w:p w14:paraId="13411D95" w14:textId="77777777" w:rsidR="00F51D8E" w:rsidRPr="00C9506C" w:rsidRDefault="00F51D8E" w:rsidP="007E28B9">
            <w:pPr>
              <w:spacing w:after="0" w:line="240" w:lineRule="auto"/>
              <w:rPr>
                <w:b/>
                <w:bCs/>
                <w:color w:val="000000"/>
                <w:lang w:val="en-US"/>
              </w:rPr>
            </w:pPr>
            <w:r w:rsidRPr="00C9506C">
              <w:rPr>
                <w:b/>
                <w:bCs/>
                <w:color w:val="000000"/>
                <w:lang w:val="en-US"/>
              </w:rPr>
              <w:t>Type of utilization</w:t>
            </w:r>
          </w:p>
        </w:tc>
        <w:tc>
          <w:tcPr>
            <w:tcW w:w="1523" w:type="dxa"/>
            <w:tcBorders>
              <w:top w:val="single" w:sz="8" w:space="0" w:color="000000"/>
              <w:left w:val="nil"/>
              <w:bottom w:val="single" w:sz="8" w:space="0" w:color="000000"/>
              <w:right w:val="nil"/>
            </w:tcBorders>
          </w:tcPr>
          <w:p w14:paraId="4418A9A1" w14:textId="77777777" w:rsidR="00F51D8E" w:rsidRPr="00C9506C" w:rsidRDefault="00F51D8E" w:rsidP="007E28B9">
            <w:pPr>
              <w:spacing w:after="0" w:line="240" w:lineRule="auto"/>
              <w:rPr>
                <w:b/>
                <w:bCs/>
                <w:color w:val="000000"/>
                <w:lang w:val="en-US"/>
              </w:rPr>
            </w:pPr>
            <w:r w:rsidRPr="00C9506C">
              <w:rPr>
                <w:b/>
                <w:bCs/>
                <w:color w:val="000000"/>
                <w:lang w:val="en-US"/>
              </w:rPr>
              <w:t>Active monitoring (N=118)</w:t>
            </w:r>
          </w:p>
          <w:p w14:paraId="013070CA" w14:textId="77777777" w:rsidR="00F51D8E" w:rsidRPr="00C9506C" w:rsidRDefault="00F51D8E" w:rsidP="007E28B9">
            <w:pPr>
              <w:spacing w:after="0" w:line="240" w:lineRule="auto"/>
              <w:rPr>
                <w:b/>
                <w:bCs/>
                <w:color w:val="000000"/>
                <w:lang w:val="en-US"/>
              </w:rPr>
            </w:pPr>
            <w:r w:rsidRPr="00C9506C">
              <w:rPr>
                <w:b/>
                <w:bCs/>
                <w:color w:val="000000"/>
                <w:lang w:val="en-US"/>
              </w:rPr>
              <w:t>Mean (SE)</w:t>
            </w:r>
          </w:p>
        </w:tc>
        <w:tc>
          <w:tcPr>
            <w:tcW w:w="1612" w:type="dxa"/>
            <w:tcBorders>
              <w:top w:val="single" w:sz="8" w:space="0" w:color="000000"/>
              <w:left w:val="nil"/>
              <w:bottom w:val="single" w:sz="8" w:space="0" w:color="000000"/>
              <w:right w:val="nil"/>
            </w:tcBorders>
          </w:tcPr>
          <w:p w14:paraId="3A63AD0E" w14:textId="77777777" w:rsidR="00F51D8E" w:rsidRPr="00C9506C" w:rsidRDefault="00F51D8E" w:rsidP="007E28B9">
            <w:pPr>
              <w:spacing w:after="0" w:line="240" w:lineRule="auto"/>
              <w:rPr>
                <w:b/>
                <w:bCs/>
                <w:color w:val="000000"/>
                <w:lang w:val="en-US"/>
              </w:rPr>
            </w:pPr>
            <w:r w:rsidRPr="00C9506C">
              <w:rPr>
                <w:b/>
                <w:bCs/>
                <w:color w:val="000000"/>
                <w:lang w:val="en-US"/>
              </w:rPr>
              <w:t>Antidepressant (N=145)</w:t>
            </w:r>
          </w:p>
          <w:p w14:paraId="1CF2CA5B" w14:textId="77777777" w:rsidR="00F51D8E" w:rsidRPr="00C9506C" w:rsidRDefault="00F51D8E" w:rsidP="007E28B9">
            <w:pPr>
              <w:spacing w:after="0" w:line="240" w:lineRule="auto"/>
              <w:rPr>
                <w:b/>
                <w:bCs/>
                <w:color w:val="000000"/>
                <w:lang w:val="en-US"/>
              </w:rPr>
            </w:pPr>
            <w:r w:rsidRPr="00C9506C">
              <w:rPr>
                <w:b/>
                <w:bCs/>
                <w:color w:val="000000"/>
                <w:lang w:val="en-US"/>
              </w:rPr>
              <w:t>Mean (SE)</w:t>
            </w:r>
          </w:p>
        </w:tc>
        <w:tc>
          <w:tcPr>
            <w:tcW w:w="1985" w:type="dxa"/>
            <w:tcBorders>
              <w:top w:val="single" w:sz="8" w:space="0" w:color="000000"/>
              <w:left w:val="nil"/>
              <w:bottom w:val="single" w:sz="8" w:space="0" w:color="000000"/>
              <w:right w:val="nil"/>
            </w:tcBorders>
          </w:tcPr>
          <w:p w14:paraId="2949C2F3" w14:textId="77777777" w:rsidR="00F51D8E" w:rsidRPr="00C9506C" w:rsidRDefault="00F51D8E" w:rsidP="007E28B9">
            <w:pPr>
              <w:spacing w:after="0" w:line="240" w:lineRule="auto"/>
              <w:rPr>
                <w:b/>
                <w:bCs/>
                <w:color w:val="000000"/>
                <w:lang w:val="en-US"/>
              </w:rPr>
            </w:pPr>
            <w:r w:rsidRPr="00C9506C">
              <w:rPr>
                <w:b/>
                <w:bCs/>
                <w:color w:val="000000"/>
                <w:lang w:val="en-US"/>
              </w:rPr>
              <w:t>Active monitoring (N=118)</w:t>
            </w:r>
          </w:p>
          <w:p w14:paraId="0DC8BF78" w14:textId="77777777" w:rsidR="00F51D8E" w:rsidRPr="00C9506C" w:rsidRDefault="00F51D8E" w:rsidP="007E28B9">
            <w:pPr>
              <w:spacing w:after="0" w:line="240" w:lineRule="auto"/>
              <w:rPr>
                <w:b/>
                <w:bCs/>
                <w:color w:val="000000"/>
                <w:lang w:val="en-US"/>
              </w:rPr>
            </w:pPr>
            <w:r w:rsidRPr="00C9506C">
              <w:rPr>
                <w:b/>
                <w:bCs/>
                <w:color w:val="000000"/>
                <w:lang w:val="en-US"/>
              </w:rPr>
              <w:t>Mean (SE)</w:t>
            </w:r>
          </w:p>
        </w:tc>
        <w:tc>
          <w:tcPr>
            <w:tcW w:w="2170" w:type="dxa"/>
            <w:tcBorders>
              <w:top w:val="single" w:sz="8" w:space="0" w:color="000000"/>
              <w:left w:val="nil"/>
              <w:bottom w:val="single" w:sz="8" w:space="0" w:color="000000"/>
              <w:right w:val="nil"/>
            </w:tcBorders>
          </w:tcPr>
          <w:p w14:paraId="6966143D" w14:textId="77777777" w:rsidR="00F51D8E" w:rsidRPr="00C9506C" w:rsidRDefault="00F51D8E" w:rsidP="007E28B9">
            <w:pPr>
              <w:spacing w:after="0" w:line="240" w:lineRule="auto"/>
              <w:rPr>
                <w:b/>
                <w:bCs/>
                <w:color w:val="000000"/>
                <w:lang w:val="en-US"/>
              </w:rPr>
            </w:pPr>
            <w:r w:rsidRPr="00C9506C">
              <w:rPr>
                <w:b/>
                <w:bCs/>
                <w:color w:val="000000"/>
                <w:lang w:val="en-US"/>
              </w:rPr>
              <w:t>Antidepressant (N=145)</w:t>
            </w:r>
          </w:p>
          <w:p w14:paraId="0C236A77" w14:textId="77777777" w:rsidR="00F51D8E" w:rsidRPr="00C9506C" w:rsidRDefault="00F51D8E" w:rsidP="007E28B9">
            <w:pPr>
              <w:spacing w:after="0" w:line="240" w:lineRule="auto"/>
              <w:rPr>
                <w:b/>
                <w:bCs/>
                <w:color w:val="000000"/>
                <w:lang w:val="en-US"/>
              </w:rPr>
            </w:pPr>
            <w:r w:rsidRPr="00C9506C">
              <w:rPr>
                <w:b/>
                <w:bCs/>
                <w:color w:val="000000"/>
                <w:lang w:val="en-US"/>
              </w:rPr>
              <w:t>Mean (SE)</w:t>
            </w:r>
          </w:p>
        </w:tc>
        <w:tc>
          <w:tcPr>
            <w:tcW w:w="1985" w:type="dxa"/>
            <w:tcBorders>
              <w:top w:val="single" w:sz="8" w:space="0" w:color="000000"/>
              <w:left w:val="nil"/>
              <w:bottom w:val="single" w:sz="8" w:space="0" w:color="000000"/>
              <w:right w:val="nil"/>
            </w:tcBorders>
          </w:tcPr>
          <w:p w14:paraId="45B805D6" w14:textId="77777777" w:rsidR="00F51D8E" w:rsidRPr="00C9506C" w:rsidRDefault="00F51D8E" w:rsidP="007E28B9">
            <w:pPr>
              <w:spacing w:after="0" w:line="240" w:lineRule="auto"/>
              <w:rPr>
                <w:b/>
                <w:bCs/>
                <w:color w:val="000000"/>
                <w:lang w:val="en-US"/>
              </w:rPr>
            </w:pPr>
            <w:r w:rsidRPr="00C9506C">
              <w:rPr>
                <w:b/>
                <w:bCs/>
                <w:color w:val="000000"/>
                <w:lang w:val="en-US"/>
              </w:rPr>
              <w:t>Active monitoring (N=118)</w:t>
            </w:r>
          </w:p>
          <w:p w14:paraId="3FC4BBD5" w14:textId="77777777" w:rsidR="00F51D8E" w:rsidRPr="00C9506C" w:rsidRDefault="00F51D8E" w:rsidP="007E28B9">
            <w:pPr>
              <w:spacing w:after="0" w:line="240" w:lineRule="auto"/>
              <w:rPr>
                <w:b/>
                <w:bCs/>
                <w:color w:val="000000"/>
                <w:lang w:val="en-US"/>
              </w:rPr>
            </w:pPr>
            <w:r w:rsidRPr="00C9506C">
              <w:rPr>
                <w:b/>
                <w:bCs/>
                <w:color w:val="000000"/>
                <w:lang w:val="en-US"/>
              </w:rPr>
              <w:t>Mean (SE)</w:t>
            </w:r>
          </w:p>
        </w:tc>
        <w:tc>
          <w:tcPr>
            <w:tcW w:w="2170" w:type="dxa"/>
            <w:tcBorders>
              <w:top w:val="single" w:sz="8" w:space="0" w:color="000000"/>
              <w:left w:val="nil"/>
              <w:bottom w:val="single" w:sz="8" w:space="0" w:color="000000"/>
              <w:right w:val="nil"/>
            </w:tcBorders>
          </w:tcPr>
          <w:p w14:paraId="7966B317" w14:textId="77777777" w:rsidR="00F51D8E" w:rsidRPr="00C9506C" w:rsidRDefault="00F51D8E" w:rsidP="007E28B9">
            <w:pPr>
              <w:spacing w:after="0" w:line="240" w:lineRule="auto"/>
              <w:rPr>
                <w:b/>
                <w:bCs/>
                <w:color w:val="000000"/>
                <w:lang w:val="en-US"/>
              </w:rPr>
            </w:pPr>
            <w:r w:rsidRPr="00C9506C">
              <w:rPr>
                <w:b/>
                <w:bCs/>
                <w:color w:val="000000"/>
                <w:lang w:val="en-US"/>
              </w:rPr>
              <w:t>Antidepressant (N=145)</w:t>
            </w:r>
          </w:p>
          <w:p w14:paraId="73F17BF4" w14:textId="77777777" w:rsidR="00F51D8E" w:rsidRPr="00C9506C" w:rsidRDefault="00F51D8E" w:rsidP="007E28B9">
            <w:pPr>
              <w:spacing w:after="0" w:line="240" w:lineRule="auto"/>
              <w:rPr>
                <w:b/>
                <w:bCs/>
                <w:color w:val="000000"/>
                <w:lang w:val="en-US"/>
              </w:rPr>
            </w:pPr>
            <w:r w:rsidRPr="00C9506C">
              <w:rPr>
                <w:b/>
                <w:bCs/>
                <w:color w:val="000000"/>
                <w:lang w:val="en-US"/>
              </w:rPr>
              <w:t>Mean (SE)</w:t>
            </w:r>
          </w:p>
        </w:tc>
      </w:tr>
      <w:tr w:rsidR="00F51D8E" w:rsidRPr="00C9506C" w14:paraId="4C2270AC" w14:textId="77777777" w:rsidTr="007E28B9">
        <w:trPr>
          <w:trHeight w:val="454"/>
        </w:trPr>
        <w:tc>
          <w:tcPr>
            <w:tcW w:w="2559" w:type="dxa"/>
            <w:tcBorders>
              <w:left w:val="nil"/>
              <w:right w:val="nil"/>
            </w:tcBorders>
            <w:shd w:val="clear" w:color="auto" w:fill="auto"/>
          </w:tcPr>
          <w:p w14:paraId="6AACAD99" w14:textId="77777777" w:rsidR="00F51D8E" w:rsidRPr="00C9506C" w:rsidRDefault="00F51D8E" w:rsidP="007E28B9">
            <w:pPr>
              <w:spacing w:after="0" w:line="480" w:lineRule="auto"/>
              <w:rPr>
                <w:b/>
                <w:bCs/>
                <w:color w:val="000000"/>
                <w:lang w:val="en-US"/>
              </w:rPr>
            </w:pPr>
            <w:r w:rsidRPr="00C9506C">
              <w:rPr>
                <w:b/>
                <w:bCs/>
                <w:color w:val="000000"/>
                <w:lang w:val="en-US"/>
              </w:rPr>
              <w:t xml:space="preserve">Visit to family physician </w:t>
            </w:r>
          </w:p>
        </w:tc>
        <w:tc>
          <w:tcPr>
            <w:tcW w:w="1523" w:type="dxa"/>
            <w:tcBorders>
              <w:left w:val="nil"/>
              <w:right w:val="nil"/>
            </w:tcBorders>
          </w:tcPr>
          <w:p w14:paraId="7D8CA3A4" w14:textId="77777777" w:rsidR="00F51D8E" w:rsidRPr="00C9506C" w:rsidRDefault="00F51D8E" w:rsidP="007E28B9">
            <w:pPr>
              <w:spacing w:after="0" w:line="480" w:lineRule="auto"/>
              <w:rPr>
                <w:color w:val="000000"/>
                <w:lang w:val="en-US"/>
              </w:rPr>
            </w:pPr>
            <w:r>
              <w:rPr>
                <w:color w:val="000000"/>
                <w:lang w:val="en-US"/>
              </w:rPr>
              <w:t>-</w:t>
            </w:r>
          </w:p>
        </w:tc>
        <w:tc>
          <w:tcPr>
            <w:tcW w:w="1612" w:type="dxa"/>
            <w:tcBorders>
              <w:left w:val="nil"/>
              <w:right w:val="nil"/>
            </w:tcBorders>
          </w:tcPr>
          <w:p w14:paraId="176EBB59" w14:textId="77777777" w:rsidR="00F51D8E" w:rsidRPr="00C9506C" w:rsidRDefault="00F51D8E" w:rsidP="007E28B9">
            <w:pPr>
              <w:spacing w:after="0" w:line="480" w:lineRule="auto"/>
              <w:rPr>
                <w:color w:val="000000"/>
                <w:lang w:val="en-US"/>
              </w:rPr>
            </w:pPr>
            <w:r>
              <w:rPr>
                <w:color w:val="000000"/>
                <w:lang w:val="en-US"/>
              </w:rPr>
              <w:t>-</w:t>
            </w:r>
          </w:p>
        </w:tc>
        <w:tc>
          <w:tcPr>
            <w:tcW w:w="1985" w:type="dxa"/>
            <w:tcBorders>
              <w:left w:val="nil"/>
              <w:right w:val="nil"/>
            </w:tcBorders>
          </w:tcPr>
          <w:p w14:paraId="0E16070C" w14:textId="77777777" w:rsidR="00F51D8E" w:rsidRPr="00C9506C" w:rsidRDefault="00F51D8E" w:rsidP="007E28B9">
            <w:pPr>
              <w:spacing w:after="0" w:line="480" w:lineRule="auto"/>
              <w:rPr>
                <w:color w:val="000000"/>
                <w:lang w:val="en-US"/>
              </w:rPr>
            </w:pPr>
            <w:r w:rsidRPr="00C9506C">
              <w:rPr>
                <w:color w:val="000000"/>
                <w:lang w:val="en-US"/>
              </w:rPr>
              <w:t>136.8 (18.2)</w:t>
            </w:r>
          </w:p>
        </w:tc>
        <w:tc>
          <w:tcPr>
            <w:tcW w:w="2170" w:type="dxa"/>
            <w:tcBorders>
              <w:left w:val="nil"/>
              <w:right w:val="nil"/>
            </w:tcBorders>
          </w:tcPr>
          <w:p w14:paraId="7E19164C" w14:textId="77777777" w:rsidR="00F51D8E" w:rsidRPr="00C9506C" w:rsidRDefault="00F51D8E" w:rsidP="007E28B9">
            <w:pPr>
              <w:spacing w:after="0" w:line="480" w:lineRule="auto"/>
              <w:rPr>
                <w:color w:val="000000"/>
                <w:lang w:val="en-US"/>
              </w:rPr>
            </w:pPr>
            <w:r w:rsidRPr="00C9506C">
              <w:rPr>
                <w:color w:val="000000"/>
                <w:lang w:val="en-US"/>
              </w:rPr>
              <w:t>140.3 (13.9)</w:t>
            </w:r>
          </w:p>
        </w:tc>
        <w:tc>
          <w:tcPr>
            <w:tcW w:w="1985" w:type="dxa"/>
            <w:tcBorders>
              <w:left w:val="nil"/>
              <w:right w:val="nil"/>
            </w:tcBorders>
          </w:tcPr>
          <w:p w14:paraId="237951A1" w14:textId="77777777" w:rsidR="00F51D8E" w:rsidRPr="00C9506C" w:rsidRDefault="00F51D8E" w:rsidP="007E28B9">
            <w:pPr>
              <w:spacing w:after="0" w:line="480" w:lineRule="auto"/>
              <w:rPr>
                <w:color w:val="000000"/>
                <w:lang w:val="en-US"/>
              </w:rPr>
            </w:pPr>
            <w:r w:rsidRPr="00C9506C">
              <w:rPr>
                <w:color w:val="000000"/>
                <w:lang w:val="en-US"/>
              </w:rPr>
              <w:t>95.2 (11.1)</w:t>
            </w:r>
          </w:p>
        </w:tc>
        <w:tc>
          <w:tcPr>
            <w:tcW w:w="2170" w:type="dxa"/>
            <w:tcBorders>
              <w:left w:val="nil"/>
              <w:right w:val="nil"/>
            </w:tcBorders>
          </w:tcPr>
          <w:p w14:paraId="003D563F" w14:textId="77777777" w:rsidR="00F51D8E" w:rsidRPr="00C9506C" w:rsidRDefault="00F51D8E" w:rsidP="007E28B9">
            <w:pPr>
              <w:spacing w:after="0" w:line="480" w:lineRule="auto"/>
              <w:rPr>
                <w:color w:val="000000"/>
                <w:lang w:val="en-US"/>
              </w:rPr>
            </w:pPr>
            <w:r w:rsidRPr="00C9506C">
              <w:rPr>
                <w:color w:val="000000"/>
                <w:lang w:val="en-US"/>
              </w:rPr>
              <w:t>126.4 (13.7)</w:t>
            </w:r>
          </w:p>
        </w:tc>
      </w:tr>
      <w:tr w:rsidR="00F51D8E" w:rsidRPr="00C9506C" w14:paraId="280B5541" w14:textId="77777777" w:rsidTr="007E28B9">
        <w:trPr>
          <w:trHeight w:val="454"/>
        </w:trPr>
        <w:tc>
          <w:tcPr>
            <w:tcW w:w="2559" w:type="dxa"/>
            <w:shd w:val="clear" w:color="auto" w:fill="auto"/>
          </w:tcPr>
          <w:p w14:paraId="604962C1" w14:textId="77777777" w:rsidR="00F51D8E" w:rsidRPr="00C9506C" w:rsidRDefault="00F51D8E" w:rsidP="007E28B9">
            <w:pPr>
              <w:spacing w:after="0" w:line="480" w:lineRule="auto"/>
              <w:rPr>
                <w:b/>
                <w:bCs/>
                <w:color w:val="000000"/>
                <w:lang w:val="en-US"/>
              </w:rPr>
            </w:pPr>
            <w:r w:rsidRPr="00C9506C">
              <w:rPr>
                <w:b/>
                <w:bCs/>
                <w:color w:val="000000"/>
                <w:lang w:val="en-US"/>
              </w:rPr>
              <w:t>Visit to nurse</w:t>
            </w:r>
          </w:p>
        </w:tc>
        <w:tc>
          <w:tcPr>
            <w:tcW w:w="1523" w:type="dxa"/>
          </w:tcPr>
          <w:p w14:paraId="7A5E8065" w14:textId="77777777" w:rsidR="00F51D8E" w:rsidRPr="00C9506C" w:rsidRDefault="00F51D8E" w:rsidP="007E28B9">
            <w:pPr>
              <w:spacing w:after="0" w:line="480" w:lineRule="auto"/>
              <w:rPr>
                <w:color w:val="000000"/>
                <w:lang w:val="en-US"/>
              </w:rPr>
            </w:pPr>
            <w:r>
              <w:rPr>
                <w:color w:val="000000"/>
                <w:lang w:val="en-US"/>
              </w:rPr>
              <w:t>-</w:t>
            </w:r>
          </w:p>
        </w:tc>
        <w:tc>
          <w:tcPr>
            <w:tcW w:w="1612" w:type="dxa"/>
          </w:tcPr>
          <w:p w14:paraId="16708D51" w14:textId="77777777" w:rsidR="00F51D8E" w:rsidRPr="00C9506C" w:rsidRDefault="00F51D8E" w:rsidP="007E28B9">
            <w:pPr>
              <w:spacing w:after="0" w:line="480" w:lineRule="auto"/>
              <w:rPr>
                <w:color w:val="000000"/>
                <w:lang w:val="en-US"/>
              </w:rPr>
            </w:pPr>
            <w:r>
              <w:rPr>
                <w:color w:val="000000"/>
                <w:lang w:val="en-US"/>
              </w:rPr>
              <w:t>-</w:t>
            </w:r>
          </w:p>
        </w:tc>
        <w:tc>
          <w:tcPr>
            <w:tcW w:w="1985" w:type="dxa"/>
          </w:tcPr>
          <w:p w14:paraId="76EA222E" w14:textId="77777777" w:rsidR="00F51D8E" w:rsidRPr="00C9506C" w:rsidRDefault="00F51D8E" w:rsidP="007E28B9">
            <w:pPr>
              <w:spacing w:after="0" w:line="480" w:lineRule="auto"/>
              <w:rPr>
                <w:color w:val="000000"/>
                <w:lang w:val="en-US"/>
              </w:rPr>
            </w:pPr>
            <w:r w:rsidRPr="00C9506C">
              <w:rPr>
                <w:color w:val="000000"/>
                <w:lang w:val="en-US"/>
              </w:rPr>
              <w:t>5.1 (1.7)</w:t>
            </w:r>
          </w:p>
        </w:tc>
        <w:tc>
          <w:tcPr>
            <w:tcW w:w="2170" w:type="dxa"/>
          </w:tcPr>
          <w:p w14:paraId="0F2E430A" w14:textId="77777777" w:rsidR="00F51D8E" w:rsidRPr="00C9506C" w:rsidRDefault="00F51D8E" w:rsidP="007E28B9">
            <w:pPr>
              <w:spacing w:after="0" w:line="480" w:lineRule="auto"/>
              <w:rPr>
                <w:color w:val="000000"/>
                <w:lang w:val="en-US"/>
              </w:rPr>
            </w:pPr>
            <w:r w:rsidRPr="00C9506C">
              <w:rPr>
                <w:color w:val="000000"/>
                <w:lang w:val="en-US"/>
              </w:rPr>
              <w:t>7.1 (1.8)</w:t>
            </w:r>
          </w:p>
        </w:tc>
        <w:tc>
          <w:tcPr>
            <w:tcW w:w="1985" w:type="dxa"/>
          </w:tcPr>
          <w:p w14:paraId="7CCE81B7" w14:textId="77777777" w:rsidR="00F51D8E" w:rsidRPr="00C9506C" w:rsidRDefault="00F51D8E" w:rsidP="007E28B9">
            <w:pPr>
              <w:spacing w:after="0" w:line="480" w:lineRule="auto"/>
              <w:rPr>
                <w:color w:val="000000"/>
                <w:lang w:val="en-US"/>
              </w:rPr>
            </w:pPr>
            <w:r w:rsidRPr="00C9506C">
              <w:rPr>
                <w:color w:val="000000"/>
                <w:lang w:val="en-US"/>
              </w:rPr>
              <w:t>5.9 (2.0)</w:t>
            </w:r>
          </w:p>
        </w:tc>
        <w:tc>
          <w:tcPr>
            <w:tcW w:w="2170" w:type="dxa"/>
          </w:tcPr>
          <w:p w14:paraId="19533455" w14:textId="77777777" w:rsidR="00F51D8E" w:rsidRPr="00C9506C" w:rsidRDefault="00F51D8E" w:rsidP="007E28B9">
            <w:pPr>
              <w:spacing w:after="0" w:line="480" w:lineRule="auto"/>
              <w:rPr>
                <w:color w:val="000000"/>
                <w:lang w:val="en-US"/>
              </w:rPr>
            </w:pPr>
            <w:r w:rsidRPr="00C9506C">
              <w:rPr>
                <w:color w:val="000000"/>
                <w:lang w:val="en-US"/>
              </w:rPr>
              <w:t>12.9 (2.9)</w:t>
            </w:r>
          </w:p>
        </w:tc>
      </w:tr>
      <w:tr w:rsidR="00F51D8E" w:rsidRPr="00C9506C" w14:paraId="1AE81953" w14:textId="77777777" w:rsidTr="007E28B9">
        <w:trPr>
          <w:trHeight w:val="454"/>
        </w:trPr>
        <w:tc>
          <w:tcPr>
            <w:tcW w:w="2559" w:type="dxa"/>
            <w:tcBorders>
              <w:left w:val="nil"/>
              <w:right w:val="nil"/>
            </w:tcBorders>
            <w:shd w:val="clear" w:color="auto" w:fill="auto"/>
          </w:tcPr>
          <w:p w14:paraId="55D2772D" w14:textId="77777777" w:rsidR="00F51D8E" w:rsidRPr="00C9506C" w:rsidRDefault="00F51D8E" w:rsidP="007E28B9">
            <w:pPr>
              <w:spacing w:after="0" w:line="480" w:lineRule="auto"/>
              <w:rPr>
                <w:b/>
                <w:bCs/>
                <w:color w:val="000000"/>
                <w:lang w:val="en-US"/>
              </w:rPr>
            </w:pPr>
            <w:r w:rsidRPr="00C9506C">
              <w:rPr>
                <w:b/>
                <w:bCs/>
                <w:color w:val="000000"/>
                <w:lang w:val="en-US"/>
              </w:rPr>
              <w:t xml:space="preserve">Visit to psychologist </w:t>
            </w:r>
          </w:p>
        </w:tc>
        <w:tc>
          <w:tcPr>
            <w:tcW w:w="1523" w:type="dxa"/>
            <w:tcBorders>
              <w:left w:val="nil"/>
              <w:right w:val="nil"/>
            </w:tcBorders>
          </w:tcPr>
          <w:p w14:paraId="0632EE04" w14:textId="77777777" w:rsidR="00F51D8E" w:rsidRPr="00C9506C" w:rsidRDefault="00F51D8E" w:rsidP="007E28B9">
            <w:pPr>
              <w:spacing w:after="0" w:line="480" w:lineRule="auto"/>
              <w:rPr>
                <w:color w:val="000000"/>
                <w:lang w:val="en-US"/>
              </w:rPr>
            </w:pPr>
            <w:r>
              <w:rPr>
                <w:color w:val="000000"/>
                <w:lang w:val="en-US"/>
              </w:rPr>
              <w:t>-</w:t>
            </w:r>
          </w:p>
        </w:tc>
        <w:tc>
          <w:tcPr>
            <w:tcW w:w="1612" w:type="dxa"/>
            <w:tcBorders>
              <w:left w:val="nil"/>
              <w:right w:val="nil"/>
            </w:tcBorders>
          </w:tcPr>
          <w:p w14:paraId="6AE1BBCF" w14:textId="77777777" w:rsidR="00F51D8E" w:rsidRPr="00C9506C" w:rsidRDefault="00F51D8E" w:rsidP="007E28B9">
            <w:pPr>
              <w:spacing w:after="0" w:line="480" w:lineRule="auto"/>
              <w:rPr>
                <w:color w:val="000000"/>
                <w:lang w:val="en-US"/>
              </w:rPr>
            </w:pPr>
            <w:r>
              <w:rPr>
                <w:color w:val="000000"/>
                <w:lang w:val="en-US"/>
              </w:rPr>
              <w:t>-</w:t>
            </w:r>
          </w:p>
        </w:tc>
        <w:tc>
          <w:tcPr>
            <w:tcW w:w="1985" w:type="dxa"/>
            <w:tcBorders>
              <w:left w:val="nil"/>
              <w:right w:val="nil"/>
            </w:tcBorders>
          </w:tcPr>
          <w:p w14:paraId="70EEE26B" w14:textId="77777777" w:rsidR="00F51D8E" w:rsidRPr="00C9506C" w:rsidRDefault="00F51D8E" w:rsidP="007E28B9">
            <w:pPr>
              <w:spacing w:after="0" w:line="480" w:lineRule="auto"/>
              <w:rPr>
                <w:color w:val="000000"/>
                <w:lang w:val="en-US"/>
              </w:rPr>
            </w:pPr>
            <w:r w:rsidRPr="00C9506C">
              <w:rPr>
                <w:color w:val="000000"/>
                <w:lang w:val="en-US"/>
              </w:rPr>
              <w:t>8.8 (4.3)</w:t>
            </w:r>
          </w:p>
        </w:tc>
        <w:tc>
          <w:tcPr>
            <w:tcW w:w="2170" w:type="dxa"/>
            <w:tcBorders>
              <w:left w:val="nil"/>
              <w:right w:val="nil"/>
            </w:tcBorders>
          </w:tcPr>
          <w:p w14:paraId="17710435" w14:textId="77777777" w:rsidR="00F51D8E" w:rsidRPr="00C9506C" w:rsidRDefault="00F51D8E" w:rsidP="007E28B9">
            <w:pPr>
              <w:spacing w:after="0" w:line="480" w:lineRule="auto"/>
              <w:rPr>
                <w:color w:val="000000"/>
                <w:lang w:val="en-US"/>
              </w:rPr>
            </w:pPr>
            <w:r w:rsidRPr="00C9506C">
              <w:rPr>
                <w:color w:val="000000"/>
                <w:lang w:val="en-US"/>
              </w:rPr>
              <w:t>21.0 (7.5)</w:t>
            </w:r>
          </w:p>
        </w:tc>
        <w:tc>
          <w:tcPr>
            <w:tcW w:w="1985" w:type="dxa"/>
            <w:tcBorders>
              <w:left w:val="nil"/>
              <w:right w:val="nil"/>
            </w:tcBorders>
          </w:tcPr>
          <w:p w14:paraId="65BB16EE" w14:textId="77777777" w:rsidR="00F51D8E" w:rsidRPr="00C9506C" w:rsidRDefault="00F51D8E" w:rsidP="007E28B9">
            <w:pPr>
              <w:spacing w:after="0" w:line="480" w:lineRule="auto"/>
              <w:rPr>
                <w:color w:val="000000"/>
                <w:lang w:val="en-US"/>
              </w:rPr>
            </w:pPr>
            <w:r w:rsidRPr="00C9506C">
              <w:rPr>
                <w:color w:val="000000"/>
                <w:lang w:val="en-US"/>
              </w:rPr>
              <w:t>5.9 (3.9)</w:t>
            </w:r>
          </w:p>
        </w:tc>
        <w:tc>
          <w:tcPr>
            <w:tcW w:w="2170" w:type="dxa"/>
            <w:tcBorders>
              <w:left w:val="nil"/>
              <w:right w:val="nil"/>
            </w:tcBorders>
          </w:tcPr>
          <w:p w14:paraId="556B92B5" w14:textId="77777777" w:rsidR="00F51D8E" w:rsidRPr="00C9506C" w:rsidRDefault="00F51D8E" w:rsidP="007E28B9">
            <w:pPr>
              <w:spacing w:after="0" w:line="480" w:lineRule="auto"/>
              <w:rPr>
                <w:color w:val="000000"/>
                <w:lang w:val="en-US"/>
              </w:rPr>
            </w:pPr>
            <w:r w:rsidRPr="00C9506C">
              <w:rPr>
                <w:color w:val="000000"/>
                <w:lang w:val="en-US"/>
              </w:rPr>
              <w:t>15.7 (6.2)</w:t>
            </w:r>
          </w:p>
        </w:tc>
      </w:tr>
      <w:tr w:rsidR="00F51D8E" w:rsidRPr="00C9506C" w14:paraId="4FA4527B" w14:textId="77777777" w:rsidTr="007E28B9">
        <w:trPr>
          <w:trHeight w:val="454"/>
        </w:trPr>
        <w:tc>
          <w:tcPr>
            <w:tcW w:w="2559" w:type="dxa"/>
            <w:shd w:val="clear" w:color="auto" w:fill="auto"/>
          </w:tcPr>
          <w:p w14:paraId="55204A63" w14:textId="77777777" w:rsidR="00F51D8E" w:rsidRPr="00C9506C" w:rsidRDefault="00F51D8E" w:rsidP="007E28B9">
            <w:pPr>
              <w:spacing w:after="0" w:line="480" w:lineRule="auto"/>
              <w:rPr>
                <w:b/>
                <w:bCs/>
                <w:color w:val="000000"/>
                <w:lang w:val="en-US"/>
              </w:rPr>
            </w:pPr>
            <w:r w:rsidRPr="00C9506C">
              <w:rPr>
                <w:b/>
                <w:bCs/>
                <w:color w:val="000000"/>
                <w:lang w:val="en-US"/>
              </w:rPr>
              <w:t>Visit to medical specialists (including psychiatrist)</w:t>
            </w:r>
          </w:p>
        </w:tc>
        <w:tc>
          <w:tcPr>
            <w:tcW w:w="1523" w:type="dxa"/>
          </w:tcPr>
          <w:p w14:paraId="52D28B82" w14:textId="77777777" w:rsidR="00F51D8E" w:rsidRPr="00C9506C" w:rsidRDefault="00F51D8E" w:rsidP="007E28B9">
            <w:pPr>
              <w:spacing w:after="0" w:line="480" w:lineRule="auto"/>
              <w:rPr>
                <w:color w:val="000000"/>
                <w:lang w:val="en-US"/>
              </w:rPr>
            </w:pPr>
            <w:r>
              <w:rPr>
                <w:color w:val="000000"/>
                <w:lang w:val="en-US"/>
              </w:rPr>
              <w:t>-</w:t>
            </w:r>
          </w:p>
        </w:tc>
        <w:tc>
          <w:tcPr>
            <w:tcW w:w="1612" w:type="dxa"/>
          </w:tcPr>
          <w:p w14:paraId="723EE85E" w14:textId="77777777" w:rsidR="00F51D8E" w:rsidRPr="00C9506C" w:rsidRDefault="00F51D8E" w:rsidP="007E28B9">
            <w:pPr>
              <w:spacing w:after="0" w:line="480" w:lineRule="auto"/>
              <w:rPr>
                <w:color w:val="000000"/>
                <w:lang w:val="en-US"/>
              </w:rPr>
            </w:pPr>
            <w:r>
              <w:rPr>
                <w:color w:val="000000"/>
                <w:lang w:val="en-US"/>
              </w:rPr>
              <w:t>-</w:t>
            </w:r>
          </w:p>
        </w:tc>
        <w:tc>
          <w:tcPr>
            <w:tcW w:w="1985" w:type="dxa"/>
          </w:tcPr>
          <w:p w14:paraId="72655ECC" w14:textId="77777777" w:rsidR="00F51D8E" w:rsidRPr="00C9506C" w:rsidRDefault="00F51D8E" w:rsidP="007E28B9">
            <w:pPr>
              <w:spacing w:after="0" w:line="480" w:lineRule="auto"/>
              <w:rPr>
                <w:color w:val="000000"/>
                <w:lang w:val="en-US"/>
              </w:rPr>
            </w:pPr>
            <w:r w:rsidRPr="00C9506C">
              <w:rPr>
                <w:color w:val="000000"/>
                <w:lang w:val="en-US"/>
              </w:rPr>
              <w:t>52.7 (10.2)</w:t>
            </w:r>
          </w:p>
        </w:tc>
        <w:tc>
          <w:tcPr>
            <w:tcW w:w="2170" w:type="dxa"/>
          </w:tcPr>
          <w:p w14:paraId="35F2B3AB" w14:textId="77777777" w:rsidR="00F51D8E" w:rsidRPr="00C9506C" w:rsidRDefault="00F51D8E" w:rsidP="007E28B9">
            <w:pPr>
              <w:spacing w:after="0" w:line="480" w:lineRule="auto"/>
              <w:rPr>
                <w:color w:val="000000"/>
                <w:lang w:val="en-US"/>
              </w:rPr>
            </w:pPr>
            <w:r w:rsidRPr="00C9506C">
              <w:rPr>
                <w:color w:val="000000"/>
                <w:lang w:val="en-US"/>
              </w:rPr>
              <w:t>59.7 (8.7)</w:t>
            </w:r>
          </w:p>
        </w:tc>
        <w:tc>
          <w:tcPr>
            <w:tcW w:w="1985" w:type="dxa"/>
          </w:tcPr>
          <w:p w14:paraId="3AE36ED4" w14:textId="77777777" w:rsidR="00F51D8E" w:rsidRPr="00C9506C" w:rsidRDefault="00F51D8E" w:rsidP="007E28B9">
            <w:pPr>
              <w:spacing w:after="0" w:line="480" w:lineRule="auto"/>
              <w:rPr>
                <w:color w:val="000000"/>
                <w:lang w:val="en-US"/>
              </w:rPr>
            </w:pPr>
            <w:r w:rsidRPr="00C9506C">
              <w:rPr>
                <w:color w:val="000000"/>
                <w:lang w:val="en-US"/>
              </w:rPr>
              <w:t>66.1 (11.2)</w:t>
            </w:r>
          </w:p>
        </w:tc>
        <w:tc>
          <w:tcPr>
            <w:tcW w:w="2170" w:type="dxa"/>
          </w:tcPr>
          <w:p w14:paraId="421F8E56" w14:textId="77777777" w:rsidR="00F51D8E" w:rsidRPr="00C9506C" w:rsidRDefault="00F51D8E" w:rsidP="007E28B9">
            <w:pPr>
              <w:spacing w:after="0" w:line="480" w:lineRule="auto"/>
              <w:rPr>
                <w:color w:val="000000"/>
                <w:lang w:val="en-US"/>
              </w:rPr>
            </w:pPr>
            <w:r w:rsidRPr="00C9506C">
              <w:rPr>
                <w:color w:val="000000"/>
                <w:lang w:val="en-US"/>
              </w:rPr>
              <w:t>65.1 (9.8)</w:t>
            </w:r>
          </w:p>
        </w:tc>
      </w:tr>
      <w:tr w:rsidR="00F51D8E" w:rsidRPr="00C9506C" w14:paraId="0B8F3B0D" w14:textId="77777777" w:rsidTr="007E28B9">
        <w:trPr>
          <w:trHeight w:val="454"/>
        </w:trPr>
        <w:tc>
          <w:tcPr>
            <w:tcW w:w="2559" w:type="dxa"/>
            <w:tcBorders>
              <w:left w:val="nil"/>
              <w:right w:val="nil"/>
            </w:tcBorders>
            <w:shd w:val="clear" w:color="auto" w:fill="auto"/>
          </w:tcPr>
          <w:p w14:paraId="6DFD1F55" w14:textId="77777777" w:rsidR="00F51D8E" w:rsidRPr="00C9506C" w:rsidRDefault="00F51D8E" w:rsidP="007E28B9">
            <w:pPr>
              <w:spacing w:after="0" w:line="480" w:lineRule="auto"/>
              <w:rPr>
                <w:b/>
                <w:bCs/>
                <w:color w:val="000000"/>
                <w:lang w:val="en-US"/>
              </w:rPr>
            </w:pPr>
            <w:r w:rsidRPr="00C9506C">
              <w:rPr>
                <w:b/>
                <w:bCs/>
                <w:color w:val="000000"/>
                <w:lang w:val="en-US"/>
              </w:rPr>
              <w:t>Visit to dentist in the primary care practice</w:t>
            </w:r>
          </w:p>
        </w:tc>
        <w:tc>
          <w:tcPr>
            <w:tcW w:w="1523" w:type="dxa"/>
            <w:tcBorders>
              <w:left w:val="nil"/>
              <w:right w:val="nil"/>
            </w:tcBorders>
          </w:tcPr>
          <w:p w14:paraId="22A7FA3D" w14:textId="77777777" w:rsidR="00F51D8E" w:rsidRPr="00C9506C" w:rsidRDefault="00F51D8E" w:rsidP="007E28B9">
            <w:pPr>
              <w:spacing w:after="0" w:line="480" w:lineRule="auto"/>
              <w:rPr>
                <w:color w:val="000000"/>
                <w:lang w:val="en-US"/>
              </w:rPr>
            </w:pPr>
            <w:r>
              <w:rPr>
                <w:color w:val="000000"/>
                <w:lang w:val="en-US"/>
              </w:rPr>
              <w:t>-</w:t>
            </w:r>
          </w:p>
        </w:tc>
        <w:tc>
          <w:tcPr>
            <w:tcW w:w="1612" w:type="dxa"/>
            <w:tcBorders>
              <w:left w:val="nil"/>
              <w:right w:val="nil"/>
            </w:tcBorders>
          </w:tcPr>
          <w:p w14:paraId="2137C177" w14:textId="77777777" w:rsidR="00F51D8E" w:rsidRPr="00C9506C" w:rsidRDefault="00F51D8E" w:rsidP="007E28B9">
            <w:pPr>
              <w:spacing w:after="0" w:line="480" w:lineRule="auto"/>
              <w:rPr>
                <w:color w:val="000000"/>
                <w:lang w:val="en-US"/>
              </w:rPr>
            </w:pPr>
            <w:r>
              <w:rPr>
                <w:color w:val="000000"/>
                <w:lang w:val="en-US"/>
              </w:rPr>
              <w:t>-</w:t>
            </w:r>
          </w:p>
        </w:tc>
        <w:tc>
          <w:tcPr>
            <w:tcW w:w="1985" w:type="dxa"/>
            <w:tcBorders>
              <w:left w:val="nil"/>
              <w:right w:val="nil"/>
            </w:tcBorders>
          </w:tcPr>
          <w:p w14:paraId="7305BAC2" w14:textId="77777777" w:rsidR="00F51D8E" w:rsidRPr="00C9506C" w:rsidRDefault="00F51D8E" w:rsidP="007E28B9">
            <w:pPr>
              <w:spacing w:after="0" w:line="480" w:lineRule="auto"/>
              <w:rPr>
                <w:color w:val="000000"/>
                <w:lang w:val="en-US"/>
              </w:rPr>
            </w:pPr>
            <w:r w:rsidRPr="00C9506C">
              <w:rPr>
                <w:color w:val="000000"/>
                <w:lang w:val="en-US"/>
              </w:rPr>
              <w:t>2.8 (1.8)</w:t>
            </w:r>
          </w:p>
        </w:tc>
        <w:tc>
          <w:tcPr>
            <w:tcW w:w="2170" w:type="dxa"/>
            <w:tcBorders>
              <w:left w:val="nil"/>
              <w:right w:val="nil"/>
            </w:tcBorders>
          </w:tcPr>
          <w:p w14:paraId="3DDA9E16" w14:textId="77777777" w:rsidR="00F51D8E" w:rsidRPr="00C9506C" w:rsidRDefault="00F51D8E" w:rsidP="007E28B9">
            <w:pPr>
              <w:spacing w:after="0" w:line="480" w:lineRule="auto"/>
              <w:rPr>
                <w:color w:val="000000"/>
                <w:lang w:val="en-US"/>
              </w:rPr>
            </w:pPr>
            <w:r w:rsidRPr="00C9506C">
              <w:rPr>
                <w:color w:val="000000"/>
                <w:lang w:val="en-US"/>
              </w:rPr>
              <w:t>2.3 (1.3)</w:t>
            </w:r>
          </w:p>
        </w:tc>
        <w:tc>
          <w:tcPr>
            <w:tcW w:w="1985" w:type="dxa"/>
            <w:tcBorders>
              <w:left w:val="nil"/>
              <w:right w:val="nil"/>
            </w:tcBorders>
          </w:tcPr>
          <w:p w14:paraId="06EF8458" w14:textId="77777777" w:rsidR="00F51D8E" w:rsidRPr="00C9506C" w:rsidRDefault="00F51D8E" w:rsidP="007E28B9">
            <w:pPr>
              <w:spacing w:after="0" w:line="480" w:lineRule="auto"/>
              <w:rPr>
                <w:color w:val="000000"/>
                <w:lang w:val="en-US"/>
              </w:rPr>
            </w:pPr>
            <w:r w:rsidRPr="00C9506C">
              <w:rPr>
                <w:color w:val="000000"/>
                <w:lang w:val="en-US"/>
              </w:rPr>
              <w:t>6.9 (4.6)</w:t>
            </w:r>
          </w:p>
        </w:tc>
        <w:tc>
          <w:tcPr>
            <w:tcW w:w="2170" w:type="dxa"/>
            <w:tcBorders>
              <w:left w:val="nil"/>
              <w:right w:val="nil"/>
            </w:tcBorders>
          </w:tcPr>
          <w:p w14:paraId="2DB4C8FC" w14:textId="77777777" w:rsidR="00F51D8E" w:rsidRPr="00C9506C" w:rsidRDefault="00F51D8E" w:rsidP="007E28B9">
            <w:pPr>
              <w:spacing w:after="0" w:line="480" w:lineRule="auto"/>
              <w:rPr>
                <w:color w:val="000000"/>
                <w:lang w:val="en-US"/>
              </w:rPr>
            </w:pPr>
            <w:r w:rsidRPr="00C9506C">
              <w:rPr>
                <w:color w:val="000000"/>
                <w:lang w:val="en-US"/>
              </w:rPr>
              <w:t>5.8 (3.6)</w:t>
            </w:r>
          </w:p>
        </w:tc>
      </w:tr>
      <w:tr w:rsidR="00F51D8E" w:rsidRPr="00C9506C" w14:paraId="31174A39" w14:textId="77777777" w:rsidTr="007E28B9">
        <w:trPr>
          <w:trHeight w:val="454"/>
        </w:trPr>
        <w:tc>
          <w:tcPr>
            <w:tcW w:w="2559" w:type="dxa"/>
            <w:shd w:val="clear" w:color="auto" w:fill="auto"/>
          </w:tcPr>
          <w:p w14:paraId="10D90A7D" w14:textId="77777777" w:rsidR="00F51D8E" w:rsidRPr="00C9506C" w:rsidRDefault="00F51D8E" w:rsidP="007E28B9">
            <w:pPr>
              <w:spacing w:after="0" w:line="480" w:lineRule="auto"/>
              <w:rPr>
                <w:b/>
                <w:bCs/>
                <w:color w:val="000000"/>
                <w:lang w:val="en-US"/>
              </w:rPr>
            </w:pPr>
            <w:r w:rsidRPr="00C9506C">
              <w:rPr>
                <w:b/>
                <w:bCs/>
                <w:color w:val="000000"/>
                <w:lang w:val="en-US"/>
              </w:rPr>
              <w:lastRenderedPageBreak/>
              <w:t>Hospital emergency visit</w:t>
            </w:r>
          </w:p>
        </w:tc>
        <w:tc>
          <w:tcPr>
            <w:tcW w:w="1523" w:type="dxa"/>
          </w:tcPr>
          <w:p w14:paraId="717409B1" w14:textId="77777777" w:rsidR="00F51D8E" w:rsidRPr="00C9506C" w:rsidRDefault="00F51D8E" w:rsidP="007E28B9">
            <w:pPr>
              <w:spacing w:after="0" w:line="480" w:lineRule="auto"/>
              <w:rPr>
                <w:color w:val="000000"/>
                <w:lang w:val="en-US"/>
              </w:rPr>
            </w:pPr>
            <w:r>
              <w:rPr>
                <w:color w:val="000000"/>
                <w:lang w:val="en-US"/>
              </w:rPr>
              <w:t>-</w:t>
            </w:r>
          </w:p>
        </w:tc>
        <w:tc>
          <w:tcPr>
            <w:tcW w:w="1612" w:type="dxa"/>
          </w:tcPr>
          <w:p w14:paraId="0BA4B28E" w14:textId="77777777" w:rsidR="00F51D8E" w:rsidRPr="00C9506C" w:rsidRDefault="00F51D8E" w:rsidP="007E28B9">
            <w:pPr>
              <w:spacing w:after="0" w:line="480" w:lineRule="auto"/>
              <w:rPr>
                <w:color w:val="000000"/>
                <w:lang w:val="en-US"/>
              </w:rPr>
            </w:pPr>
            <w:r>
              <w:rPr>
                <w:color w:val="000000"/>
                <w:lang w:val="en-US"/>
              </w:rPr>
              <w:t>-</w:t>
            </w:r>
          </w:p>
        </w:tc>
        <w:tc>
          <w:tcPr>
            <w:tcW w:w="1985" w:type="dxa"/>
          </w:tcPr>
          <w:p w14:paraId="4862B0C0" w14:textId="77777777" w:rsidR="00F51D8E" w:rsidRPr="00C9506C" w:rsidRDefault="00F51D8E" w:rsidP="007E28B9">
            <w:pPr>
              <w:spacing w:after="0" w:line="480" w:lineRule="auto"/>
              <w:rPr>
                <w:color w:val="000000"/>
                <w:lang w:val="en-US"/>
              </w:rPr>
            </w:pPr>
            <w:r w:rsidRPr="00C9506C">
              <w:rPr>
                <w:color w:val="000000"/>
                <w:lang w:val="en-US"/>
              </w:rPr>
              <w:t>24.0 (4.1)</w:t>
            </w:r>
          </w:p>
          <w:p w14:paraId="0D239450" w14:textId="77777777" w:rsidR="00F51D8E" w:rsidRPr="00C9506C" w:rsidRDefault="00F51D8E" w:rsidP="007E28B9">
            <w:pPr>
              <w:spacing w:after="0" w:line="480" w:lineRule="auto"/>
              <w:rPr>
                <w:color w:val="000000"/>
                <w:lang w:val="en-US"/>
              </w:rPr>
            </w:pPr>
          </w:p>
        </w:tc>
        <w:tc>
          <w:tcPr>
            <w:tcW w:w="2170" w:type="dxa"/>
          </w:tcPr>
          <w:p w14:paraId="28FD7D62" w14:textId="77777777" w:rsidR="00F51D8E" w:rsidRPr="00C9506C" w:rsidRDefault="00F51D8E" w:rsidP="007E28B9">
            <w:pPr>
              <w:spacing w:after="0" w:line="480" w:lineRule="auto"/>
              <w:rPr>
                <w:color w:val="000000"/>
                <w:lang w:val="en-US"/>
              </w:rPr>
            </w:pPr>
            <w:r w:rsidRPr="00C9506C">
              <w:rPr>
                <w:color w:val="000000"/>
                <w:lang w:val="en-US"/>
              </w:rPr>
              <w:t>28.5 (4.0)</w:t>
            </w:r>
          </w:p>
        </w:tc>
        <w:tc>
          <w:tcPr>
            <w:tcW w:w="1985" w:type="dxa"/>
          </w:tcPr>
          <w:p w14:paraId="1FBFD48C" w14:textId="77777777" w:rsidR="00F51D8E" w:rsidRPr="00C9506C" w:rsidRDefault="00F51D8E" w:rsidP="007E28B9">
            <w:pPr>
              <w:spacing w:after="0" w:line="480" w:lineRule="auto"/>
              <w:rPr>
                <w:color w:val="000000"/>
                <w:lang w:val="en-US"/>
              </w:rPr>
            </w:pPr>
            <w:r w:rsidRPr="00C9506C">
              <w:rPr>
                <w:color w:val="000000"/>
                <w:lang w:val="en-US"/>
              </w:rPr>
              <w:t>28.4 (4.6)</w:t>
            </w:r>
          </w:p>
        </w:tc>
        <w:tc>
          <w:tcPr>
            <w:tcW w:w="2170" w:type="dxa"/>
          </w:tcPr>
          <w:p w14:paraId="1D49BE53" w14:textId="77777777" w:rsidR="00F51D8E" w:rsidRPr="00C9506C" w:rsidRDefault="00F51D8E" w:rsidP="007E28B9">
            <w:pPr>
              <w:spacing w:after="0" w:line="480" w:lineRule="auto"/>
              <w:rPr>
                <w:color w:val="000000"/>
                <w:lang w:val="en-US"/>
              </w:rPr>
            </w:pPr>
            <w:r w:rsidRPr="00C9506C">
              <w:rPr>
                <w:color w:val="000000"/>
                <w:lang w:val="en-US"/>
              </w:rPr>
              <w:t>36.5 (4.5)</w:t>
            </w:r>
          </w:p>
        </w:tc>
      </w:tr>
      <w:tr w:rsidR="00F51D8E" w:rsidRPr="00C9506C" w14:paraId="368F44BC" w14:textId="77777777" w:rsidTr="007E28B9">
        <w:trPr>
          <w:trHeight w:val="454"/>
        </w:trPr>
        <w:tc>
          <w:tcPr>
            <w:tcW w:w="2559" w:type="dxa"/>
            <w:tcBorders>
              <w:left w:val="nil"/>
              <w:right w:val="nil"/>
            </w:tcBorders>
            <w:shd w:val="clear" w:color="auto" w:fill="auto"/>
          </w:tcPr>
          <w:p w14:paraId="65873EE7" w14:textId="77777777" w:rsidR="00F51D8E" w:rsidRPr="00C9506C" w:rsidRDefault="00F51D8E" w:rsidP="007E28B9">
            <w:pPr>
              <w:spacing w:after="0" w:line="480" w:lineRule="auto"/>
              <w:rPr>
                <w:b/>
                <w:bCs/>
                <w:color w:val="000000"/>
                <w:lang w:val="en-US"/>
              </w:rPr>
            </w:pPr>
            <w:r w:rsidRPr="00C9506C">
              <w:rPr>
                <w:b/>
                <w:bCs/>
                <w:color w:val="000000"/>
                <w:lang w:val="en-US"/>
              </w:rPr>
              <w:t>Hospital stay (per day)</w:t>
            </w:r>
          </w:p>
        </w:tc>
        <w:tc>
          <w:tcPr>
            <w:tcW w:w="1523" w:type="dxa"/>
            <w:tcBorders>
              <w:left w:val="nil"/>
              <w:right w:val="nil"/>
            </w:tcBorders>
          </w:tcPr>
          <w:p w14:paraId="108507BA" w14:textId="77777777" w:rsidR="00F51D8E" w:rsidRPr="00C9506C" w:rsidRDefault="00F51D8E" w:rsidP="007E28B9">
            <w:pPr>
              <w:spacing w:after="0" w:line="480" w:lineRule="auto"/>
              <w:rPr>
                <w:color w:val="000000"/>
                <w:lang w:val="en-US"/>
              </w:rPr>
            </w:pPr>
            <w:r>
              <w:rPr>
                <w:color w:val="000000"/>
                <w:lang w:val="en-US"/>
              </w:rPr>
              <w:t>-</w:t>
            </w:r>
          </w:p>
        </w:tc>
        <w:tc>
          <w:tcPr>
            <w:tcW w:w="1612" w:type="dxa"/>
            <w:tcBorders>
              <w:left w:val="nil"/>
              <w:right w:val="nil"/>
            </w:tcBorders>
          </w:tcPr>
          <w:p w14:paraId="5A861BF2" w14:textId="77777777" w:rsidR="00F51D8E" w:rsidRPr="00C9506C" w:rsidRDefault="00F51D8E" w:rsidP="007E28B9">
            <w:pPr>
              <w:spacing w:after="0" w:line="480" w:lineRule="auto"/>
              <w:rPr>
                <w:color w:val="000000"/>
                <w:lang w:val="en-US"/>
              </w:rPr>
            </w:pPr>
            <w:r>
              <w:rPr>
                <w:color w:val="000000"/>
                <w:lang w:val="en-US"/>
              </w:rPr>
              <w:t>-</w:t>
            </w:r>
          </w:p>
        </w:tc>
        <w:tc>
          <w:tcPr>
            <w:tcW w:w="1985" w:type="dxa"/>
            <w:tcBorders>
              <w:left w:val="nil"/>
              <w:right w:val="nil"/>
            </w:tcBorders>
          </w:tcPr>
          <w:p w14:paraId="65EB07A6" w14:textId="77777777" w:rsidR="00F51D8E" w:rsidRPr="00C9506C" w:rsidRDefault="00F51D8E" w:rsidP="007E28B9">
            <w:pPr>
              <w:spacing w:after="0" w:line="480" w:lineRule="auto"/>
              <w:rPr>
                <w:color w:val="000000"/>
                <w:lang w:val="en-US"/>
              </w:rPr>
            </w:pPr>
            <w:r w:rsidRPr="00C9506C">
              <w:rPr>
                <w:color w:val="000000"/>
                <w:lang w:val="en-US"/>
              </w:rPr>
              <w:t>83.6 (38.5)</w:t>
            </w:r>
          </w:p>
        </w:tc>
        <w:tc>
          <w:tcPr>
            <w:tcW w:w="2170" w:type="dxa"/>
            <w:tcBorders>
              <w:left w:val="nil"/>
              <w:right w:val="nil"/>
            </w:tcBorders>
          </w:tcPr>
          <w:p w14:paraId="04916B5C" w14:textId="77777777" w:rsidR="00F51D8E" w:rsidRPr="00C9506C" w:rsidRDefault="00F51D8E" w:rsidP="007E28B9">
            <w:pPr>
              <w:spacing w:after="0" w:line="480" w:lineRule="auto"/>
              <w:rPr>
                <w:color w:val="000000"/>
                <w:lang w:val="en-US"/>
              </w:rPr>
            </w:pPr>
            <w:r w:rsidRPr="00C9506C">
              <w:rPr>
                <w:color w:val="000000"/>
                <w:lang w:val="en-US"/>
              </w:rPr>
              <w:t>78.9 (35.2)</w:t>
            </w:r>
          </w:p>
        </w:tc>
        <w:tc>
          <w:tcPr>
            <w:tcW w:w="1985" w:type="dxa"/>
            <w:tcBorders>
              <w:left w:val="nil"/>
              <w:right w:val="nil"/>
            </w:tcBorders>
          </w:tcPr>
          <w:p w14:paraId="59D06C28" w14:textId="77777777" w:rsidR="00F51D8E" w:rsidRPr="00C9506C" w:rsidRDefault="00F51D8E" w:rsidP="007E28B9">
            <w:pPr>
              <w:spacing w:after="0" w:line="480" w:lineRule="auto"/>
              <w:rPr>
                <w:color w:val="000000"/>
                <w:lang w:val="en-US"/>
              </w:rPr>
            </w:pPr>
            <w:r w:rsidRPr="00C9506C">
              <w:rPr>
                <w:color w:val="000000"/>
                <w:lang w:val="en-US"/>
              </w:rPr>
              <w:t>140.4 (58.8)</w:t>
            </w:r>
          </w:p>
        </w:tc>
        <w:tc>
          <w:tcPr>
            <w:tcW w:w="2170" w:type="dxa"/>
            <w:tcBorders>
              <w:left w:val="nil"/>
              <w:right w:val="nil"/>
            </w:tcBorders>
          </w:tcPr>
          <w:p w14:paraId="2BD21C2A" w14:textId="77777777" w:rsidR="00F51D8E" w:rsidRPr="00C9506C" w:rsidRDefault="00F51D8E" w:rsidP="007E28B9">
            <w:pPr>
              <w:spacing w:after="0" w:line="480" w:lineRule="auto"/>
              <w:rPr>
                <w:color w:val="000000"/>
                <w:lang w:val="en-US"/>
              </w:rPr>
            </w:pPr>
            <w:r w:rsidRPr="00C9506C">
              <w:rPr>
                <w:color w:val="000000"/>
                <w:lang w:val="en-US"/>
              </w:rPr>
              <w:t>293.7 (134.4)</w:t>
            </w:r>
          </w:p>
        </w:tc>
      </w:tr>
      <w:tr w:rsidR="00F51D8E" w:rsidRPr="00C9506C" w14:paraId="2F6AC082" w14:textId="77777777" w:rsidTr="007E28B9">
        <w:trPr>
          <w:trHeight w:val="454"/>
        </w:trPr>
        <w:tc>
          <w:tcPr>
            <w:tcW w:w="2559" w:type="dxa"/>
            <w:shd w:val="clear" w:color="auto" w:fill="auto"/>
          </w:tcPr>
          <w:p w14:paraId="314CB318" w14:textId="77777777" w:rsidR="00F51D8E" w:rsidRPr="00C9506C" w:rsidRDefault="00F51D8E" w:rsidP="007E28B9">
            <w:pPr>
              <w:spacing w:after="0" w:line="480" w:lineRule="auto"/>
              <w:rPr>
                <w:b/>
                <w:bCs/>
                <w:color w:val="000000"/>
                <w:lang w:val="en-US"/>
              </w:rPr>
            </w:pPr>
            <w:r w:rsidRPr="00C9506C">
              <w:rPr>
                <w:b/>
                <w:bCs/>
                <w:color w:val="000000"/>
                <w:lang w:val="en-US"/>
              </w:rPr>
              <w:t>Diagnostic test (range)</w:t>
            </w:r>
          </w:p>
        </w:tc>
        <w:tc>
          <w:tcPr>
            <w:tcW w:w="1523" w:type="dxa"/>
          </w:tcPr>
          <w:p w14:paraId="667F6E8B" w14:textId="77777777" w:rsidR="00F51D8E" w:rsidRPr="00C9506C" w:rsidRDefault="00F51D8E" w:rsidP="007E28B9">
            <w:pPr>
              <w:spacing w:after="0" w:line="480" w:lineRule="auto"/>
              <w:rPr>
                <w:color w:val="000000"/>
                <w:lang w:val="en-US"/>
              </w:rPr>
            </w:pPr>
            <w:r>
              <w:rPr>
                <w:color w:val="000000"/>
                <w:lang w:val="en-US"/>
              </w:rPr>
              <w:t>-</w:t>
            </w:r>
          </w:p>
        </w:tc>
        <w:tc>
          <w:tcPr>
            <w:tcW w:w="1612" w:type="dxa"/>
          </w:tcPr>
          <w:p w14:paraId="41C0A7A2" w14:textId="77777777" w:rsidR="00F51D8E" w:rsidRPr="00C9506C" w:rsidRDefault="00F51D8E" w:rsidP="007E28B9">
            <w:pPr>
              <w:spacing w:after="0" w:line="480" w:lineRule="auto"/>
              <w:rPr>
                <w:color w:val="000000"/>
                <w:lang w:val="en-US"/>
              </w:rPr>
            </w:pPr>
            <w:r>
              <w:rPr>
                <w:color w:val="000000"/>
                <w:lang w:val="en-US"/>
              </w:rPr>
              <w:t>-</w:t>
            </w:r>
          </w:p>
        </w:tc>
        <w:tc>
          <w:tcPr>
            <w:tcW w:w="1985" w:type="dxa"/>
          </w:tcPr>
          <w:p w14:paraId="16EBC33A" w14:textId="77777777" w:rsidR="00F51D8E" w:rsidRPr="00C9506C" w:rsidRDefault="00F51D8E" w:rsidP="007E28B9">
            <w:pPr>
              <w:spacing w:after="0" w:line="480" w:lineRule="auto"/>
              <w:rPr>
                <w:color w:val="000000"/>
                <w:lang w:val="en-US"/>
              </w:rPr>
            </w:pPr>
            <w:r w:rsidRPr="00C9506C">
              <w:rPr>
                <w:color w:val="000000"/>
                <w:lang w:val="en-US"/>
              </w:rPr>
              <w:t>55.0 (10.6)</w:t>
            </w:r>
          </w:p>
        </w:tc>
        <w:tc>
          <w:tcPr>
            <w:tcW w:w="2170" w:type="dxa"/>
          </w:tcPr>
          <w:p w14:paraId="6DAD4595" w14:textId="77777777" w:rsidR="00F51D8E" w:rsidRPr="00C9506C" w:rsidRDefault="00F51D8E" w:rsidP="007E28B9">
            <w:pPr>
              <w:spacing w:after="0" w:line="480" w:lineRule="auto"/>
              <w:rPr>
                <w:color w:val="000000"/>
                <w:lang w:val="en-US"/>
              </w:rPr>
            </w:pPr>
            <w:r w:rsidRPr="00C9506C">
              <w:rPr>
                <w:color w:val="000000"/>
                <w:lang w:val="en-US"/>
              </w:rPr>
              <w:t>64.1 (9.7)</w:t>
            </w:r>
          </w:p>
        </w:tc>
        <w:tc>
          <w:tcPr>
            <w:tcW w:w="1985" w:type="dxa"/>
          </w:tcPr>
          <w:p w14:paraId="2B536A34" w14:textId="77777777" w:rsidR="00F51D8E" w:rsidRPr="00C9506C" w:rsidRDefault="00F51D8E" w:rsidP="007E28B9">
            <w:pPr>
              <w:spacing w:after="0" w:line="480" w:lineRule="auto"/>
              <w:rPr>
                <w:color w:val="000000"/>
                <w:lang w:val="en-US"/>
              </w:rPr>
            </w:pPr>
            <w:r w:rsidRPr="00C9506C">
              <w:rPr>
                <w:color w:val="000000"/>
                <w:lang w:val="en-US"/>
              </w:rPr>
              <w:t>60.9 (10.2)</w:t>
            </w:r>
          </w:p>
        </w:tc>
        <w:tc>
          <w:tcPr>
            <w:tcW w:w="2170" w:type="dxa"/>
          </w:tcPr>
          <w:p w14:paraId="3A1E1725" w14:textId="77777777" w:rsidR="00F51D8E" w:rsidRPr="00C9506C" w:rsidRDefault="00F51D8E" w:rsidP="007E28B9">
            <w:pPr>
              <w:spacing w:after="0" w:line="480" w:lineRule="auto"/>
              <w:rPr>
                <w:color w:val="000000"/>
                <w:lang w:val="en-US"/>
              </w:rPr>
            </w:pPr>
            <w:r w:rsidRPr="00C9506C">
              <w:rPr>
                <w:color w:val="000000"/>
                <w:lang w:val="en-US"/>
              </w:rPr>
              <w:t>99.9 (21.2)</w:t>
            </w:r>
          </w:p>
        </w:tc>
      </w:tr>
      <w:tr w:rsidR="00F51D8E" w:rsidRPr="00C9506C" w14:paraId="2C89231A" w14:textId="77777777" w:rsidTr="007E28B9">
        <w:trPr>
          <w:trHeight w:val="454"/>
        </w:trPr>
        <w:tc>
          <w:tcPr>
            <w:tcW w:w="2559" w:type="dxa"/>
            <w:tcBorders>
              <w:left w:val="nil"/>
              <w:right w:val="nil"/>
            </w:tcBorders>
            <w:shd w:val="clear" w:color="auto" w:fill="auto"/>
          </w:tcPr>
          <w:p w14:paraId="2D67FB71" w14:textId="77777777" w:rsidR="00F51D8E" w:rsidRPr="00C9506C" w:rsidRDefault="00F51D8E" w:rsidP="007E28B9">
            <w:pPr>
              <w:spacing w:after="0" w:line="480" w:lineRule="auto"/>
              <w:rPr>
                <w:b/>
                <w:bCs/>
                <w:color w:val="000000"/>
                <w:lang w:val="en-US"/>
              </w:rPr>
            </w:pPr>
            <w:r w:rsidRPr="00C9506C">
              <w:rPr>
                <w:b/>
                <w:bCs/>
                <w:color w:val="000000"/>
                <w:lang w:val="en-US"/>
              </w:rPr>
              <w:t>Pharmacological treatment</w:t>
            </w:r>
          </w:p>
        </w:tc>
        <w:tc>
          <w:tcPr>
            <w:tcW w:w="1523" w:type="dxa"/>
            <w:tcBorders>
              <w:left w:val="nil"/>
              <w:right w:val="nil"/>
            </w:tcBorders>
          </w:tcPr>
          <w:p w14:paraId="0925EB15" w14:textId="77777777" w:rsidR="00F51D8E" w:rsidRPr="00C9506C" w:rsidRDefault="00F51D8E" w:rsidP="007E28B9">
            <w:pPr>
              <w:spacing w:after="0" w:line="480" w:lineRule="auto"/>
              <w:rPr>
                <w:b/>
                <w:color w:val="000000"/>
                <w:lang w:val="en-US"/>
              </w:rPr>
            </w:pPr>
            <w:r>
              <w:rPr>
                <w:color w:val="000000"/>
                <w:lang w:val="en-US"/>
              </w:rPr>
              <w:t>-</w:t>
            </w:r>
          </w:p>
        </w:tc>
        <w:tc>
          <w:tcPr>
            <w:tcW w:w="1612" w:type="dxa"/>
            <w:tcBorders>
              <w:left w:val="nil"/>
              <w:right w:val="nil"/>
            </w:tcBorders>
          </w:tcPr>
          <w:p w14:paraId="0EB82D9E" w14:textId="77777777" w:rsidR="00F51D8E" w:rsidRPr="00C9506C" w:rsidRDefault="00F51D8E" w:rsidP="007E28B9">
            <w:pPr>
              <w:spacing w:after="0" w:line="480" w:lineRule="auto"/>
              <w:rPr>
                <w:b/>
                <w:color w:val="000000"/>
                <w:lang w:val="en-US"/>
              </w:rPr>
            </w:pPr>
            <w:r>
              <w:rPr>
                <w:color w:val="000000"/>
                <w:lang w:val="en-US"/>
              </w:rPr>
              <w:t>-</w:t>
            </w:r>
          </w:p>
        </w:tc>
        <w:tc>
          <w:tcPr>
            <w:tcW w:w="1985" w:type="dxa"/>
            <w:tcBorders>
              <w:left w:val="nil"/>
              <w:right w:val="nil"/>
            </w:tcBorders>
          </w:tcPr>
          <w:p w14:paraId="4ABAC796" w14:textId="77777777" w:rsidR="00F51D8E" w:rsidRPr="00C9506C" w:rsidRDefault="00F51D8E" w:rsidP="007E28B9">
            <w:pPr>
              <w:spacing w:after="0" w:line="480" w:lineRule="auto"/>
              <w:rPr>
                <w:b/>
                <w:color w:val="000000"/>
                <w:lang w:val="en-US"/>
              </w:rPr>
            </w:pPr>
            <w:r w:rsidRPr="00C9506C">
              <w:rPr>
                <w:b/>
                <w:color w:val="000000"/>
                <w:lang w:val="en-US"/>
              </w:rPr>
              <w:t>6.7 (1.0)</w:t>
            </w:r>
          </w:p>
        </w:tc>
        <w:tc>
          <w:tcPr>
            <w:tcW w:w="2170" w:type="dxa"/>
            <w:tcBorders>
              <w:left w:val="nil"/>
              <w:right w:val="nil"/>
            </w:tcBorders>
          </w:tcPr>
          <w:p w14:paraId="7A87A061" w14:textId="77777777" w:rsidR="00F51D8E" w:rsidRPr="00C9506C" w:rsidRDefault="00F51D8E" w:rsidP="007E28B9">
            <w:pPr>
              <w:spacing w:after="0" w:line="480" w:lineRule="auto"/>
              <w:rPr>
                <w:b/>
                <w:color w:val="000000"/>
                <w:lang w:val="en-US"/>
              </w:rPr>
            </w:pPr>
            <w:r w:rsidRPr="00C9506C">
              <w:rPr>
                <w:b/>
                <w:color w:val="000000"/>
                <w:lang w:val="en-US"/>
              </w:rPr>
              <w:t>37.5 (4.3)</w:t>
            </w:r>
          </w:p>
        </w:tc>
        <w:tc>
          <w:tcPr>
            <w:tcW w:w="1985" w:type="dxa"/>
            <w:tcBorders>
              <w:left w:val="nil"/>
              <w:right w:val="nil"/>
            </w:tcBorders>
          </w:tcPr>
          <w:p w14:paraId="40208FBE" w14:textId="77777777" w:rsidR="00F51D8E" w:rsidRPr="00C9506C" w:rsidRDefault="00F51D8E" w:rsidP="007E28B9">
            <w:pPr>
              <w:spacing w:after="0" w:line="480" w:lineRule="auto"/>
              <w:rPr>
                <w:b/>
                <w:color w:val="000000"/>
                <w:lang w:val="en-US"/>
              </w:rPr>
            </w:pPr>
            <w:r w:rsidRPr="00C9506C">
              <w:rPr>
                <w:b/>
                <w:color w:val="000000"/>
                <w:lang w:val="en-US"/>
              </w:rPr>
              <w:t>12.8 (2.2)</w:t>
            </w:r>
          </w:p>
        </w:tc>
        <w:tc>
          <w:tcPr>
            <w:tcW w:w="2170" w:type="dxa"/>
            <w:tcBorders>
              <w:left w:val="nil"/>
              <w:right w:val="nil"/>
            </w:tcBorders>
          </w:tcPr>
          <w:p w14:paraId="3C373215" w14:textId="77777777" w:rsidR="00F51D8E" w:rsidRPr="00C9506C" w:rsidRDefault="00F51D8E" w:rsidP="007E28B9">
            <w:pPr>
              <w:spacing w:after="0" w:line="480" w:lineRule="auto"/>
              <w:rPr>
                <w:b/>
                <w:color w:val="000000"/>
                <w:lang w:val="en-US"/>
              </w:rPr>
            </w:pPr>
            <w:r w:rsidRPr="00C9506C">
              <w:rPr>
                <w:b/>
                <w:color w:val="000000"/>
                <w:lang w:val="en-US"/>
              </w:rPr>
              <w:t>63.4 (8.0)</w:t>
            </w:r>
          </w:p>
        </w:tc>
      </w:tr>
      <w:tr w:rsidR="00F51D8E" w:rsidRPr="00C9506C" w14:paraId="072ACC15" w14:textId="77777777" w:rsidTr="007E28B9">
        <w:trPr>
          <w:trHeight w:val="454"/>
        </w:trPr>
        <w:tc>
          <w:tcPr>
            <w:tcW w:w="2559" w:type="dxa"/>
            <w:shd w:val="clear" w:color="auto" w:fill="auto"/>
          </w:tcPr>
          <w:p w14:paraId="24145D43" w14:textId="77777777" w:rsidR="00F51D8E" w:rsidRPr="00C9506C" w:rsidRDefault="00F51D8E" w:rsidP="007E28B9">
            <w:pPr>
              <w:spacing w:after="0" w:line="480" w:lineRule="auto"/>
              <w:rPr>
                <w:b/>
                <w:bCs/>
                <w:color w:val="000000"/>
                <w:lang w:val="en-US"/>
              </w:rPr>
            </w:pPr>
            <w:r w:rsidRPr="00C9506C">
              <w:rPr>
                <w:b/>
                <w:bCs/>
                <w:color w:val="000000"/>
                <w:lang w:val="en-US"/>
              </w:rPr>
              <w:t xml:space="preserve">Visit to social worker </w:t>
            </w:r>
          </w:p>
        </w:tc>
        <w:tc>
          <w:tcPr>
            <w:tcW w:w="1523" w:type="dxa"/>
          </w:tcPr>
          <w:p w14:paraId="3C4A8B63" w14:textId="77777777" w:rsidR="00F51D8E" w:rsidRPr="00C9506C" w:rsidRDefault="00F51D8E" w:rsidP="007E28B9">
            <w:pPr>
              <w:spacing w:after="0" w:line="480" w:lineRule="auto"/>
              <w:rPr>
                <w:color w:val="000000"/>
                <w:lang w:val="en-US"/>
              </w:rPr>
            </w:pPr>
            <w:r>
              <w:rPr>
                <w:color w:val="000000"/>
                <w:lang w:val="en-US"/>
              </w:rPr>
              <w:t>-</w:t>
            </w:r>
          </w:p>
        </w:tc>
        <w:tc>
          <w:tcPr>
            <w:tcW w:w="1612" w:type="dxa"/>
          </w:tcPr>
          <w:p w14:paraId="12D229B6" w14:textId="77777777" w:rsidR="00F51D8E" w:rsidRPr="00C9506C" w:rsidRDefault="00F51D8E" w:rsidP="007E28B9">
            <w:pPr>
              <w:spacing w:after="0" w:line="480" w:lineRule="auto"/>
              <w:rPr>
                <w:color w:val="000000"/>
                <w:lang w:val="en-US"/>
              </w:rPr>
            </w:pPr>
            <w:r>
              <w:rPr>
                <w:color w:val="000000"/>
                <w:lang w:val="en-US"/>
              </w:rPr>
              <w:t>-</w:t>
            </w:r>
          </w:p>
        </w:tc>
        <w:tc>
          <w:tcPr>
            <w:tcW w:w="1985" w:type="dxa"/>
          </w:tcPr>
          <w:p w14:paraId="2396EF4E" w14:textId="77777777" w:rsidR="00F51D8E" w:rsidRPr="00C9506C" w:rsidRDefault="00F51D8E" w:rsidP="007E28B9">
            <w:pPr>
              <w:spacing w:after="0" w:line="480" w:lineRule="auto"/>
              <w:rPr>
                <w:color w:val="000000"/>
                <w:lang w:val="en-US"/>
              </w:rPr>
            </w:pPr>
            <w:r w:rsidRPr="00C9506C">
              <w:rPr>
                <w:color w:val="000000"/>
                <w:lang w:val="en-US"/>
              </w:rPr>
              <w:t>-</w:t>
            </w:r>
          </w:p>
        </w:tc>
        <w:tc>
          <w:tcPr>
            <w:tcW w:w="2170" w:type="dxa"/>
          </w:tcPr>
          <w:p w14:paraId="7067420C" w14:textId="77777777" w:rsidR="00F51D8E" w:rsidRPr="00C9506C" w:rsidRDefault="00F51D8E" w:rsidP="007E28B9">
            <w:pPr>
              <w:spacing w:after="0" w:line="480" w:lineRule="auto"/>
              <w:rPr>
                <w:color w:val="000000"/>
                <w:lang w:val="en-US"/>
              </w:rPr>
            </w:pPr>
            <w:r w:rsidRPr="00C9506C">
              <w:rPr>
                <w:color w:val="000000"/>
                <w:lang w:val="en-US"/>
              </w:rPr>
              <w:t>-</w:t>
            </w:r>
          </w:p>
        </w:tc>
        <w:tc>
          <w:tcPr>
            <w:tcW w:w="1985" w:type="dxa"/>
          </w:tcPr>
          <w:p w14:paraId="445DC7D6" w14:textId="77777777" w:rsidR="00F51D8E" w:rsidRPr="00C9506C" w:rsidRDefault="00F51D8E" w:rsidP="007E28B9">
            <w:pPr>
              <w:spacing w:after="0" w:line="480" w:lineRule="auto"/>
              <w:rPr>
                <w:color w:val="000000"/>
                <w:lang w:val="en-US"/>
              </w:rPr>
            </w:pPr>
            <w:r w:rsidRPr="00C9506C">
              <w:rPr>
                <w:color w:val="000000"/>
                <w:lang w:val="en-US"/>
              </w:rPr>
              <w:t>0.8 (0.6)</w:t>
            </w:r>
          </w:p>
        </w:tc>
        <w:tc>
          <w:tcPr>
            <w:tcW w:w="2170" w:type="dxa"/>
          </w:tcPr>
          <w:p w14:paraId="5CC831C9" w14:textId="77777777" w:rsidR="00F51D8E" w:rsidRPr="00C9506C" w:rsidRDefault="00F51D8E" w:rsidP="007E28B9">
            <w:pPr>
              <w:spacing w:after="0" w:line="480" w:lineRule="auto"/>
              <w:rPr>
                <w:color w:val="000000"/>
                <w:lang w:val="en-US"/>
              </w:rPr>
            </w:pPr>
            <w:r w:rsidRPr="00C9506C">
              <w:rPr>
                <w:color w:val="000000"/>
                <w:lang w:val="en-US"/>
              </w:rPr>
              <w:t>0.7 (0.5)</w:t>
            </w:r>
          </w:p>
        </w:tc>
      </w:tr>
      <w:tr w:rsidR="00F51D8E" w:rsidRPr="00C9506C" w14:paraId="5A7D5501" w14:textId="77777777" w:rsidTr="007E28B9">
        <w:trPr>
          <w:trHeight w:val="454"/>
        </w:trPr>
        <w:tc>
          <w:tcPr>
            <w:tcW w:w="2559" w:type="dxa"/>
            <w:tcBorders>
              <w:left w:val="nil"/>
              <w:right w:val="nil"/>
            </w:tcBorders>
            <w:shd w:val="clear" w:color="auto" w:fill="auto"/>
          </w:tcPr>
          <w:p w14:paraId="0FE3EFDD" w14:textId="77777777" w:rsidR="00F51D8E" w:rsidRPr="00C9506C" w:rsidRDefault="00F51D8E" w:rsidP="007E28B9">
            <w:pPr>
              <w:spacing w:after="0" w:line="480" w:lineRule="auto"/>
              <w:rPr>
                <w:b/>
                <w:bCs/>
                <w:color w:val="000000"/>
                <w:lang w:val="en-US"/>
              </w:rPr>
            </w:pPr>
            <w:r w:rsidRPr="00C9506C">
              <w:rPr>
                <w:b/>
                <w:bCs/>
                <w:color w:val="000000"/>
                <w:lang w:val="en-US"/>
              </w:rPr>
              <w:t>Absenteeism from work (minimum daily wage)</w:t>
            </w:r>
          </w:p>
        </w:tc>
        <w:tc>
          <w:tcPr>
            <w:tcW w:w="1523" w:type="dxa"/>
            <w:tcBorders>
              <w:left w:val="nil"/>
              <w:right w:val="nil"/>
            </w:tcBorders>
          </w:tcPr>
          <w:p w14:paraId="3675A789" w14:textId="77777777" w:rsidR="00F51D8E" w:rsidRPr="00C9506C" w:rsidRDefault="00F51D8E" w:rsidP="007E28B9">
            <w:pPr>
              <w:spacing w:after="0" w:line="480" w:lineRule="auto"/>
              <w:rPr>
                <w:color w:val="000000"/>
                <w:lang w:val="en-US"/>
              </w:rPr>
            </w:pPr>
            <w:r>
              <w:rPr>
                <w:color w:val="000000"/>
                <w:lang w:val="en-US"/>
              </w:rPr>
              <w:t>-</w:t>
            </w:r>
          </w:p>
        </w:tc>
        <w:tc>
          <w:tcPr>
            <w:tcW w:w="1612" w:type="dxa"/>
            <w:tcBorders>
              <w:left w:val="nil"/>
              <w:right w:val="nil"/>
            </w:tcBorders>
          </w:tcPr>
          <w:p w14:paraId="5AA8F9BA" w14:textId="77777777" w:rsidR="00F51D8E" w:rsidRPr="00C9506C" w:rsidRDefault="00F51D8E" w:rsidP="007E28B9">
            <w:pPr>
              <w:spacing w:after="0" w:line="480" w:lineRule="auto"/>
              <w:rPr>
                <w:color w:val="000000"/>
                <w:lang w:val="en-US"/>
              </w:rPr>
            </w:pPr>
            <w:r>
              <w:rPr>
                <w:color w:val="000000"/>
                <w:lang w:val="en-US"/>
              </w:rPr>
              <w:t>-</w:t>
            </w:r>
          </w:p>
        </w:tc>
        <w:tc>
          <w:tcPr>
            <w:tcW w:w="1985" w:type="dxa"/>
            <w:tcBorders>
              <w:left w:val="nil"/>
              <w:right w:val="nil"/>
            </w:tcBorders>
          </w:tcPr>
          <w:p w14:paraId="1F812EF0" w14:textId="77777777" w:rsidR="00F51D8E" w:rsidRPr="00C9506C" w:rsidRDefault="00F51D8E" w:rsidP="007E28B9">
            <w:pPr>
              <w:spacing w:after="0" w:line="480" w:lineRule="auto"/>
              <w:rPr>
                <w:color w:val="000000"/>
                <w:lang w:val="en-US"/>
              </w:rPr>
            </w:pPr>
            <w:r w:rsidRPr="00C9506C">
              <w:rPr>
                <w:color w:val="000000"/>
                <w:lang w:val="en-US"/>
              </w:rPr>
              <w:t>490.4 (103.6)</w:t>
            </w:r>
          </w:p>
        </w:tc>
        <w:tc>
          <w:tcPr>
            <w:tcW w:w="2170" w:type="dxa"/>
            <w:tcBorders>
              <w:left w:val="nil"/>
              <w:right w:val="nil"/>
            </w:tcBorders>
          </w:tcPr>
          <w:p w14:paraId="39F262E9" w14:textId="77777777" w:rsidR="00F51D8E" w:rsidRPr="00C9506C" w:rsidRDefault="00F51D8E" w:rsidP="007E28B9">
            <w:pPr>
              <w:spacing w:after="0" w:line="480" w:lineRule="auto"/>
              <w:rPr>
                <w:color w:val="000000"/>
                <w:lang w:val="en-US"/>
              </w:rPr>
            </w:pPr>
            <w:r w:rsidRPr="00C9506C">
              <w:rPr>
                <w:color w:val="000000"/>
                <w:lang w:val="en-US"/>
              </w:rPr>
              <w:t>526.0 (92.4)</w:t>
            </w:r>
          </w:p>
        </w:tc>
        <w:tc>
          <w:tcPr>
            <w:tcW w:w="1985" w:type="dxa"/>
            <w:tcBorders>
              <w:left w:val="nil"/>
              <w:right w:val="nil"/>
            </w:tcBorders>
          </w:tcPr>
          <w:p w14:paraId="22C9678D" w14:textId="77777777" w:rsidR="00F51D8E" w:rsidRPr="00C9506C" w:rsidRDefault="00F51D8E" w:rsidP="007E28B9">
            <w:pPr>
              <w:spacing w:after="0" w:line="480" w:lineRule="auto"/>
              <w:rPr>
                <w:color w:val="000000"/>
                <w:lang w:val="en-US"/>
              </w:rPr>
            </w:pPr>
            <w:r w:rsidRPr="00C9506C">
              <w:rPr>
                <w:color w:val="000000"/>
                <w:lang w:val="en-US"/>
              </w:rPr>
              <w:t>673.4 (133.6)</w:t>
            </w:r>
          </w:p>
        </w:tc>
        <w:tc>
          <w:tcPr>
            <w:tcW w:w="2170" w:type="dxa"/>
            <w:tcBorders>
              <w:left w:val="nil"/>
              <w:right w:val="nil"/>
            </w:tcBorders>
          </w:tcPr>
          <w:p w14:paraId="23965D13" w14:textId="77777777" w:rsidR="00F51D8E" w:rsidRPr="00C9506C" w:rsidRDefault="00F51D8E" w:rsidP="007E28B9">
            <w:pPr>
              <w:spacing w:after="0" w:line="480" w:lineRule="auto"/>
              <w:rPr>
                <w:color w:val="000000"/>
                <w:lang w:val="en-US"/>
              </w:rPr>
            </w:pPr>
            <w:r w:rsidRPr="00C9506C">
              <w:rPr>
                <w:color w:val="000000"/>
                <w:lang w:val="en-US"/>
              </w:rPr>
              <w:t>831.0 (154.6)</w:t>
            </w:r>
          </w:p>
        </w:tc>
      </w:tr>
      <w:tr w:rsidR="00F51D8E" w:rsidRPr="00C9506C" w14:paraId="0ACFD171" w14:textId="77777777" w:rsidTr="007E28B9">
        <w:trPr>
          <w:trHeight w:val="454"/>
        </w:trPr>
        <w:tc>
          <w:tcPr>
            <w:tcW w:w="2559" w:type="dxa"/>
            <w:tcBorders>
              <w:left w:val="nil"/>
              <w:right w:val="nil"/>
            </w:tcBorders>
            <w:shd w:val="clear" w:color="auto" w:fill="auto"/>
          </w:tcPr>
          <w:p w14:paraId="1532DC8F" w14:textId="77777777" w:rsidR="00F51D8E" w:rsidRPr="00C9506C" w:rsidRDefault="00F51D8E" w:rsidP="007E28B9">
            <w:pPr>
              <w:spacing w:after="0" w:line="480" w:lineRule="auto"/>
              <w:rPr>
                <w:b/>
                <w:bCs/>
                <w:color w:val="000000"/>
                <w:lang w:val="en-US"/>
              </w:rPr>
            </w:pPr>
            <w:r>
              <w:rPr>
                <w:b/>
                <w:bCs/>
                <w:color w:val="000000"/>
                <w:lang w:val="en-US"/>
              </w:rPr>
              <w:t>Severity of depression (PHQ-9)</w:t>
            </w:r>
          </w:p>
        </w:tc>
        <w:tc>
          <w:tcPr>
            <w:tcW w:w="1523" w:type="dxa"/>
            <w:tcBorders>
              <w:left w:val="nil"/>
              <w:right w:val="nil"/>
            </w:tcBorders>
          </w:tcPr>
          <w:p w14:paraId="5B442194" w14:textId="77777777" w:rsidR="00F51D8E" w:rsidRDefault="00F51D8E" w:rsidP="007E28B9">
            <w:pPr>
              <w:spacing w:after="0" w:line="480" w:lineRule="auto"/>
              <w:rPr>
                <w:color w:val="000000"/>
                <w:lang w:val="en-US"/>
              </w:rPr>
            </w:pPr>
            <w:r>
              <w:rPr>
                <w:color w:val="000000"/>
                <w:lang w:val="en-US"/>
              </w:rPr>
              <w:t>15.5 (0.49)</w:t>
            </w:r>
          </w:p>
        </w:tc>
        <w:tc>
          <w:tcPr>
            <w:tcW w:w="1612" w:type="dxa"/>
            <w:tcBorders>
              <w:left w:val="nil"/>
              <w:right w:val="nil"/>
            </w:tcBorders>
          </w:tcPr>
          <w:p w14:paraId="5FC91D7B" w14:textId="77777777" w:rsidR="00F51D8E" w:rsidRDefault="00F51D8E" w:rsidP="007E28B9">
            <w:pPr>
              <w:spacing w:after="0" w:line="480" w:lineRule="auto"/>
              <w:rPr>
                <w:color w:val="000000"/>
                <w:lang w:val="en-US"/>
              </w:rPr>
            </w:pPr>
            <w:r>
              <w:rPr>
                <w:color w:val="000000"/>
                <w:lang w:val="en-US"/>
              </w:rPr>
              <w:t>16.7 (0.44)</w:t>
            </w:r>
          </w:p>
        </w:tc>
        <w:tc>
          <w:tcPr>
            <w:tcW w:w="1985" w:type="dxa"/>
            <w:tcBorders>
              <w:left w:val="nil"/>
              <w:right w:val="nil"/>
            </w:tcBorders>
          </w:tcPr>
          <w:p w14:paraId="417CD50B" w14:textId="77777777" w:rsidR="00F51D8E" w:rsidRPr="00C9506C" w:rsidRDefault="00F51D8E" w:rsidP="007E28B9">
            <w:pPr>
              <w:spacing w:after="0" w:line="480" w:lineRule="auto"/>
              <w:rPr>
                <w:color w:val="000000"/>
                <w:lang w:val="en-US"/>
              </w:rPr>
            </w:pPr>
            <w:r>
              <w:rPr>
                <w:color w:val="000000"/>
                <w:lang w:val="en-US"/>
              </w:rPr>
              <w:t>9.34 (0.66)</w:t>
            </w:r>
          </w:p>
        </w:tc>
        <w:tc>
          <w:tcPr>
            <w:tcW w:w="2170" w:type="dxa"/>
            <w:tcBorders>
              <w:left w:val="nil"/>
              <w:right w:val="nil"/>
            </w:tcBorders>
          </w:tcPr>
          <w:p w14:paraId="6D05ED45" w14:textId="77777777" w:rsidR="00F51D8E" w:rsidRPr="00C9506C" w:rsidRDefault="00F51D8E" w:rsidP="007E28B9">
            <w:pPr>
              <w:spacing w:after="0" w:line="480" w:lineRule="auto"/>
              <w:rPr>
                <w:color w:val="000000"/>
                <w:lang w:val="en-US"/>
              </w:rPr>
            </w:pPr>
            <w:r>
              <w:rPr>
                <w:color w:val="000000"/>
                <w:lang w:val="en-US"/>
              </w:rPr>
              <w:t>8.6 (0.59)</w:t>
            </w:r>
          </w:p>
        </w:tc>
        <w:tc>
          <w:tcPr>
            <w:tcW w:w="1985" w:type="dxa"/>
            <w:tcBorders>
              <w:left w:val="nil"/>
              <w:right w:val="nil"/>
            </w:tcBorders>
          </w:tcPr>
          <w:p w14:paraId="176C6DF3" w14:textId="77777777" w:rsidR="00F51D8E" w:rsidRPr="00C9506C" w:rsidRDefault="00F51D8E" w:rsidP="007E28B9">
            <w:pPr>
              <w:spacing w:after="0" w:line="480" w:lineRule="auto"/>
              <w:rPr>
                <w:color w:val="000000"/>
                <w:lang w:val="en-US"/>
              </w:rPr>
            </w:pPr>
            <w:r>
              <w:rPr>
                <w:color w:val="000000"/>
                <w:lang w:val="en-US"/>
              </w:rPr>
              <w:t>8.7 (0.69)</w:t>
            </w:r>
          </w:p>
        </w:tc>
        <w:tc>
          <w:tcPr>
            <w:tcW w:w="2170" w:type="dxa"/>
            <w:tcBorders>
              <w:left w:val="nil"/>
              <w:right w:val="nil"/>
            </w:tcBorders>
          </w:tcPr>
          <w:p w14:paraId="35C2BCC0" w14:textId="77777777" w:rsidR="00F51D8E" w:rsidRPr="00C9506C" w:rsidRDefault="00F51D8E" w:rsidP="007E28B9">
            <w:pPr>
              <w:spacing w:after="0" w:line="480" w:lineRule="auto"/>
              <w:rPr>
                <w:color w:val="000000"/>
                <w:lang w:val="en-US"/>
              </w:rPr>
            </w:pPr>
            <w:r>
              <w:rPr>
                <w:color w:val="000000"/>
                <w:lang w:val="en-US"/>
              </w:rPr>
              <w:t>9.4 (0.66)</w:t>
            </w:r>
          </w:p>
        </w:tc>
      </w:tr>
    </w:tbl>
    <w:p w14:paraId="61A29EA9" w14:textId="77777777" w:rsidR="00F51D8E" w:rsidRPr="00C9506C" w:rsidRDefault="00F51D8E" w:rsidP="00F51D8E">
      <w:pPr>
        <w:spacing w:after="0" w:line="360" w:lineRule="auto"/>
        <w:rPr>
          <w:lang w:val="en-US"/>
        </w:rPr>
      </w:pPr>
      <w:r w:rsidRPr="00C9506C">
        <w:rPr>
          <w:lang w:val="en-US"/>
        </w:rPr>
        <w:t>Bold numbers indicate statistically significant differences between study arms.</w:t>
      </w:r>
    </w:p>
    <w:p w14:paraId="2BC9C26F" w14:textId="77777777" w:rsidR="00F51D8E" w:rsidRDefault="00F51D8E" w:rsidP="00F51D8E">
      <w:pPr>
        <w:rPr>
          <w:lang w:val="en-US"/>
        </w:rPr>
      </w:pPr>
    </w:p>
    <w:p w14:paraId="26C1B207" w14:textId="77777777" w:rsidR="00F51D8E" w:rsidRDefault="00F51D8E" w:rsidP="00F51D8E">
      <w:pPr>
        <w:rPr>
          <w:lang w:val="en-US"/>
        </w:rPr>
      </w:pPr>
    </w:p>
    <w:p w14:paraId="6FD783B7" w14:textId="77777777" w:rsidR="00F51D8E" w:rsidRDefault="00F51D8E" w:rsidP="00F51D8E">
      <w:pPr>
        <w:rPr>
          <w:lang w:val="en-US"/>
        </w:rPr>
      </w:pPr>
    </w:p>
    <w:p w14:paraId="39E50721" w14:textId="77777777" w:rsidR="00F51D8E" w:rsidRDefault="00F51D8E" w:rsidP="00F51D8E">
      <w:pPr>
        <w:rPr>
          <w:lang w:val="en-US"/>
        </w:rPr>
      </w:pPr>
    </w:p>
    <w:p w14:paraId="224F5C60" w14:textId="77777777" w:rsidR="00F51D8E" w:rsidRDefault="00F51D8E" w:rsidP="00F51D8E">
      <w:pPr>
        <w:rPr>
          <w:lang w:val="en-US"/>
        </w:rPr>
      </w:pPr>
    </w:p>
    <w:p w14:paraId="59978B1E" w14:textId="77777777" w:rsidR="00F51D8E" w:rsidRDefault="00F51D8E" w:rsidP="00F51D8E">
      <w:pPr>
        <w:rPr>
          <w:lang w:val="en-US"/>
        </w:rPr>
      </w:pPr>
    </w:p>
    <w:p w14:paraId="725ABCBE" w14:textId="77777777" w:rsidR="00F51D8E" w:rsidRPr="00933AB8" w:rsidRDefault="00F51D8E" w:rsidP="00F51D8E">
      <w:pPr>
        <w:spacing w:after="200" w:line="276" w:lineRule="auto"/>
        <w:jc w:val="both"/>
        <w:rPr>
          <w:rFonts w:ascii="Calibri" w:eastAsia="Calibri" w:hAnsi="Calibri"/>
          <w:lang w:val="en-US"/>
        </w:rPr>
      </w:pPr>
      <w:r>
        <w:rPr>
          <w:rFonts w:ascii="Calibri" w:eastAsia="Calibri" w:hAnsi="Calibri"/>
          <w:lang w:val="en-US"/>
        </w:rPr>
        <w:lastRenderedPageBreak/>
        <w:t>Supplementary Table 2</w:t>
      </w:r>
      <w:r w:rsidRPr="00933AB8">
        <w:rPr>
          <w:rFonts w:ascii="Calibri" w:eastAsia="Calibri" w:hAnsi="Calibri"/>
          <w:lang w:val="en-US"/>
        </w:rPr>
        <w:t xml:space="preserve">. </w:t>
      </w:r>
      <w:r>
        <w:rPr>
          <w:rFonts w:ascii="Calibri" w:eastAsia="Calibri" w:hAnsi="Calibri"/>
          <w:lang w:val="en-US"/>
        </w:rPr>
        <w:t>I</w:t>
      </w:r>
      <w:r w:rsidRPr="00933AB8">
        <w:rPr>
          <w:rFonts w:ascii="Calibri" w:eastAsia="Calibri" w:hAnsi="Calibri"/>
          <w:lang w:val="en-US"/>
        </w:rPr>
        <w:t>ncremental cost-</w:t>
      </w:r>
      <w:r>
        <w:rPr>
          <w:rFonts w:ascii="Calibri" w:eastAsia="Calibri" w:hAnsi="Calibri"/>
          <w:lang w:val="en-US"/>
        </w:rPr>
        <w:t>effectiveness</w:t>
      </w:r>
      <w:r w:rsidRPr="00933AB8">
        <w:rPr>
          <w:rFonts w:ascii="Calibri" w:eastAsia="Calibri" w:hAnsi="Calibri"/>
          <w:lang w:val="en-US"/>
        </w:rPr>
        <w:t xml:space="preserve"> ratios</w:t>
      </w:r>
      <w:r>
        <w:rPr>
          <w:rFonts w:ascii="Calibri" w:eastAsia="Calibri" w:hAnsi="Calibri"/>
          <w:lang w:val="en-US"/>
        </w:rPr>
        <w:t xml:space="preserve"> in terms of remission of symptoms</w:t>
      </w:r>
      <w:r w:rsidRPr="00933AB8">
        <w:rPr>
          <w:rFonts w:ascii="Calibri" w:eastAsia="Calibri" w:hAnsi="Calibri"/>
          <w:lang w:val="en-US"/>
        </w:rPr>
        <w:t xml:space="preserve"> at 6 and 12 months follow up for the main and sensitivity analysis*  </w:t>
      </w:r>
    </w:p>
    <w:tbl>
      <w:tblPr>
        <w:tblStyle w:val="Tablaconcuadrcula1"/>
        <w:tblW w:w="1428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69"/>
        <w:gridCol w:w="1819"/>
        <w:gridCol w:w="1819"/>
        <w:gridCol w:w="1819"/>
        <w:gridCol w:w="1819"/>
        <w:gridCol w:w="1819"/>
        <w:gridCol w:w="1819"/>
      </w:tblGrid>
      <w:tr w:rsidR="00F51D8E" w:rsidRPr="007C72DD" w14:paraId="0D7F9DA1" w14:textId="77777777" w:rsidTr="007E28B9">
        <w:trPr>
          <w:trHeight w:val="765"/>
        </w:trPr>
        <w:tc>
          <w:tcPr>
            <w:tcW w:w="3369" w:type="dxa"/>
            <w:noWrap/>
            <w:hideMark/>
          </w:tcPr>
          <w:p w14:paraId="1E07BF16" w14:textId="77777777" w:rsidR="00F51D8E" w:rsidRPr="007C72DD" w:rsidRDefault="00F51D8E" w:rsidP="007E28B9">
            <w:pPr>
              <w:spacing w:after="200"/>
              <w:rPr>
                <w:rFonts w:cs="Calibri"/>
                <w:lang w:val="en-US" w:eastAsia="es-ES"/>
              </w:rPr>
            </w:pPr>
          </w:p>
        </w:tc>
        <w:tc>
          <w:tcPr>
            <w:tcW w:w="1819" w:type="dxa"/>
            <w:hideMark/>
          </w:tcPr>
          <w:p w14:paraId="2A3A5E6C" w14:textId="77777777" w:rsidR="00F51D8E" w:rsidRPr="007C72DD" w:rsidRDefault="00F51D8E" w:rsidP="007E28B9">
            <w:pPr>
              <w:spacing w:after="200"/>
              <w:rPr>
                <w:rFonts w:cs="Calibri"/>
                <w:lang w:val="en-US" w:eastAsia="es-ES"/>
              </w:rPr>
            </w:pPr>
            <w:r w:rsidRPr="007C72DD">
              <w:rPr>
                <w:rFonts w:cs="Calibri"/>
                <w:lang w:val="en-US" w:eastAsia="es-ES"/>
              </w:rPr>
              <w:t xml:space="preserve">Cost difference € </w:t>
            </w:r>
          </w:p>
        </w:tc>
        <w:tc>
          <w:tcPr>
            <w:tcW w:w="1819" w:type="dxa"/>
            <w:hideMark/>
          </w:tcPr>
          <w:p w14:paraId="1C452E40" w14:textId="77777777" w:rsidR="00F51D8E" w:rsidRPr="007C72DD" w:rsidRDefault="00F51D8E" w:rsidP="007E28B9">
            <w:pPr>
              <w:spacing w:after="200"/>
              <w:rPr>
                <w:rFonts w:cs="Calibri"/>
                <w:lang w:val="en-US" w:eastAsia="es-ES"/>
              </w:rPr>
            </w:pPr>
            <w:r w:rsidRPr="007C72DD">
              <w:rPr>
                <w:rFonts w:cs="Calibri"/>
                <w:lang w:val="en-US" w:eastAsia="es-ES"/>
              </w:rPr>
              <w:t xml:space="preserve">Difference in probability of remission (%) </w:t>
            </w:r>
          </w:p>
        </w:tc>
        <w:tc>
          <w:tcPr>
            <w:tcW w:w="1819" w:type="dxa"/>
          </w:tcPr>
          <w:p w14:paraId="250C1F00" w14:textId="77777777" w:rsidR="00F51D8E" w:rsidRPr="007C72DD" w:rsidRDefault="00F51D8E" w:rsidP="007E28B9">
            <w:pPr>
              <w:spacing w:after="200"/>
              <w:rPr>
                <w:rFonts w:cs="Calibri"/>
                <w:lang w:val="en-US" w:eastAsia="es-ES"/>
              </w:rPr>
            </w:pPr>
            <w:r w:rsidRPr="007C72DD">
              <w:rPr>
                <w:rFonts w:cs="Calibri"/>
                <w:lang w:val="en-US" w:eastAsia="es-ES"/>
              </w:rPr>
              <w:t>ICER (€/extra remission per 100 cases)</w:t>
            </w:r>
          </w:p>
        </w:tc>
        <w:tc>
          <w:tcPr>
            <w:tcW w:w="1819" w:type="dxa"/>
          </w:tcPr>
          <w:p w14:paraId="5D0DFCFE" w14:textId="77777777" w:rsidR="00F51D8E" w:rsidRPr="007C72DD" w:rsidRDefault="00F51D8E" w:rsidP="007E28B9">
            <w:pPr>
              <w:spacing w:after="200"/>
              <w:rPr>
                <w:rFonts w:cs="Calibri"/>
                <w:lang w:val="en-US" w:eastAsia="es-ES"/>
              </w:rPr>
            </w:pPr>
            <w:r w:rsidRPr="007C72DD">
              <w:rPr>
                <w:rFonts w:cs="Calibri"/>
                <w:lang w:val="en-US" w:eastAsia="es-ES"/>
              </w:rPr>
              <w:t xml:space="preserve">Cost difference € </w:t>
            </w:r>
          </w:p>
        </w:tc>
        <w:tc>
          <w:tcPr>
            <w:tcW w:w="1819" w:type="dxa"/>
          </w:tcPr>
          <w:p w14:paraId="7CAF8CBD" w14:textId="77777777" w:rsidR="00F51D8E" w:rsidRPr="007C72DD" w:rsidRDefault="00F51D8E" w:rsidP="007E28B9">
            <w:pPr>
              <w:spacing w:after="200"/>
              <w:rPr>
                <w:rFonts w:cs="Calibri"/>
                <w:lang w:val="en-US" w:eastAsia="es-ES"/>
              </w:rPr>
            </w:pPr>
            <w:r w:rsidRPr="007C72DD">
              <w:rPr>
                <w:rFonts w:cs="Calibri"/>
                <w:lang w:val="en-US" w:eastAsia="es-ES"/>
              </w:rPr>
              <w:t xml:space="preserve">Extra remissions (per 100 cases) </w:t>
            </w:r>
          </w:p>
        </w:tc>
        <w:tc>
          <w:tcPr>
            <w:tcW w:w="1819" w:type="dxa"/>
          </w:tcPr>
          <w:p w14:paraId="75B72126" w14:textId="77777777" w:rsidR="00F51D8E" w:rsidRPr="007C72DD" w:rsidRDefault="00F51D8E" w:rsidP="007E28B9">
            <w:pPr>
              <w:spacing w:after="200"/>
              <w:rPr>
                <w:rFonts w:cs="Calibri"/>
                <w:lang w:val="en-US" w:eastAsia="es-ES"/>
              </w:rPr>
            </w:pPr>
            <w:r w:rsidRPr="007C72DD">
              <w:rPr>
                <w:rFonts w:cs="Calibri"/>
                <w:lang w:val="en-US" w:eastAsia="es-ES"/>
              </w:rPr>
              <w:t>ICER (€/extra remission per 100 cases)</w:t>
            </w:r>
          </w:p>
        </w:tc>
      </w:tr>
      <w:tr w:rsidR="00F51D8E" w:rsidRPr="00933AB8" w14:paraId="045F7653" w14:textId="77777777" w:rsidTr="007E28B9">
        <w:trPr>
          <w:trHeight w:val="255"/>
        </w:trPr>
        <w:tc>
          <w:tcPr>
            <w:tcW w:w="3369" w:type="dxa"/>
            <w:tcBorders>
              <w:bottom w:val="single" w:sz="4" w:space="0" w:color="auto"/>
            </w:tcBorders>
            <w:noWrap/>
            <w:hideMark/>
          </w:tcPr>
          <w:p w14:paraId="73CECF79" w14:textId="77777777" w:rsidR="00F51D8E" w:rsidRPr="00933AB8" w:rsidRDefault="00F51D8E" w:rsidP="007E28B9">
            <w:pPr>
              <w:spacing w:after="200"/>
              <w:rPr>
                <w:rFonts w:cs="Calibri"/>
                <w:b/>
                <w:lang w:val="en-US" w:eastAsia="es-ES"/>
              </w:rPr>
            </w:pPr>
          </w:p>
        </w:tc>
        <w:tc>
          <w:tcPr>
            <w:tcW w:w="1819" w:type="dxa"/>
            <w:tcBorders>
              <w:bottom w:val="single" w:sz="4" w:space="0" w:color="auto"/>
            </w:tcBorders>
            <w:hideMark/>
          </w:tcPr>
          <w:p w14:paraId="5FFA58AE" w14:textId="77777777" w:rsidR="00F51D8E" w:rsidRPr="00933AB8" w:rsidRDefault="00F51D8E" w:rsidP="007E28B9">
            <w:pPr>
              <w:spacing w:after="200"/>
              <w:jc w:val="both"/>
              <w:rPr>
                <w:rFonts w:cs="Calibri"/>
                <w:b/>
                <w:lang w:val="en-US" w:eastAsia="es-ES"/>
              </w:rPr>
            </w:pPr>
            <w:r w:rsidRPr="00933AB8">
              <w:rPr>
                <w:rFonts w:cs="Calibri"/>
                <w:b/>
                <w:lang w:val="en-US" w:eastAsia="es-ES"/>
              </w:rPr>
              <w:t>6 month follow-up</w:t>
            </w:r>
          </w:p>
        </w:tc>
        <w:tc>
          <w:tcPr>
            <w:tcW w:w="1819" w:type="dxa"/>
            <w:tcBorders>
              <w:bottom w:val="single" w:sz="4" w:space="0" w:color="auto"/>
            </w:tcBorders>
            <w:hideMark/>
          </w:tcPr>
          <w:p w14:paraId="2228F1A4" w14:textId="77777777" w:rsidR="00F51D8E" w:rsidRPr="00933AB8" w:rsidRDefault="00F51D8E" w:rsidP="007E28B9">
            <w:pPr>
              <w:spacing w:after="200"/>
              <w:jc w:val="both"/>
              <w:rPr>
                <w:rFonts w:cs="Calibri"/>
                <w:b/>
                <w:lang w:val="en-US" w:eastAsia="es-ES"/>
              </w:rPr>
            </w:pPr>
          </w:p>
        </w:tc>
        <w:tc>
          <w:tcPr>
            <w:tcW w:w="1819" w:type="dxa"/>
            <w:tcBorders>
              <w:bottom w:val="single" w:sz="4" w:space="0" w:color="auto"/>
            </w:tcBorders>
          </w:tcPr>
          <w:p w14:paraId="17CADFAC" w14:textId="77777777" w:rsidR="00F51D8E" w:rsidRPr="00933AB8" w:rsidRDefault="00F51D8E" w:rsidP="007E28B9">
            <w:pPr>
              <w:spacing w:after="200"/>
              <w:jc w:val="both"/>
              <w:rPr>
                <w:rFonts w:cs="Calibri"/>
                <w:b/>
                <w:lang w:val="en-US" w:eastAsia="es-ES"/>
              </w:rPr>
            </w:pPr>
          </w:p>
        </w:tc>
        <w:tc>
          <w:tcPr>
            <w:tcW w:w="1819" w:type="dxa"/>
            <w:tcBorders>
              <w:bottom w:val="single" w:sz="4" w:space="0" w:color="auto"/>
            </w:tcBorders>
          </w:tcPr>
          <w:p w14:paraId="5CF37AB6" w14:textId="77777777" w:rsidR="00F51D8E" w:rsidRPr="00933AB8" w:rsidRDefault="00F51D8E" w:rsidP="007E28B9">
            <w:pPr>
              <w:spacing w:after="200"/>
              <w:jc w:val="both"/>
              <w:rPr>
                <w:rFonts w:cs="Calibri"/>
                <w:b/>
                <w:lang w:val="en-US" w:eastAsia="es-ES"/>
              </w:rPr>
            </w:pPr>
            <w:r w:rsidRPr="00933AB8">
              <w:rPr>
                <w:rFonts w:cs="Calibri"/>
                <w:b/>
                <w:lang w:val="en-US" w:eastAsia="es-ES"/>
              </w:rPr>
              <w:t>12 month follow-up</w:t>
            </w:r>
          </w:p>
        </w:tc>
        <w:tc>
          <w:tcPr>
            <w:tcW w:w="1819" w:type="dxa"/>
            <w:tcBorders>
              <w:bottom w:val="single" w:sz="4" w:space="0" w:color="auto"/>
            </w:tcBorders>
          </w:tcPr>
          <w:p w14:paraId="03B77EEC" w14:textId="77777777" w:rsidR="00F51D8E" w:rsidRPr="00933AB8" w:rsidRDefault="00F51D8E" w:rsidP="007E28B9">
            <w:pPr>
              <w:spacing w:after="200"/>
              <w:jc w:val="both"/>
              <w:rPr>
                <w:rFonts w:cs="Calibri"/>
                <w:b/>
                <w:lang w:val="en-US" w:eastAsia="es-ES"/>
              </w:rPr>
            </w:pPr>
          </w:p>
        </w:tc>
        <w:tc>
          <w:tcPr>
            <w:tcW w:w="1819" w:type="dxa"/>
            <w:tcBorders>
              <w:bottom w:val="single" w:sz="4" w:space="0" w:color="auto"/>
            </w:tcBorders>
          </w:tcPr>
          <w:p w14:paraId="318CDF4E" w14:textId="77777777" w:rsidR="00F51D8E" w:rsidRPr="00933AB8" w:rsidRDefault="00F51D8E" w:rsidP="007E28B9">
            <w:pPr>
              <w:spacing w:after="200"/>
              <w:jc w:val="both"/>
              <w:rPr>
                <w:rFonts w:cs="Calibri"/>
                <w:b/>
                <w:lang w:val="en-US" w:eastAsia="es-ES"/>
              </w:rPr>
            </w:pPr>
          </w:p>
        </w:tc>
      </w:tr>
      <w:tr w:rsidR="00F51D8E" w:rsidRPr="00933AB8" w14:paraId="4E37BD63" w14:textId="77777777" w:rsidTr="007E28B9">
        <w:trPr>
          <w:trHeight w:val="255"/>
        </w:trPr>
        <w:tc>
          <w:tcPr>
            <w:tcW w:w="3369" w:type="dxa"/>
            <w:tcBorders>
              <w:bottom w:val="nil"/>
            </w:tcBorders>
            <w:noWrap/>
          </w:tcPr>
          <w:p w14:paraId="5D4B1076" w14:textId="77777777" w:rsidR="00F51D8E" w:rsidRPr="00933AB8" w:rsidRDefault="00F51D8E" w:rsidP="007E28B9">
            <w:pPr>
              <w:spacing w:after="200" w:line="276" w:lineRule="auto"/>
              <w:rPr>
                <w:rFonts w:cs="Calibri"/>
                <w:b/>
                <w:lang w:val="en-US" w:eastAsia="es-ES"/>
              </w:rPr>
            </w:pPr>
            <w:r w:rsidRPr="00933AB8">
              <w:rPr>
                <w:rFonts w:cs="Calibri"/>
                <w:b/>
                <w:lang w:val="en-US" w:eastAsia="es-ES"/>
              </w:rPr>
              <w:t>Main analysis</w:t>
            </w:r>
          </w:p>
        </w:tc>
        <w:tc>
          <w:tcPr>
            <w:tcW w:w="1819" w:type="dxa"/>
            <w:tcBorders>
              <w:bottom w:val="nil"/>
            </w:tcBorders>
            <w:noWrap/>
          </w:tcPr>
          <w:p w14:paraId="23C3758E" w14:textId="77777777" w:rsidR="00F51D8E" w:rsidRPr="00933AB8" w:rsidRDefault="00F51D8E" w:rsidP="007E28B9">
            <w:pPr>
              <w:spacing w:after="200" w:line="276" w:lineRule="auto"/>
              <w:rPr>
                <w:rFonts w:cs="Calibri"/>
                <w:lang w:val="en-US" w:eastAsia="es-ES"/>
              </w:rPr>
            </w:pPr>
          </w:p>
        </w:tc>
        <w:tc>
          <w:tcPr>
            <w:tcW w:w="1819" w:type="dxa"/>
            <w:tcBorders>
              <w:bottom w:val="nil"/>
            </w:tcBorders>
            <w:noWrap/>
          </w:tcPr>
          <w:p w14:paraId="1C8197A3" w14:textId="77777777" w:rsidR="00F51D8E" w:rsidRPr="00933AB8" w:rsidRDefault="00F51D8E" w:rsidP="007E28B9">
            <w:pPr>
              <w:spacing w:after="200" w:line="276" w:lineRule="auto"/>
              <w:rPr>
                <w:rFonts w:cs="Calibri"/>
                <w:lang w:val="en-US" w:eastAsia="es-ES"/>
              </w:rPr>
            </w:pPr>
          </w:p>
        </w:tc>
        <w:tc>
          <w:tcPr>
            <w:tcW w:w="1819" w:type="dxa"/>
            <w:tcBorders>
              <w:bottom w:val="nil"/>
            </w:tcBorders>
          </w:tcPr>
          <w:p w14:paraId="32A313E5" w14:textId="77777777" w:rsidR="00F51D8E" w:rsidRPr="00933AB8" w:rsidRDefault="00F51D8E" w:rsidP="007E28B9">
            <w:pPr>
              <w:spacing w:after="200" w:line="276" w:lineRule="auto"/>
              <w:jc w:val="right"/>
              <w:rPr>
                <w:rFonts w:cs="Calibri"/>
                <w:lang w:val="en-US" w:eastAsia="es-ES"/>
              </w:rPr>
            </w:pPr>
          </w:p>
        </w:tc>
        <w:tc>
          <w:tcPr>
            <w:tcW w:w="1819" w:type="dxa"/>
            <w:tcBorders>
              <w:bottom w:val="nil"/>
            </w:tcBorders>
          </w:tcPr>
          <w:p w14:paraId="353EFD34" w14:textId="77777777" w:rsidR="00F51D8E" w:rsidRPr="00933AB8" w:rsidRDefault="00F51D8E" w:rsidP="007E28B9">
            <w:pPr>
              <w:spacing w:after="200" w:line="276" w:lineRule="auto"/>
              <w:jc w:val="right"/>
              <w:rPr>
                <w:rFonts w:cs="Calibri"/>
                <w:lang w:val="en-US" w:eastAsia="es-ES"/>
              </w:rPr>
            </w:pPr>
          </w:p>
        </w:tc>
        <w:tc>
          <w:tcPr>
            <w:tcW w:w="1819" w:type="dxa"/>
            <w:tcBorders>
              <w:bottom w:val="nil"/>
            </w:tcBorders>
          </w:tcPr>
          <w:p w14:paraId="4C847288" w14:textId="77777777" w:rsidR="00F51D8E" w:rsidRPr="00933AB8" w:rsidRDefault="00F51D8E" w:rsidP="007E28B9">
            <w:pPr>
              <w:spacing w:after="200" w:line="276" w:lineRule="auto"/>
              <w:jc w:val="right"/>
              <w:rPr>
                <w:rFonts w:cs="Calibri"/>
                <w:lang w:val="en-US" w:eastAsia="es-ES"/>
              </w:rPr>
            </w:pPr>
          </w:p>
        </w:tc>
        <w:tc>
          <w:tcPr>
            <w:tcW w:w="1819" w:type="dxa"/>
            <w:tcBorders>
              <w:bottom w:val="nil"/>
            </w:tcBorders>
          </w:tcPr>
          <w:p w14:paraId="102A9F8E" w14:textId="77777777" w:rsidR="00F51D8E" w:rsidRPr="00933AB8" w:rsidRDefault="00F51D8E" w:rsidP="007E28B9">
            <w:pPr>
              <w:spacing w:after="200" w:line="276" w:lineRule="auto"/>
              <w:jc w:val="right"/>
              <w:rPr>
                <w:rFonts w:cs="Calibri"/>
                <w:lang w:val="en-US" w:eastAsia="es-ES"/>
              </w:rPr>
            </w:pPr>
          </w:p>
        </w:tc>
      </w:tr>
      <w:tr w:rsidR="00F51D8E" w:rsidRPr="00933AB8" w14:paraId="3E092233" w14:textId="77777777" w:rsidTr="007E28B9">
        <w:trPr>
          <w:trHeight w:val="255"/>
        </w:trPr>
        <w:tc>
          <w:tcPr>
            <w:tcW w:w="3369" w:type="dxa"/>
            <w:tcBorders>
              <w:top w:val="nil"/>
              <w:bottom w:val="nil"/>
            </w:tcBorders>
            <w:noWrap/>
            <w:hideMark/>
          </w:tcPr>
          <w:p w14:paraId="4B695EA6" w14:textId="77777777" w:rsidR="00F51D8E" w:rsidRPr="00933AB8" w:rsidRDefault="00F51D8E" w:rsidP="007E28B9">
            <w:pPr>
              <w:spacing w:after="200" w:line="276" w:lineRule="auto"/>
              <w:rPr>
                <w:rFonts w:cs="Calibri"/>
                <w:lang w:val="en-US" w:eastAsia="es-ES"/>
              </w:rPr>
            </w:pPr>
            <w:r w:rsidRPr="00933AB8">
              <w:rPr>
                <w:rFonts w:cs="Calibri"/>
                <w:lang w:val="en-US" w:eastAsia="es-ES"/>
              </w:rPr>
              <w:t>Government perspective</w:t>
            </w:r>
          </w:p>
        </w:tc>
        <w:tc>
          <w:tcPr>
            <w:tcW w:w="1819" w:type="dxa"/>
            <w:tcBorders>
              <w:top w:val="nil"/>
              <w:bottom w:val="nil"/>
            </w:tcBorders>
            <w:noWrap/>
            <w:hideMark/>
          </w:tcPr>
          <w:p w14:paraId="2460DE6C"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23.6 </w:t>
            </w:r>
          </w:p>
        </w:tc>
        <w:tc>
          <w:tcPr>
            <w:tcW w:w="1819" w:type="dxa"/>
            <w:tcBorders>
              <w:top w:val="nil"/>
              <w:bottom w:val="nil"/>
            </w:tcBorders>
            <w:noWrap/>
          </w:tcPr>
          <w:p w14:paraId="3341A017" w14:textId="77777777" w:rsidR="00F51D8E" w:rsidRPr="007C72DD" w:rsidRDefault="00F51D8E" w:rsidP="007E28B9">
            <w:pPr>
              <w:spacing w:after="200" w:line="276" w:lineRule="auto"/>
              <w:rPr>
                <w:rFonts w:cs="Calibri"/>
                <w:lang w:val="en-US" w:eastAsia="es-ES"/>
              </w:rPr>
            </w:pPr>
            <w:r w:rsidRPr="007C72DD">
              <w:rPr>
                <w:rFonts w:cs="Calibri"/>
                <w:lang w:val="en-US" w:eastAsia="es-ES"/>
              </w:rPr>
              <w:t>2.0</w:t>
            </w:r>
          </w:p>
        </w:tc>
        <w:tc>
          <w:tcPr>
            <w:tcW w:w="1819" w:type="dxa"/>
            <w:tcBorders>
              <w:top w:val="nil"/>
              <w:bottom w:val="nil"/>
            </w:tcBorders>
          </w:tcPr>
          <w:p w14:paraId="77A75770" w14:textId="77777777" w:rsidR="00F51D8E" w:rsidRPr="007C72DD" w:rsidRDefault="00F51D8E" w:rsidP="007E28B9">
            <w:pPr>
              <w:spacing w:after="200" w:line="276" w:lineRule="auto"/>
              <w:rPr>
                <w:rFonts w:cs="Calibri"/>
                <w:lang w:val="en-US" w:eastAsia="es-ES"/>
              </w:rPr>
            </w:pPr>
            <w:r w:rsidRPr="007C72DD">
              <w:rPr>
                <w:rFonts w:cs="Calibri"/>
                <w:lang w:val="en-US" w:eastAsia="es-ES"/>
              </w:rPr>
              <w:t>12</w:t>
            </w:r>
          </w:p>
        </w:tc>
        <w:tc>
          <w:tcPr>
            <w:tcW w:w="1819" w:type="dxa"/>
            <w:tcBorders>
              <w:top w:val="nil"/>
              <w:bottom w:val="nil"/>
            </w:tcBorders>
          </w:tcPr>
          <w:p w14:paraId="69D24FA8"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269 </w:t>
            </w:r>
          </w:p>
        </w:tc>
        <w:tc>
          <w:tcPr>
            <w:tcW w:w="1819" w:type="dxa"/>
            <w:tcBorders>
              <w:top w:val="nil"/>
              <w:bottom w:val="nil"/>
            </w:tcBorders>
          </w:tcPr>
          <w:p w14:paraId="4446D67E"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-0.1 </w:t>
            </w:r>
          </w:p>
        </w:tc>
        <w:tc>
          <w:tcPr>
            <w:tcW w:w="1819" w:type="dxa"/>
            <w:tcBorders>
              <w:top w:val="nil"/>
              <w:bottom w:val="nil"/>
            </w:tcBorders>
          </w:tcPr>
          <w:p w14:paraId="6C9F8047" w14:textId="77777777" w:rsidR="00F51D8E" w:rsidRPr="007C72DD" w:rsidRDefault="00F51D8E" w:rsidP="007E28B9">
            <w:pPr>
              <w:spacing w:after="200" w:line="276" w:lineRule="auto"/>
              <w:rPr>
                <w:rFonts w:cs="Calibri"/>
                <w:lang w:val="en-US" w:eastAsia="es-ES"/>
              </w:rPr>
            </w:pPr>
            <w:r w:rsidRPr="007C72DD">
              <w:rPr>
                <w:rFonts w:cs="Calibri"/>
                <w:lang w:val="en-US" w:eastAsia="es-ES"/>
              </w:rPr>
              <w:t>-280</w:t>
            </w:r>
          </w:p>
        </w:tc>
      </w:tr>
      <w:tr w:rsidR="00F51D8E" w:rsidRPr="00933AB8" w14:paraId="268FD7CA" w14:textId="77777777" w:rsidTr="007E28B9">
        <w:trPr>
          <w:trHeight w:val="255"/>
        </w:trPr>
        <w:tc>
          <w:tcPr>
            <w:tcW w:w="3369" w:type="dxa"/>
            <w:tcBorders>
              <w:top w:val="nil"/>
              <w:bottom w:val="nil"/>
            </w:tcBorders>
            <w:noWrap/>
            <w:hideMark/>
          </w:tcPr>
          <w:p w14:paraId="7F71C27C" w14:textId="77777777" w:rsidR="00F51D8E" w:rsidRPr="00933AB8" w:rsidRDefault="00F51D8E" w:rsidP="007E28B9">
            <w:pPr>
              <w:spacing w:after="200" w:line="276" w:lineRule="auto"/>
              <w:rPr>
                <w:rFonts w:cs="Calibri"/>
                <w:lang w:val="en-US" w:eastAsia="es-ES"/>
              </w:rPr>
            </w:pPr>
            <w:r w:rsidRPr="00933AB8">
              <w:rPr>
                <w:rFonts w:cs="Calibri"/>
                <w:lang w:val="en-US" w:eastAsia="es-ES"/>
              </w:rPr>
              <w:t>Healthcare perspective</w:t>
            </w:r>
          </w:p>
        </w:tc>
        <w:tc>
          <w:tcPr>
            <w:tcW w:w="1819" w:type="dxa"/>
            <w:tcBorders>
              <w:top w:val="nil"/>
              <w:bottom w:val="nil"/>
            </w:tcBorders>
            <w:noWrap/>
            <w:hideMark/>
          </w:tcPr>
          <w:p w14:paraId="4A3F0595"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27.6 </w:t>
            </w:r>
          </w:p>
        </w:tc>
        <w:tc>
          <w:tcPr>
            <w:tcW w:w="1819" w:type="dxa"/>
            <w:tcBorders>
              <w:top w:val="nil"/>
              <w:bottom w:val="nil"/>
            </w:tcBorders>
            <w:noWrap/>
          </w:tcPr>
          <w:p w14:paraId="6EC60CC1" w14:textId="77777777" w:rsidR="00F51D8E" w:rsidRPr="007C72DD" w:rsidRDefault="00F51D8E" w:rsidP="007E28B9">
            <w:pPr>
              <w:spacing w:after="200" w:line="276" w:lineRule="auto"/>
              <w:rPr>
                <w:rFonts w:cs="Calibri"/>
                <w:lang w:val="en-US" w:eastAsia="es-ES"/>
              </w:rPr>
            </w:pPr>
            <w:r w:rsidRPr="007C72DD">
              <w:rPr>
                <w:rFonts w:cs="Calibri"/>
                <w:lang w:val="en-US" w:eastAsia="es-ES"/>
              </w:rPr>
              <w:t>2.0</w:t>
            </w:r>
          </w:p>
        </w:tc>
        <w:tc>
          <w:tcPr>
            <w:tcW w:w="1819" w:type="dxa"/>
            <w:tcBorders>
              <w:top w:val="nil"/>
              <w:bottom w:val="nil"/>
            </w:tcBorders>
          </w:tcPr>
          <w:p w14:paraId="3EE429F8" w14:textId="77777777" w:rsidR="00F51D8E" w:rsidRPr="007C72DD" w:rsidRDefault="00F51D8E" w:rsidP="007E28B9">
            <w:pPr>
              <w:spacing w:after="200" w:line="276" w:lineRule="auto"/>
              <w:rPr>
                <w:rFonts w:cs="Calibri"/>
                <w:lang w:val="en-US" w:eastAsia="es-ES"/>
              </w:rPr>
            </w:pPr>
            <w:r w:rsidRPr="007C72DD">
              <w:rPr>
                <w:rFonts w:cs="Calibri"/>
                <w:lang w:val="en-US" w:eastAsia="es-ES"/>
              </w:rPr>
              <w:t>14</w:t>
            </w:r>
          </w:p>
        </w:tc>
        <w:tc>
          <w:tcPr>
            <w:tcW w:w="1819" w:type="dxa"/>
            <w:tcBorders>
              <w:top w:val="nil"/>
              <w:bottom w:val="nil"/>
            </w:tcBorders>
          </w:tcPr>
          <w:p w14:paraId="522AF1A0"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156 </w:t>
            </w:r>
          </w:p>
        </w:tc>
        <w:tc>
          <w:tcPr>
            <w:tcW w:w="1819" w:type="dxa"/>
            <w:tcBorders>
              <w:top w:val="nil"/>
              <w:bottom w:val="nil"/>
            </w:tcBorders>
          </w:tcPr>
          <w:p w14:paraId="54845B7E"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-0.1 </w:t>
            </w:r>
          </w:p>
        </w:tc>
        <w:tc>
          <w:tcPr>
            <w:tcW w:w="1819" w:type="dxa"/>
            <w:tcBorders>
              <w:top w:val="nil"/>
              <w:bottom w:val="nil"/>
            </w:tcBorders>
          </w:tcPr>
          <w:p w14:paraId="74B6DED7" w14:textId="77777777" w:rsidR="00F51D8E" w:rsidRPr="007C72DD" w:rsidRDefault="00F51D8E" w:rsidP="007E28B9">
            <w:pPr>
              <w:spacing w:after="200" w:line="276" w:lineRule="auto"/>
              <w:rPr>
                <w:rFonts w:cs="Calibri"/>
                <w:lang w:val="en-US" w:eastAsia="es-ES"/>
              </w:rPr>
            </w:pPr>
            <w:r w:rsidRPr="007C72DD">
              <w:rPr>
                <w:rFonts w:cs="Calibri"/>
                <w:lang w:val="en-US" w:eastAsia="es-ES"/>
              </w:rPr>
              <w:t>-162</w:t>
            </w:r>
          </w:p>
        </w:tc>
      </w:tr>
      <w:tr w:rsidR="00F51D8E" w:rsidRPr="00933AB8" w14:paraId="35C9A996" w14:textId="77777777" w:rsidTr="007E28B9">
        <w:trPr>
          <w:trHeight w:val="255"/>
        </w:trPr>
        <w:tc>
          <w:tcPr>
            <w:tcW w:w="3369" w:type="dxa"/>
            <w:tcBorders>
              <w:top w:val="nil"/>
              <w:bottom w:val="nil"/>
            </w:tcBorders>
            <w:noWrap/>
          </w:tcPr>
          <w:p w14:paraId="7756399F" w14:textId="77777777" w:rsidR="00F51D8E" w:rsidRPr="00933AB8" w:rsidRDefault="00F51D8E" w:rsidP="007E28B9">
            <w:pPr>
              <w:spacing w:after="200" w:line="276" w:lineRule="auto"/>
              <w:rPr>
                <w:rFonts w:cs="Calibri"/>
                <w:lang w:val="en-US" w:eastAsia="es-ES"/>
              </w:rPr>
            </w:pPr>
            <w:r w:rsidRPr="00933AB8">
              <w:rPr>
                <w:rFonts w:cs="Calibri"/>
                <w:b/>
                <w:lang w:val="en-US" w:eastAsia="es-ES"/>
              </w:rPr>
              <w:t>Sensitivity analyses</w:t>
            </w:r>
          </w:p>
        </w:tc>
        <w:tc>
          <w:tcPr>
            <w:tcW w:w="1819" w:type="dxa"/>
            <w:tcBorders>
              <w:top w:val="nil"/>
              <w:bottom w:val="nil"/>
            </w:tcBorders>
            <w:noWrap/>
          </w:tcPr>
          <w:p w14:paraId="41ED6F6A" w14:textId="77777777" w:rsidR="00F51D8E" w:rsidRPr="007C72DD" w:rsidRDefault="00F51D8E" w:rsidP="007E28B9">
            <w:pPr>
              <w:spacing w:after="200" w:line="276" w:lineRule="auto"/>
              <w:rPr>
                <w:rFonts w:cs="Calibri"/>
                <w:lang w:val="en-US" w:eastAsia="es-ES"/>
              </w:rPr>
            </w:pPr>
          </w:p>
        </w:tc>
        <w:tc>
          <w:tcPr>
            <w:tcW w:w="1819" w:type="dxa"/>
            <w:tcBorders>
              <w:top w:val="nil"/>
              <w:bottom w:val="nil"/>
            </w:tcBorders>
            <w:noWrap/>
          </w:tcPr>
          <w:p w14:paraId="4CD809A7" w14:textId="77777777" w:rsidR="00F51D8E" w:rsidRPr="007C72DD" w:rsidRDefault="00F51D8E" w:rsidP="007E28B9">
            <w:pPr>
              <w:spacing w:after="200" w:line="276" w:lineRule="auto"/>
              <w:rPr>
                <w:rFonts w:cs="Calibri"/>
                <w:lang w:val="en-US" w:eastAsia="es-ES"/>
              </w:rPr>
            </w:pPr>
          </w:p>
        </w:tc>
        <w:tc>
          <w:tcPr>
            <w:tcW w:w="1819" w:type="dxa"/>
            <w:tcBorders>
              <w:top w:val="nil"/>
              <w:bottom w:val="nil"/>
            </w:tcBorders>
          </w:tcPr>
          <w:p w14:paraId="16F724D6" w14:textId="77777777" w:rsidR="00F51D8E" w:rsidRPr="007C72DD" w:rsidRDefault="00F51D8E" w:rsidP="007E28B9">
            <w:pPr>
              <w:spacing w:after="200" w:line="276" w:lineRule="auto"/>
              <w:rPr>
                <w:rFonts w:cs="Calibri"/>
                <w:lang w:val="en-US" w:eastAsia="es-ES"/>
              </w:rPr>
            </w:pPr>
          </w:p>
        </w:tc>
        <w:tc>
          <w:tcPr>
            <w:tcW w:w="1819" w:type="dxa"/>
            <w:tcBorders>
              <w:top w:val="nil"/>
              <w:bottom w:val="nil"/>
            </w:tcBorders>
          </w:tcPr>
          <w:p w14:paraId="224CDF11" w14:textId="77777777" w:rsidR="00F51D8E" w:rsidRPr="007C72DD" w:rsidRDefault="00F51D8E" w:rsidP="007E28B9">
            <w:pPr>
              <w:spacing w:after="200" w:line="276" w:lineRule="auto"/>
              <w:rPr>
                <w:rFonts w:cs="Calibri"/>
                <w:lang w:val="en-US" w:eastAsia="es-ES"/>
              </w:rPr>
            </w:pPr>
          </w:p>
        </w:tc>
        <w:tc>
          <w:tcPr>
            <w:tcW w:w="1819" w:type="dxa"/>
            <w:tcBorders>
              <w:top w:val="nil"/>
              <w:bottom w:val="nil"/>
            </w:tcBorders>
          </w:tcPr>
          <w:p w14:paraId="7A1640ED" w14:textId="77777777" w:rsidR="00F51D8E" w:rsidRPr="007C72DD" w:rsidRDefault="00F51D8E" w:rsidP="007E28B9">
            <w:pPr>
              <w:spacing w:after="200" w:line="276" w:lineRule="auto"/>
              <w:rPr>
                <w:rFonts w:cs="Calibri"/>
                <w:lang w:val="en-US" w:eastAsia="es-ES"/>
              </w:rPr>
            </w:pPr>
          </w:p>
        </w:tc>
        <w:tc>
          <w:tcPr>
            <w:tcW w:w="1819" w:type="dxa"/>
            <w:tcBorders>
              <w:top w:val="nil"/>
              <w:bottom w:val="nil"/>
            </w:tcBorders>
          </w:tcPr>
          <w:p w14:paraId="42C5B551" w14:textId="77777777" w:rsidR="00F51D8E" w:rsidRPr="007C72DD" w:rsidRDefault="00F51D8E" w:rsidP="007E28B9">
            <w:pPr>
              <w:spacing w:after="200" w:line="276" w:lineRule="auto"/>
              <w:rPr>
                <w:rFonts w:cs="Calibri"/>
                <w:lang w:val="en-US" w:eastAsia="es-ES"/>
              </w:rPr>
            </w:pPr>
          </w:p>
        </w:tc>
      </w:tr>
      <w:tr w:rsidR="00F51D8E" w:rsidRPr="00933AB8" w14:paraId="1B3D5D32" w14:textId="77777777" w:rsidTr="007E28B9">
        <w:trPr>
          <w:trHeight w:val="255"/>
        </w:trPr>
        <w:tc>
          <w:tcPr>
            <w:tcW w:w="3369" w:type="dxa"/>
            <w:tcBorders>
              <w:top w:val="nil"/>
              <w:bottom w:val="nil"/>
            </w:tcBorders>
            <w:noWrap/>
            <w:hideMark/>
          </w:tcPr>
          <w:p w14:paraId="147BAC12" w14:textId="77777777" w:rsidR="00F51D8E" w:rsidRPr="00933AB8" w:rsidRDefault="00F51D8E" w:rsidP="007E28B9">
            <w:pPr>
              <w:spacing w:after="200" w:line="276" w:lineRule="auto"/>
              <w:rPr>
                <w:rFonts w:cs="Calibri"/>
                <w:lang w:val="en-US" w:eastAsia="es-ES"/>
              </w:rPr>
            </w:pPr>
            <w:r w:rsidRPr="00933AB8">
              <w:rPr>
                <w:rFonts w:cs="Calibri"/>
                <w:lang w:val="en-US" w:eastAsia="es-ES"/>
              </w:rPr>
              <w:t>Analysis with generalized linear models (no correction for propensity score)</w:t>
            </w:r>
          </w:p>
        </w:tc>
        <w:tc>
          <w:tcPr>
            <w:tcW w:w="1819" w:type="dxa"/>
            <w:tcBorders>
              <w:top w:val="nil"/>
              <w:bottom w:val="nil"/>
            </w:tcBorders>
            <w:noWrap/>
            <w:hideMark/>
          </w:tcPr>
          <w:p w14:paraId="6784FA70"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137.6 </w:t>
            </w:r>
          </w:p>
        </w:tc>
        <w:tc>
          <w:tcPr>
            <w:tcW w:w="1819" w:type="dxa"/>
            <w:tcBorders>
              <w:top w:val="nil"/>
              <w:bottom w:val="nil"/>
            </w:tcBorders>
            <w:noWrap/>
          </w:tcPr>
          <w:p w14:paraId="73889AF6" w14:textId="77777777" w:rsidR="00F51D8E" w:rsidRPr="007C72DD" w:rsidRDefault="00F51D8E" w:rsidP="007E28B9">
            <w:pPr>
              <w:spacing w:after="200" w:line="276" w:lineRule="auto"/>
              <w:rPr>
                <w:rFonts w:cs="Calibri"/>
                <w:lang w:val="en-US" w:eastAsia="es-ES"/>
              </w:rPr>
            </w:pPr>
            <w:r w:rsidRPr="007C72DD">
              <w:rPr>
                <w:rFonts w:cs="Calibri"/>
                <w:lang w:val="en-US" w:eastAsia="es-ES"/>
              </w:rPr>
              <w:t>7.1</w:t>
            </w:r>
          </w:p>
        </w:tc>
        <w:tc>
          <w:tcPr>
            <w:tcW w:w="1819" w:type="dxa"/>
            <w:tcBorders>
              <w:top w:val="nil"/>
              <w:bottom w:val="nil"/>
            </w:tcBorders>
          </w:tcPr>
          <w:p w14:paraId="5AADCE5F" w14:textId="77777777" w:rsidR="00F51D8E" w:rsidRPr="007C72DD" w:rsidRDefault="00F51D8E" w:rsidP="007E28B9">
            <w:pPr>
              <w:spacing w:after="200" w:line="276" w:lineRule="auto"/>
              <w:rPr>
                <w:rFonts w:cs="Calibri"/>
                <w:lang w:val="en-US" w:eastAsia="es-ES"/>
              </w:rPr>
            </w:pPr>
            <w:r w:rsidRPr="007C72DD">
              <w:rPr>
                <w:rFonts w:cs="Calibri"/>
                <w:lang w:val="en-US" w:eastAsia="es-ES"/>
              </w:rPr>
              <w:t>19</w:t>
            </w:r>
          </w:p>
        </w:tc>
        <w:tc>
          <w:tcPr>
            <w:tcW w:w="1819" w:type="dxa"/>
            <w:tcBorders>
              <w:top w:val="nil"/>
              <w:bottom w:val="nil"/>
            </w:tcBorders>
          </w:tcPr>
          <w:p w14:paraId="58D2E7DB"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294.9 </w:t>
            </w:r>
          </w:p>
        </w:tc>
        <w:tc>
          <w:tcPr>
            <w:tcW w:w="1819" w:type="dxa"/>
            <w:tcBorders>
              <w:top w:val="nil"/>
              <w:bottom w:val="nil"/>
            </w:tcBorders>
          </w:tcPr>
          <w:p w14:paraId="2E159221" w14:textId="77777777" w:rsidR="00F51D8E" w:rsidRPr="007C72DD" w:rsidRDefault="00F51D8E" w:rsidP="007E28B9">
            <w:pPr>
              <w:spacing w:after="200" w:line="276" w:lineRule="auto"/>
              <w:rPr>
                <w:rFonts w:cs="Calibri"/>
                <w:lang w:val="en-US" w:eastAsia="es-ES"/>
              </w:rPr>
            </w:pPr>
            <w:r w:rsidRPr="007C72DD">
              <w:rPr>
                <w:rFonts w:cs="Calibri"/>
                <w:lang w:val="en-US" w:eastAsia="es-ES"/>
              </w:rPr>
              <w:t>-6</w:t>
            </w:r>
          </w:p>
        </w:tc>
        <w:tc>
          <w:tcPr>
            <w:tcW w:w="1819" w:type="dxa"/>
            <w:tcBorders>
              <w:top w:val="nil"/>
              <w:bottom w:val="nil"/>
            </w:tcBorders>
          </w:tcPr>
          <w:p w14:paraId="0C93C01A" w14:textId="77777777" w:rsidR="00F51D8E" w:rsidRPr="007C72DD" w:rsidRDefault="00F51D8E" w:rsidP="007E28B9">
            <w:pPr>
              <w:spacing w:after="200" w:line="276" w:lineRule="auto"/>
              <w:rPr>
                <w:rFonts w:cs="Calibri"/>
                <w:lang w:val="en-US" w:eastAsia="es-ES"/>
              </w:rPr>
            </w:pPr>
            <w:r w:rsidRPr="007C72DD">
              <w:rPr>
                <w:rFonts w:cs="Calibri"/>
                <w:lang w:val="en-US" w:eastAsia="es-ES"/>
              </w:rPr>
              <w:t>-51</w:t>
            </w:r>
          </w:p>
        </w:tc>
      </w:tr>
      <w:tr w:rsidR="00F51D8E" w:rsidRPr="00933AB8" w14:paraId="3D61FB53" w14:textId="77777777" w:rsidTr="007E28B9">
        <w:trPr>
          <w:trHeight w:val="255"/>
        </w:trPr>
        <w:tc>
          <w:tcPr>
            <w:tcW w:w="3369" w:type="dxa"/>
            <w:tcBorders>
              <w:top w:val="nil"/>
              <w:bottom w:val="nil"/>
            </w:tcBorders>
            <w:noWrap/>
          </w:tcPr>
          <w:p w14:paraId="1C2D000A" w14:textId="77777777" w:rsidR="00F51D8E" w:rsidRPr="00933AB8" w:rsidRDefault="00F51D8E" w:rsidP="007E28B9">
            <w:pPr>
              <w:spacing w:after="200" w:line="276" w:lineRule="auto"/>
              <w:rPr>
                <w:rFonts w:cs="Calibri"/>
                <w:lang w:val="en-US" w:eastAsia="es-ES"/>
              </w:rPr>
            </w:pPr>
            <w:r w:rsidRPr="00933AB8">
              <w:rPr>
                <w:rFonts w:cs="Calibri"/>
                <w:lang w:val="en-US" w:eastAsia="es-ES"/>
              </w:rPr>
              <w:t>Patients with major depression according to DSM-IV criteria (n=82)</w:t>
            </w:r>
          </w:p>
        </w:tc>
        <w:tc>
          <w:tcPr>
            <w:tcW w:w="1819" w:type="dxa"/>
            <w:tcBorders>
              <w:top w:val="nil"/>
              <w:bottom w:val="nil"/>
            </w:tcBorders>
            <w:noWrap/>
          </w:tcPr>
          <w:p w14:paraId="05672DF1" w14:textId="77777777" w:rsidR="00F51D8E" w:rsidRPr="007C72DD" w:rsidRDefault="00F51D8E" w:rsidP="007E28B9">
            <w:pPr>
              <w:spacing w:after="200" w:line="276" w:lineRule="auto"/>
              <w:rPr>
                <w:rFonts w:cs="Calibri"/>
                <w:lang w:val="en-US" w:eastAsia="es-ES"/>
              </w:rPr>
            </w:pPr>
            <w:r w:rsidRPr="007C72DD">
              <w:rPr>
                <w:rFonts w:cs="Calibri"/>
                <w:lang w:val="en-US" w:eastAsia="es-ES"/>
              </w:rPr>
              <w:t>-59.1</w:t>
            </w:r>
          </w:p>
        </w:tc>
        <w:tc>
          <w:tcPr>
            <w:tcW w:w="1819" w:type="dxa"/>
            <w:tcBorders>
              <w:top w:val="nil"/>
              <w:bottom w:val="nil"/>
            </w:tcBorders>
            <w:noWrap/>
          </w:tcPr>
          <w:p w14:paraId="625A33C4" w14:textId="77777777" w:rsidR="00F51D8E" w:rsidRPr="007C72DD" w:rsidRDefault="00F51D8E" w:rsidP="007E28B9">
            <w:pPr>
              <w:spacing w:after="200" w:line="276" w:lineRule="auto"/>
              <w:rPr>
                <w:rFonts w:cs="Calibri"/>
                <w:lang w:val="en-US" w:eastAsia="es-ES"/>
              </w:rPr>
            </w:pPr>
            <w:r w:rsidRPr="007C72DD">
              <w:rPr>
                <w:rFonts w:cs="Calibri"/>
                <w:lang w:val="en-US" w:eastAsia="es-ES"/>
              </w:rPr>
              <w:t>-4.4</w:t>
            </w:r>
          </w:p>
        </w:tc>
        <w:tc>
          <w:tcPr>
            <w:tcW w:w="1819" w:type="dxa"/>
            <w:tcBorders>
              <w:top w:val="nil"/>
              <w:bottom w:val="nil"/>
            </w:tcBorders>
          </w:tcPr>
          <w:p w14:paraId="3980CF67" w14:textId="77777777" w:rsidR="00F51D8E" w:rsidRPr="007C72DD" w:rsidRDefault="00F51D8E" w:rsidP="007E28B9">
            <w:pPr>
              <w:spacing w:after="200" w:line="276" w:lineRule="auto"/>
              <w:rPr>
                <w:rFonts w:cs="Calibri"/>
                <w:lang w:val="en-US" w:eastAsia="es-ES"/>
              </w:rPr>
            </w:pPr>
            <w:r w:rsidRPr="007C72DD">
              <w:rPr>
                <w:rFonts w:cs="Calibri"/>
                <w:lang w:val="en-US" w:eastAsia="es-ES"/>
              </w:rPr>
              <w:t>13</w:t>
            </w:r>
          </w:p>
        </w:tc>
        <w:tc>
          <w:tcPr>
            <w:tcW w:w="1819" w:type="dxa"/>
            <w:tcBorders>
              <w:top w:val="nil"/>
              <w:bottom w:val="nil"/>
            </w:tcBorders>
          </w:tcPr>
          <w:p w14:paraId="1DA17D29"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53 </w:t>
            </w:r>
          </w:p>
        </w:tc>
        <w:tc>
          <w:tcPr>
            <w:tcW w:w="1819" w:type="dxa"/>
            <w:tcBorders>
              <w:top w:val="nil"/>
              <w:bottom w:val="nil"/>
            </w:tcBorders>
          </w:tcPr>
          <w:p w14:paraId="574B4018"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9,6*10-03 </w:t>
            </w:r>
          </w:p>
        </w:tc>
        <w:tc>
          <w:tcPr>
            <w:tcW w:w="1819" w:type="dxa"/>
            <w:tcBorders>
              <w:top w:val="nil"/>
              <w:bottom w:val="nil"/>
            </w:tcBorders>
          </w:tcPr>
          <w:p w14:paraId="7CE6CD61" w14:textId="77777777" w:rsidR="00F51D8E" w:rsidRPr="007C72DD" w:rsidRDefault="00F51D8E" w:rsidP="007E28B9">
            <w:pPr>
              <w:spacing w:after="200" w:line="276" w:lineRule="auto"/>
              <w:rPr>
                <w:rFonts w:cs="Calibri"/>
                <w:lang w:val="en-US" w:eastAsia="es-ES"/>
              </w:rPr>
            </w:pPr>
            <w:r w:rsidRPr="007C72DD">
              <w:rPr>
                <w:rFonts w:cs="Calibri"/>
                <w:lang w:val="en-US" w:eastAsia="es-ES"/>
              </w:rPr>
              <w:t>5554</w:t>
            </w:r>
          </w:p>
        </w:tc>
      </w:tr>
      <w:tr w:rsidR="00F51D8E" w:rsidRPr="00933AB8" w14:paraId="4FFAD2E2" w14:textId="77777777" w:rsidTr="007E28B9">
        <w:trPr>
          <w:trHeight w:val="255"/>
        </w:trPr>
        <w:tc>
          <w:tcPr>
            <w:tcW w:w="3369" w:type="dxa"/>
            <w:tcBorders>
              <w:top w:val="nil"/>
              <w:bottom w:val="nil"/>
            </w:tcBorders>
            <w:noWrap/>
            <w:hideMark/>
          </w:tcPr>
          <w:p w14:paraId="72F36701" w14:textId="77777777" w:rsidR="00F51D8E" w:rsidRPr="00933AB8" w:rsidRDefault="00F51D8E" w:rsidP="007E28B9">
            <w:pPr>
              <w:spacing w:after="200" w:line="276" w:lineRule="auto"/>
              <w:rPr>
                <w:rFonts w:cs="Calibri"/>
                <w:lang w:val="en-US" w:eastAsia="es-ES"/>
              </w:rPr>
            </w:pPr>
            <w:r w:rsidRPr="00933AB8">
              <w:rPr>
                <w:rFonts w:cs="Calibri"/>
                <w:lang w:val="en-US" w:eastAsia="es-ES"/>
              </w:rPr>
              <w:t>Average salary for absenteeism</w:t>
            </w:r>
          </w:p>
        </w:tc>
        <w:tc>
          <w:tcPr>
            <w:tcW w:w="1819" w:type="dxa"/>
            <w:tcBorders>
              <w:top w:val="nil"/>
              <w:bottom w:val="nil"/>
            </w:tcBorders>
            <w:noWrap/>
            <w:hideMark/>
          </w:tcPr>
          <w:p w14:paraId="7EC398FB"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104.5 </w:t>
            </w:r>
          </w:p>
        </w:tc>
        <w:tc>
          <w:tcPr>
            <w:tcW w:w="1819" w:type="dxa"/>
            <w:tcBorders>
              <w:top w:val="nil"/>
              <w:bottom w:val="nil"/>
            </w:tcBorders>
            <w:noWrap/>
          </w:tcPr>
          <w:p w14:paraId="30D0CCB2" w14:textId="77777777" w:rsidR="00F51D8E" w:rsidRPr="007C72DD" w:rsidRDefault="00F51D8E" w:rsidP="007E28B9">
            <w:pPr>
              <w:spacing w:after="200" w:line="276" w:lineRule="auto"/>
              <w:rPr>
                <w:rFonts w:cs="Calibri"/>
                <w:lang w:val="en-US" w:eastAsia="es-ES"/>
              </w:rPr>
            </w:pPr>
            <w:r w:rsidRPr="007C72DD">
              <w:rPr>
                <w:rFonts w:cs="Calibri"/>
                <w:lang w:val="en-US" w:eastAsia="es-ES"/>
              </w:rPr>
              <w:t>2.0</w:t>
            </w:r>
          </w:p>
        </w:tc>
        <w:tc>
          <w:tcPr>
            <w:tcW w:w="1819" w:type="dxa"/>
            <w:tcBorders>
              <w:top w:val="nil"/>
              <w:bottom w:val="nil"/>
            </w:tcBorders>
          </w:tcPr>
          <w:p w14:paraId="554997B6" w14:textId="77777777" w:rsidR="00F51D8E" w:rsidRPr="007C72DD" w:rsidRDefault="00F51D8E" w:rsidP="007E28B9">
            <w:pPr>
              <w:spacing w:after="200" w:line="276" w:lineRule="auto"/>
              <w:rPr>
                <w:rFonts w:cs="Calibri"/>
                <w:lang w:val="en-US" w:eastAsia="es-ES"/>
              </w:rPr>
            </w:pPr>
            <w:r w:rsidRPr="007C72DD">
              <w:rPr>
                <w:rFonts w:cs="Calibri"/>
                <w:lang w:val="en-US" w:eastAsia="es-ES"/>
              </w:rPr>
              <w:t>53</w:t>
            </w:r>
          </w:p>
        </w:tc>
        <w:tc>
          <w:tcPr>
            <w:tcW w:w="1819" w:type="dxa"/>
            <w:tcBorders>
              <w:top w:val="nil"/>
              <w:bottom w:val="nil"/>
            </w:tcBorders>
          </w:tcPr>
          <w:p w14:paraId="034E1329"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688 </w:t>
            </w:r>
          </w:p>
        </w:tc>
        <w:tc>
          <w:tcPr>
            <w:tcW w:w="1819" w:type="dxa"/>
            <w:tcBorders>
              <w:top w:val="nil"/>
              <w:bottom w:val="nil"/>
            </w:tcBorders>
          </w:tcPr>
          <w:p w14:paraId="6541D0E7"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-0.1 </w:t>
            </w:r>
          </w:p>
        </w:tc>
        <w:tc>
          <w:tcPr>
            <w:tcW w:w="1819" w:type="dxa"/>
            <w:tcBorders>
              <w:top w:val="nil"/>
              <w:bottom w:val="nil"/>
            </w:tcBorders>
          </w:tcPr>
          <w:p w14:paraId="28F812ED" w14:textId="77777777" w:rsidR="00F51D8E" w:rsidRPr="007C72DD" w:rsidRDefault="00F51D8E" w:rsidP="007E28B9">
            <w:pPr>
              <w:spacing w:after="200" w:line="276" w:lineRule="auto"/>
              <w:rPr>
                <w:rFonts w:cs="Calibri"/>
                <w:lang w:val="en-US" w:eastAsia="es-ES"/>
              </w:rPr>
            </w:pPr>
            <w:r w:rsidRPr="007C72DD">
              <w:rPr>
                <w:rFonts w:cs="Calibri"/>
                <w:lang w:val="en-US" w:eastAsia="es-ES"/>
              </w:rPr>
              <w:t>-716</w:t>
            </w:r>
          </w:p>
        </w:tc>
      </w:tr>
      <w:tr w:rsidR="00F51D8E" w:rsidRPr="00933AB8" w14:paraId="6300E53F" w14:textId="77777777" w:rsidTr="007E28B9">
        <w:trPr>
          <w:trHeight w:val="255"/>
        </w:trPr>
        <w:tc>
          <w:tcPr>
            <w:tcW w:w="3369" w:type="dxa"/>
            <w:tcBorders>
              <w:top w:val="nil"/>
              <w:bottom w:val="nil"/>
            </w:tcBorders>
            <w:noWrap/>
            <w:hideMark/>
          </w:tcPr>
          <w:p w14:paraId="6478F833" w14:textId="77777777" w:rsidR="00F51D8E" w:rsidRPr="00933AB8" w:rsidRDefault="00F51D8E" w:rsidP="007E28B9">
            <w:pPr>
              <w:spacing w:after="200" w:line="276" w:lineRule="auto"/>
              <w:rPr>
                <w:rFonts w:cs="Calibri"/>
                <w:lang w:val="en-US" w:eastAsia="es-ES"/>
              </w:rPr>
            </w:pPr>
            <w:r w:rsidRPr="00933AB8">
              <w:rPr>
                <w:rFonts w:cs="Calibri"/>
                <w:lang w:val="en-US" w:eastAsia="es-ES"/>
              </w:rPr>
              <w:t>Per protocol analysis (n=128)</w:t>
            </w:r>
          </w:p>
        </w:tc>
        <w:tc>
          <w:tcPr>
            <w:tcW w:w="1819" w:type="dxa"/>
            <w:tcBorders>
              <w:top w:val="nil"/>
              <w:bottom w:val="nil"/>
            </w:tcBorders>
            <w:noWrap/>
            <w:hideMark/>
          </w:tcPr>
          <w:p w14:paraId="0FD69D0A"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-548.3 </w:t>
            </w:r>
          </w:p>
        </w:tc>
        <w:tc>
          <w:tcPr>
            <w:tcW w:w="1819" w:type="dxa"/>
            <w:tcBorders>
              <w:top w:val="nil"/>
              <w:bottom w:val="nil"/>
            </w:tcBorders>
            <w:noWrap/>
          </w:tcPr>
          <w:p w14:paraId="37533A50" w14:textId="77777777" w:rsidR="00F51D8E" w:rsidRPr="007C72DD" w:rsidRDefault="00F51D8E" w:rsidP="007E28B9">
            <w:pPr>
              <w:spacing w:after="200" w:line="276" w:lineRule="auto"/>
              <w:rPr>
                <w:rFonts w:cs="Calibri"/>
                <w:lang w:val="en-US" w:eastAsia="es-ES"/>
              </w:rPr>
            </w:pPr>
            <w:r w:rsidRPr="007C72DD">
              <w:rPr>
                <w:rFonts w:cs="Calibri"/>
                <w:lang w:val="en-US" w:eastAsia="es-ES"/>
              </w:rPr>
              <w:t>2.0</w:t>
            </w:r>
          </w:p>
        </w:tc>
        <w:tc>
          <w:tcPr>
            <w:tcW w:w="1819" w:type="dxa"/>
            <w:tcBorders>
              <w:top w:val="nil"/>
              <w:bottom w:val="nil"/>
            </w:tcBorders>
          </w:tcPr>
          <w:p w14:paraId="0EF0D2F3" w14:textId="77777777" w:rsidR="00F51D8E" w:rsidRPr="007C72DD" w:rsidRDefault="00F51D8E" w:rsidP="007E28B9">
            <w:pPr>
              <w:spacing w:after="200" w:line="276" w:lineRule="auto"/>
              <w:rPr>
                <w:rFonts w:cs="Calibri"/>
                <w:lang w:val="en-US" w:eastAsia="es-ES"/>
              </w:rPr>
            </w:pPr>
            <w:r w:rsidRPr="007C72DD">
              <w:rPr>
                <w:rFonts w:cs="Calibri"/>
                <w:lang w:val="en-US" w:eastAsia="es-ES"/>
              </w:rPr>
              <w:t>-277</w:t>
            </w:r>
          </w:p>
        </w:tc>
        <w:tc>
          <w:tcPr>
            <w:tcW w:w="1819" w:type="dxa"/>
            <w:tcBorders>
              <w:top w:val="nil"/>
              <w:bottom w:val="nil"/>
            </w:tcBorders>
          </w:tcPr>
          <w:p w14:paraId="47D97D7B"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-162 </w:t>
            </w:r>
          </w:p>
        </w:tc>
        <w:tc>
          <w:tcPr>
            <w:tcW w:w="1819" w:type="dxa"/>
            <w:tcBorders>
              <w:top w:val="nil"/>
              <w:bottom w:val="nil"/>
            </w:tcBorders>
          </w:tcPr>
          <w:p w14:paraId="7DAFC347"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-1.3 </w:t>
            </w:r>
          </w:p>
        </w:tc>
        <w:tc>
          <w:tcPr>
            <w:tcW w:w="1819" w:type="dxa"/>
            <w:tcBorders>
              <w:top w:val="nil"/>
              <w:bottom w:val="nil"/>
            </w:tcBorders>
          </w:tcPr>
          <w:p w14:paraId="5AE374B3" w14:textId="77777777" w:rsidR="00F51D8E" w:rsidRPr="007C72DD" w:rsidRDefault="00F51D8E" w:rsidP="007E28B9">
            <w:pPr>
              <w:spacing w:after="200" w:line="276" w:lineRule="auto"/>
              <w:rPr>
                <w:rFonts w:cs="Calibri"/>
                <w:lang w:val="en-US" w:eastAsia="es-ES"/>
              </w:rPr>
            </w:pPr>
            <w:r w:rsidRPr="007C72DD">
              <w:rPr>
                <w:rFonts w:cs="Calibri"/>
                <w:lang w:val="en-US" w:eastAsia="es-ES"/>
              </w:rPr>
              <w:t>125</w:t>
            </w:r>
          </w:p>
        </w:tc>
      </w:tr>
      <w:tr w:rsidR="00F51D8E" w:rsidRPr="00933AB8" w14:paraId="382FC74D" w14:textId="77777777" w:rsidTr="007E28B9">
        <w:trPr>
          <w:trHeight w:val="255"/>
        </w:trPr>
        <w:tc>
          <w:tcPr>
            <w:tcW w:w="3369" w:type="dxa"/>
            <w:tcBorders>
              <w:top w:val="nil"/>
            </w:tcBorders>
            <w:noWrap/>
            <w:hideMark/>
          </w:tcPr>
          <w:p w14:paraId="34678325" w14:textId="77777777" w:rsidR="00F51D8E" w:rsidRPr="00933AB8" w:rsidRDefault="00F51D8E" w:rsidP="007E28B9">
            <w:pPr>
              <w:spacing w:after="200" w:line="276" w:lineRule="auto"/>
              <w:rPr>
                <w:rFonts w:cs="Calibri"/>
                <w:lang w:val="en-US" w:eastAsia="es-ES"/>
              </w:rPr>
            </w:pPr>
            <w:r w:rsidRPr="00933AB8">
              <w:rPr>
                <w:rFonts w:cs="Calibri"/>
                <w:lang w:val="en-US" w:eastAsia="es-ES"/>
              </w:rPr>
              <w:t>Completers (6-month n=214; 12-month n=195)</w:t>
            </w:r>
          </w:p>
        </w:tc>
        <w:tc>
          <w:tcPr>
            <w:tcW w:w="1819" w:type="dxa"/>
            <w:tcBorders>
              <w:top w:val="nil"/>
            </w:tcBorders>
            <w:noWrap/>
            <w:hideMark/>
          </w:tcPr>
          <w:p w14:paraId="021EF371"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-21.0 </w:t>
            </w:r>
          </w:p>
        </w:tc>
        <w:tc>
          <w:tcPr>
            <w:tcW w:w="1819" w:type="dxa"/>
            <w:tcBorders>
              <w:top w:val="nil"/>
            </w:tcBorders>
            <w:noWrap/>
          </w:tcPr>
          <w:p w14:paraId="786DF716" w14:textId="77777777" w:rsidR="00F51D8E" w:rsidRPr="007C72DD" w:rsidRDefault="00F51D8E" w:rsidP="007E28B9">
            <w:pPr>
              <w:spacing w:after="200" w:line="276" w:lineRule="auto"/>
              <w:rPr>
                <w:rFonts w:cs="Calibri"/>
                <w:lang w:val="en-US" w:eastAsia="es-ES"/>
              </w:rPr>
            </w:pPr>
            <w:r w:rsidRPr="007C72DD">
              <w:rPr>
                <w:rFonts w:cs="Calibri"/>
                <w:lang w:val="en-US" w:eastAsia="es-ES"/>
              </w:rPr>
              <w:t>3.4</w:t>
            </w:r>
          </w:p>
        </w:tc>
        <w:tc>
          <w:tcPr>
            <w:tcW w:w="1819" w:type="dxa"/>
            <w:tcBorders>
              <w:top w:val="nil"/>
            </w:tcBorders>
          </w:tcPr>
          <w:p w14:paraId="2DACFA50" w14:textId="77777777" w:rsidR="00F51D8E" w:rsidRPr="007C72DD" w:rsidRDefault="00F51D8E" w:rsidP="007E28B9">
            <w:pPr>
              <w:spacing w:after="200" w:line="276" w:lineRule="auto"/>
              <w:rPr>
                <w:rFonts w:cs="Calibri"/>
                <w:lang w:val="en-US" w:eastAsia="es-ES"/>
              </w:rPr>
            </w:pPr>
            <w:r w:rsidRPr="007C72DD">
              <w:rPr>
                <w:rFonts w:cs="Calibri"/>
                <w:lang w:val="en-US" w:eastAsia="es-ES"/>
              </w:rPr>
              <w:t>-6</w:t>
            </w:r>
          </w:p>
        </w:tc>
        <w:tc>
          <w:tcPr>
            <w:tcW w:w="1819" w:type="dxa"/>
            <w:tcBorders>
              <w:top w:val="nil"/>
            </w:tcBorders>
          </w:tcPr>
          <w:p w14:paraId="600B8815" w14:textId="77777777" w:rsidR="00F51D8E" w:rsidRPr="007C72DD" w:rsidRDefault="00F51D8E" w:rsidP="007E28B9">
            <w:pPr>
              <w:spacing w:after="200" w:line="276" w:lineRule="auto"/>
              <w:rPr>
                <w:rFonts w:cs="Calibri"/>
                <w:lang w:val="en-US" w:eastAsia="es-ES"/>
              </w:rPr>
            </w:pPr>
            <w:r w:rsidRPr="007C72DD">
              <w:rPr>
                <w:rFonts w:cs="Calibri"/>
                <w:lang w:val="en-US" w:eastAsia="es-ES"/>
              </w:rPr>
              <w:t xml:space="preserve"> 185 </w:t>
            </w:r>
          </w:p>
        </w:tc>
        <w:tc>
          <w:tcPr>
            <w:tcW w:w="1819" w:type="dxa"/>
            <w:tcBorders>
              <w:top w:val="nil"/>
            </w:tcBorders>
          </w:tcPr>
          <w:p w14:paraId="3570703C" w14:textId="77777777" w:rsidR="00F51D8E" w:rsidRPr="007C72DD" w:rsidRDefault="00F51D8E" w:rsidP="007E28B9">
            <w:pPr>
              <w:spacing w:after="200" w:line="276" w:lineRule="auto"/>
              <w:rPr>
                <w:rFonts w:cs="Calibri"/>
                <w:lang w:val="en-US" w:eastAsia="es-ES"/>
              </w:rPr>
            </w:pPr>
            <w:r w:rsidRPr="007C72DD">
              <w:rPr>
                <w:rFonts w:cs="Calibri"/>
                <w:lang w:val="en-US" w:eastAsia="es-ES"/>
              </w:rPr>
              <w:t>-0. 03</w:t>
            </w:r>
          </w:p>
        </w:tc>
        <w:tc>
          <w:tcPr>
            <w:tcW w:w="1819" w:type="dxa"/>
            <w:tcBorders>
              <w:top w:val="nil"/>
            </w:tcBorders>
          </w:tcPr>
          <w:p w14:paraId="358E8923" w14:textId="77777777" w:rsidR="00F51D8E" w:rsidRPr="007C72DD" w:rsidRDefault="00F51D8E" w:rsidP="007E28B9">
            <w:pPr>
              <w:spacing w:after="200" w:line="276" w:lineRule="auto"/>
              <w:rPr>
                <w:rFonts w:cs="Calibri"/>
                <w:lang w:val="en-US" w:eastAsia="es-ES"/>
              </w:rPr>
            </w:pPr>
            <w:r w:rsidRPr="007C72DD">
              <w:rPr>
                <w:rFonts w:cs="Calibri"/>
                <w:lang w:val="en-US" w:eastAsia="es-ES"/>
              </w:rPr>
              <w:t>-5921</w:t>
            </w:r>
          </w:p>
        </w:tc>
      </w:tr>
    </w:tbl>
    <w:p w14:paraId="1BFDA8AC" w14:textId="77777777" w:rsidR="00F51D8E" w:rsidRPr="00933AB8" w:rsidRDefault="00F51D8E" w:rsidP="00F51D8E">
      <w:pPr>
        <w:spacing w:after="200" w:line="276" w:lineRule="auto"/>
        <w:jc w:val="both"/>
        <w:rPr>
          <w:lang w:val="en-US"/>
        </w:rPr>
      </w:pPr>
      <w:r w:rsidRPr="00933AB8">
        <w:rPr>
          <w:rFonts w:ascii="Calibri" w:eastAsia="Calibri" w:hAnsi="Calibri"/>
          <w:lang w:val="en-US"/>
        </w:rPr>
        <w:t xml:space="preserve">* Active Monitoring is the reference group. </w:t>
      </w:r>
    </w:p>
    <w:p w14:paraId="25C0D93D" w14:textId="77777777" w:rsidR="00F51D8E" w:rsidRPr="00464E67" w:rsidRDefault="00F51D8E" w:rsidP="00F51D8E">
      <w:pPr>
        <w:rPr>
          <w:lang w:val="en-US"/>
        </w:rPr>
      </w:pPr>
      <w:bookmarkStart w:id="1" w:name="_GoBack"/>
      <w:bookmarkEnd w:id="1"/>
    </w:p>
    <w:sectPr w:rsidR="00F51D8E" w:rsidRPr="00464E6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5E132" w14:textId="77777777" w:rsidR="007B2E58" w:rsidRDefault="007B2E58" w:rsidP="009D1A87">
      <w:pPr>
        <w:spacing w:after="0" w:line="240" w:lineRule="auto"/>
      </w:pPr>
      <w:r>
        <w:separator/>
      </w:r>
    </w:p>
  </w:endnote>
  <w:endnote w:type="continuationSeparator" w:id="0">
    <w:p w14:paraId="6075BE56" w14:textId="77777777" w:rsidR="007B2E58" w:rsidRDefault="007B2E58" w:rsidP="009D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56330"/>
      <w:docPartObj>
        <w:docPartGallery w:val="Page Numbers (Bottom of Page)"/>
        <w:docPartUnique/>
      </w:docPartObj>
    </w:sdtPr>
    <w:sdtEndPr/>
    <w:sdtContent>
      <w:p w14:paraId="759E57B3" w14:textId="08F4100D" w:rsidR="001E7786" w:rsidRDefault="001E7786">
        <w:pPr>
          <w:pStyle w:val="Footer"/>
          <w:jc w:val="center"/>
        </w:pPr>
        <w:r>
          <w:fldChar w:fldCharType="begin"/>
        </w:r>
        <w:r>
          <w:instrText>PAGE   \* MERGEFORMAT</w:instrText>
        </w:r>
        <w:r>
          <w:fldChar w:fldCharType="separate"/>
        </w:r>
        <w:r w:rsidR="00F51D8E">
          <w:rPr>
            <w:noProof/>
          </w:rPr>
          <w:t>28</w:t>
        </w:r>
        <w:r>
          <w:fldChar w:fldCharType="end"/>
        </w:r>
      </w:p>
    </w:sdtContent>
  </w:sdt>
  <w:p w14:paraId="0B3D31D7" w14:textId="77777777" w:rsidR="001E7786" w:rsidRDefault="001E7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D2825" w14:textId="77777777" w:rsidR="007B2E58" w:rsidRDefault="007B2E58" w:rsidP="009D1A87">
      <w:pPr>
        <w:spacing w:after="0" w:line="240" w:lineRule="auto"/>
      </w:pPr>
      <w:r>
        <w:separator/>
      </w:r>
    </w:p>
  </w:footnote>
  <w:footnote w:type="continuationSeparator" w:id="0">
    <w:p w14:paraId="66657168" w14:textId="77777777" w:rsidR="007B2E58" w:rsidRDefault="007B2E58" w:rsidP="009D1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97BBF"/>
    <w:multiLevelType w:val="multilevel"/>
    <w:tmpl w:val="0B728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AD2CC0"/>
    <w:multiLevelType w:val="hybridMultilevel"/>
    <w:tmpl w:val="5A0A95A0"/>
    <w:lvl w:ilvl="0" w:tplc="9504245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2F3E34"/>
    <w:multiLevelType w:val="hybridMultilevel"/>
    <w:tmpl w:val="33FA8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2D399E"/>
    <w:multiLevelType w:val="hybridMultilevel"/>
    <w:tmpl w:val="5BA8D6F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691F1A6A"/>
    <w:multiLevelType w:val="hybridMultilevel"/>
    <w:tmpl w:val="1214F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C005A1B"/>
    <w:multiLevelType w:val="hybridMultilevel"/>
    <w:tmpl w:val="D80E4304"/>
    <w:lvl w:ilvl="0" w:tplc="6FF47EF4">
      <w:start w:val="20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9"/>
    <w:rsid w:val="0000273D"/>
    <w:rsid w:val="000324E0"/>
    <w:rsid w:val="000501D3"/>
    <w:rsid w:val="00095EDF"/>
    <w:rsid w:val="00096D36"/>
    <w:rsid w:val="000B2224"/>
    <w:rsid w:val="000E6884"/>
    <w:rsid w:val="000F1A29"/>
    <w:rsid w:val="00125A52"/>
    <w:rsid w:val="001328BA"/>
    <w:rsid w:val="00150EBA"/>
    <w:rsid w:val="00153C13"/>
    <w:rsid w:val="0017361A"/>
    <w:rsid w:val="00183964"/>
    <w:rsid w:val="00184409"/>
    <w:rsid w:val="0018505E"/>
    <w:rsid w:val="00191F53"/>
    <w:rsid w:val="001D2EDC"/>
    <w:rsid w:val="001E7786"/>
    <w:rsid w:val="0020359E"/>
    <w:rsid w:val="00214534"/>
    <w:rsid w:val="0021718D"/>
    <w:rsid w:val="002353C5"/>
    <w:rsid w:val="002438AF"/>
    <w:rsid w:val="00245F4E"/>
    <w:rsid w:val="00260F00"/>
    <w:rsid w:val="00265BAC"/>
    <w:rsid w:val="00286896"/>
    <w:rsid w:val="003104CC"/>
    <w:rsid w:val="00317658"/>
    <w:rsid w:val="00327A56"/>
    <w:rsid w:val="0034005B"/>
    <w:rsid w:val="00342C0E"/>
    <w:rsid w:val="00357B09"/>
    <w:rsid w:val="00367C22"/>
    <w:rsid w:val="0037751B"/>
    <w:rsid w:val="003A6CD4"/>
    <w:rsid w:val="003D171B"/>
    <w:rsid w:val="00464E67"/>
    <w:rsid w:val="00480840"/>
    <w:rsid w:val="00494B89"/>
    <w:rsid w:val="004A6C70"/>
    <w:rsid w:val="004C1910"/>
    <w:rsid w:val="004E4232"/>
    <w:rsid w:val="004F3E5A"/>
    <w:rsid w:val="004F59FA"/>
    <w:rsid w:val="004F6A90"/>
    <w:rsid w:val="00507A52"/>
    <w:rsid w:val="005113F6"/>
    <w:rsid w:val="005413E9"/>
    <w:rsid w:val="00543286"/>
    <w:rsid w:val="00561288"/>
    <w:rsid w:val="00584AEB"/>
    <w:rsid w:val="005D74AF"/>
    <w:rsid w:val="005E75DC"/>
    <w:rsid w:val="005F104B"/>
    <w:rsid w:val="005F4E47"/>
    <w:rsid w:val="00607A83"/>
    <w:rsid w:val="006122FB"/>
    <w:rsid w:val="0067203B"/>
    <w:rsid w:val="0069223B"/>
    <w:rsid w:val="006B7A9E"/>
    <w:rsid w:val="006C3C87"/>
    <w:rsid w:val="006E11E4"/>
    <w:rsid w:val="0071681D"/>
    <w:rsid w:val="00732557"/>
    <w:rsid w:val="00734E7A"/>
    <w:rsid w:val="00773EB1"/>
    <w:rsid w:val="00776AB7"/>
    <w:rsid w:val="007B2E58"/>
    <w:rsid w:val="007E0084"/>
    <w:rsid w:val="007E6B9D"/>
    <w:rsid w:val="008274AD"/>
    <w:rsid w:val="008612BA"/>
    <w:rsid w:val="00881073"/>
    <w:rsid w:val="0088353A"/>
    <w:rsid w:val="008A2391"/>
    <w:rsid w:val="008A258A"/>
    <w:rsid w:val="008A4261"/>
    <w:rsid w:val="008D190C"/>
    <w:rsid w:val="008D2F9E"/>
    <w:rsid w:val="008E1023"/>
    <w:rsid w:val="008F6976"/>
    <w:rsid w:val="00944713"/>
    <w:rsid w:val="0094604C"/>
    <w:rsid w:val="00952D17"/>
    <w:rsid w:val="009A4DF3"/>
    <w:rsid w:val="009D1A87"/>
    <w:rsid w:val="00A02A21"/>
    <w:rsid w:val="00A33871"/>
    <w:rsid w:val="00A9221F"/>
    <w:rsid w:val="00AA6CB8"/>
    <w:rsid w:val="00AB2D12"/>
    <w:rsid w:val="00AD5FAC"/>
    <w:rsid w:val="00AE0D0B"/>
    <w:rsid w:val="00AE475A"/>
    <w:rsid w:val="00B20112"/>
    <w:rsid w:val="00B5121C"/>
    <w:rsid w:val="00BC1D37"/>
    <w:rsid w:val="00BE3BFE"/>
    <w:rsid w:val="00BF2DC2"/>
    <w:rsid w:val="00BF322E"/>
    <w:rsid w:val="00C10F9F"/>
    <w:rsid w:val="00C25864"/>
    <w:rsid w:val="00C71B3E"/>
    <w:rsid w:val="00CE7BE6"/>
    <w:rsid w:val="00D1140F"/>
    <w:rsid w:val="00D16C4E"/>
    <w:rsid w:val="00D2754C"/>
    <w:rsid w:val="00D74449"/>
    <w:rsid w:val="00D8004B"/>
    <w:rsid w:val="00D85275"/>
    <w:rsid w:val="00DC2AC8"/>
    <w:rsid w:val="00E24955"/>
    <w:rsid w:val="00E36BE0"/>
    <w:rsid w:val="00E4598C"/>
    <w:rsid w:val="00E5586B"/>
    <w:rsid w:val="00E63695"/>
    <w:rsid w:val="00E91738"/>
    <w:rsid w:val="00E920EA"/>
    <w:rsid w:val="00EA371A"/>
    <w:rsid w:val="00F0545A"/>
    <w:rsid w:val="00F249F2"/>
    <w:rsid w:val="00F25629"/>
    <w:rsid w:val="00F456EB"/>
    <w:rsid w:val="00F5081B"/>
    <w:rsid w:val="00F51D8E"/>
    <w:rsid w:val="00F604A8"/>
    <w:rsid w:val="00F76044"/>
    <w:rsid w:val="00F83A58"/>
    <w:rsid w:val="00F9097B"/>
    <w:rsid w:val="00F95897"/>
    <w:rsid w:val="00FA1544"/>
    <w:rsid w:val="00FE566D"/>
    <w:rsid w:val="00FF2EB7"/>
    <w:rsid w:val="00FF38FB"/>
    <w:rsid w:val="00FF5D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2DDB"/>
  <w15:docId w15:val="{08CC21E3-85D1-4279-951A-EB2D17CA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3BFE"/>
    <w:pPr>
      <w:keepNext/>
      <w:keepLines/>
      <w:spacing w:before="240" w:after="240" w:line="480" w:lineRule="auto"/>
      <w:jc w:val="both"/>
      <w:outlineLvl w:val="0"/>
    </w:pPr>
    <w:rPr>
      <w:rFonts w:ascii="Calibri" w:eastAsia="Times New Roman" w:hAnsi="Calibri" w:cs="Times New Roman"/>
      <w:b/>
      <w:bCs/>
      <w:sz w:val="28"/>
      <w:szCs w:val="28"/>
    </w:rPr>
  </w:style>
  <w:style w:type="paragraph" w:styleId="Heading2">
    <w:name w:val="heading 2"/>
    <w:basedOn w:val="Normal"/>
    <w:next w:val="Normal"/>
    <w:link w:val="Heading2Char"/>
    <w:uiPriority w:val="9"/>
    <w:unhideWhenUsed/>
    <w:qFormat/>
    <w:rsid w:val="00BE3BFE"/>
    <w:pPr>
      <w:keepNext/>
      <w:keepLines/>
      <w:spacing w:before="240" w:after="240" w:line="480" w:lineRule="auto"/>
      <w:jc w:val="both"/>
      <w:outlineLvl w:val="1"/>
    </w:pPr>
    <w:rPr>
      <w:rFonts w:ascii="Calibri" w:eastAsia="Times New Roman" w:hAnsi="Calibri" w:cs="Times New Roman"/>
      <w:bCs/>
      <w:sz w:val="24"/>
      <w:szCs w:val="26"/>
      <w:u w:val="single"/>
    </w:rPr>
  </w:style>
  <w:style w:type="paragraph" w:styleId="Heading3">
    <w:name w:val="heading 3"/>
    <w:basedOn w:val="Normal"/>
    <w:next w:val="Normal"/>
    <w:link w:val="Heading3Char"/>
    <w:uiPriority w:val="9"/>
    <w:unhideWhenUsed/>
    <w:qFormat/>
    <w:rsid w:val="00BE3BFE"/>
    <w:pPr>
      <w:keepNext/>
      <w:keepLines/>
      <w:spacing w:before="240" w:after="240" w:line="480" w:lineRule="auto"/>
      <w:jc w:val="both"/>
      <w:outlineLvl w:val="2"/>
    </w:pPr>
    <w:rPr>
      <w:rFonts w:ascii="Calibri" w:eastAsia="Times New Roman" w:hAnsi="Calibri" w:cs="Times New Roman"/>
      <w:bCs/>
      <w:i/>
      <w:szCs w:val="20"/>
    </w:rPr>
  </w:style>
  <w:style w:type="paragraph" w:styleId="Heading4">
    <w:name w:val="heading 4"/>
    <w:basedOn w:val="Normal"/>
    <w:next w:val="Normal"/>
    <w:link w:val="Heading4Char"/>
    <w:uiPriority w:val="9"/>
    <w:semiHidden/>
    <w:unhideWhenUsed/>
    <w:qFormat/>
    <w:rsid w:val="00BE3BFE"/>
    <w:pPr>
      <w:keepNext/>
      <w:keepLines/>
      <w:spacing w:before="40" w:after="0" w:line="276" w:lineRule="auto"/>
      <w:jc w:val="both"/>
      <w:outlineLvl w:val="3"/>
    </w:pPr>
    <w:rPr>
      <w:rFonts w:ascii="Cambria" w:eastAsia="Times New Roman" w:hAnsi="Cambria" w:cs="Times New Roman"/>
      <w:i/>
      <w:iCs/>
      <w:color w:val="2E74B5"/>
    </w:rPr>
  </w:style>
  <w:style w:type="paragraph" w:styleId="Heading5">
    <w:name w:val="heading 5"/>
    <w:basedOn w:val="Normal"/>
    <w:next w:val="Normal"/>
    <w:link w:val="Heading5Char"/>
    <w:uiPriority w:val="9"/>
    <w:unhideWhenUsed/>
    <w:qFormat/>
    <w:rsid w:val="00BE3BFE"/>
    <w:pPr>
      <w:keepNext/>
      <w:keepLines/>
      <w:spacing w:before="40" w:after="0" w:line="276" w:lineRule="auto"/>
      <w:jc w:val="both"/>
      <w:outlineLvl w:val="4"/>
    </w:pPr>
    <w:rPr>
      <w:rFonts w:ascii="Cambria" w:eastAsia="Times New Roman" w:hAnsi="Cambria"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5413E9"/>
    <w:rPr>
      <w:lang w:val="en-US"/>
    </w:rPr>
  </w:style>
  <w:style w:type="character" w:customStyle="1" w:styleId="Heading1Char">
    <w:name w:val="Heading 1 Char"/>
    <w:basedOn w:val="DefaultParagraphFont"/>
    <w:link w:val="Heading1"/>
    <w:uiPriority w:val="9"/>
    <w:rsid w:val="00BE3BFE"/>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
    <w:rsid w:val="00BE3BFE"/>
    <w:rPr>
      <w:rFonts w:ascii="Calibri" w:eastAsia="Times New Roman" w:hAnsi="Calibri" w:cs="Times New Roman"/>
      <w:bCs/>
      <w:sz w:val="24"/>
      <w:szCs w:val="26"/>
      <w:u w:val="single"/>
    </w:rPr>
  </w:style>
  <w:style w:type="character" w:customStyle="1" w:styleId="Heading3Char">
    <w:name w:val="Heading 3 Char"/>
    <w:basedOn w:val="DefaultParagraphFont"/>
    <w:link w:val="Heading3"/>
    <w:uiPriority w:val="9"/>
    <w:rsid w:val="00BE3BFE"/>
    <w:rPr>
      <w:rFonts w:ascii="Calibri" w:eastAsia="Times New Roman" w:hAnsi="Calibri" w:cs="Times New Roman"/>
      <w:bCs/>
      <w:i/>
      <w:szCs w:val="20"/>
    </w:rPr>
  </w:style>
  <w:style w:type="character" w:customStyle="1" w:styleId="Heading4Char">
    <w:name w:val="Heading 4 Char"/>
    <w:basedOn w:val="DefaultParagraphFont"/>
    <w:link w:val="Heading4"/>
    <w:uiPriority w:val="9"/>
    <w:semiHidden/>
    <w:rsid w:val="00BE3BFE"/>
    <w:rPr>
      <w:rFonts w:ascii="Cambria" w:eastAsia="Times New Roman" w:hAnsi="Cambria" w:cs="Times New Roman"/>
      <w:i/>
      <w:iCs/>
      <w:color w:val="2E74B5"/>
    </w:rPr>
  </w:style>
  <w:style w:type="character" w:customStyle="1" w:styleId="Heading5Char">
    <w:name w:val="Heading 5 Char"/>
    <w:basedOn w:val="DefaultParagraphFont"/>
    <w:link w:val="Heading5"/>
    <w:uiPriority w:val="9"/>
    <w:rsid w:val="00BE3BFE"/>
    <w:rPr>
      <w:rFonts w:ascii="Cambria" w:eastAsia="Times New Roman" w:hAnsi="Cambria" w:cs="Times New Roman"/>
      <w:color w:val="2E74B5"/>
    </w:rPr>
  </w:style>
  <w:style w:type="character" w:styleId="Hyperlink">
    <w:name w:val="Hyperlink"/>
    <w:uiPriority w:val="99"/>
    <w:unhideWhenUsed/>
    <w:rsid w:val="00BE3BFE"/>
    <w:rPr>
      <w:color w:val="0000FF"/>
      <w:u w:val="single"/>
    </w:rPr>
  </w:style>
  <w:style w:type="character" w:customStyle="1" w:styleId="apple-converted-space">
    <w:name w:val="apple-converted-space"/>
    <w:basedOn w:val="DefaultParagraphFont"/>
    <w:rsid w:val="00BE3BFE"/>
  </w:style>
  <w:style w:type="table" w:styleId="TableGrid">
    <w:name w:val="Table Grid"/>
    <w:basedOn w:val="TableNormal"/>
    <w:uiPriority w:val="59"/>
    <w:rsid w:val="00BE3BFE"/>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E3BFE"/>
    <w:pPr>
      <w:spacing w:after="0" w:line="240" w:lineRule="auto"/>
      <w:jc w:val="both"/>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BE3BFE"/>
    <w:rPr>
      <w:rFonts w:ascii="Tahoma" w:eastAsia="Calibri" w:hAnsi="Tahoma" w:cs="Times New Roman"/>
      <w:sz w:val="16"/>
      <w:szCs w:val="16"/>
    </w:rPr>
  </w:style>
  <w:style w:type="character" w:styleId="CommentReference">
    <w:name w:val="annotation reference"/>
    <w:uiPriority w:val="99"/>
    <w:semiHidden/>
    <w:unhideWhenUsed/>
    <w:rsid w:val="00BE3BFE"/>
    <w:rPr>
      <w:sz w:val="16"/>
      <w:szCs w:val="16"/>
    </w:rPr>
  </w:style>
  <w:style w:type="paragraph" w:styleId="CommentText">
    <w:name w:val="annotation text"/>
    <w:basedOn w:val="Normal"/>
    <w:link w:val="CommentTextChar"/>
    <w:uiPriority w:val="99"/>
    <w:unhideWhenUsed/>
    <w:rsid w:val="00BE3BFE"/>
    <w:pPr>
      <w:spacing w:after="20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E3B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3BFE"/>
    <w:rPr>
      <w:b/>
      <w:bCs/>
    </w:rPr>
  </w:style>
  <w:style w:type="character" w:customStyle="1" w:styleId="CommentSubjectChar">
    <w:name w:val="Comment Subject Char"/>
    <w:basedOn w:val="CommentTextChar"/>
    <w:link w:val="CommentSubject"/>
    <w:uiPriority w:val="99"/>
    <w:semiHidden/>
    <w:rsid w:val="00BE3BFE"/>
    <w:rPr>
      <w:rFonts w:ascii="Calibri" w:eastAsia="Calibri" w:hAnsi="Calibri" w:cs="Times New Roman"/>
      <w:b/>
      <w:bCs/>
      <w:sz w:val="20"/>
      <w:szCs w:val="20"/>
    </w:rPr>
  </w:style>
  <w:style w:type="character" w:styleId="Emphasis">
    <w:name w:val="Emphasis"/>
    <w:uiPriority w:val="20"/>
    <w:qFormat/>
    <w:rsid w:val="00BE3BFE"/>
    <w:rPr>
      <w:i/>
      <w:iCs/>
    </w:rPr>
  </w:style>
  <w:style w:type="paragraph" w:customStyle="1" w:styleId="Default">
    <w:name w:val="Default"/>
    <w:rsid w:val="00BE3BFE"/>
    <w:pPr>
      <w:autoSpaceDE w:val="0"/>
      <w:autoSpaceDN w:val="0"/>
      <w:adjustRightInd w:val="0"/>
      <w:spacing w:after="0" w:line="240" w:lineRule="auto"/>
    </w:pPr>
    <w:rPr>
      <w:rFonts w:ascii="Cambria" w:eastAsia="Calibri" w:hAnsi="Cambria" w:cs="Cambria"/>
      <w:color w:val="000000"/>
      <w:sz w:val="24"/>
      <w:szCs w:val="24"/>
      <w:lang w:eastAsia="es-ES"/>
    </w:rPr>
  </w:style>
  <w:style w:type="paragraph" w:styleId="FootnoteText">
    <w:name w:val="footnote text"/>
    <w:basedOn w:val="Normal"/>
    <w:link w:val="FootnoteTextChar"/>
    <w:uiPriority w:val="99"/>
    <w:unhideWhenUsed/>
    <w:rsid w:val="00BE3BFE"/>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E3BFE"/>
    <w:rPr>
      <w:rFonts w:ascii="Calibri" w:eastAsia="Calibri" w:hAnsi="Calibri" w:cs="Times New Roman"/>
      <w:sz w:val="20"/>
      <w:szCs w:val="20"/>
    </w:rPr>
  </w:style>
  <w:style w:type="character" w:styleId="FootnoteReference">
    <w:name w:val="footnote reference"/>
    <w:uiPriority w:val="99"/>
    <w:semiHidden/>
    <w:unhideWhenUsed/>
    <w:rsid w:val="00BE3BFE"/>
    <w:rPr>
      <w:vertAlign w:val="superscript"/>
    </w:rPr>
  </w:style>
  <w:style w:type="paragraph" w:styleId="NoSpacing">
    <w:name w:val="No Spacing"/>
    <w:uiPriority w:val="1"/>
    <w:qFormat/>
    <w:rsid w:val="00BE3BFE"/>
    <w:pPr>
      <w:spacing w:after="0" w:line="240" w:lineRule="auto"/>
      <w:jc w:val="both"/>
    </w:pPr>
    <w:rPr>
      <w:rFonts w:ascii="Calibri" w:eastAsia="Calibri" w:hAnsi="Calibri" w:cs="Times New Roman"/>
      <w:sz w:val="20"/>
    </w:rPr>
  </w:style>
  <w:style w:type="paragraph" w:styleId="NormalWeb">
    <w:name w:val="Normal (Web)"/>
    <w:basedOn w:val="Normal"/>
    <w:uiPriority w:val="99"/>
    <w:unhideWhenUsed/>
    <w:rsid w:val="00BE3B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ghlight">
    <w:name w:val="highlight"/>
    <w:basedOn w:val="DefaultParagraphFont"/>
    <w:rsid w:val="00BE3BFE"/>
  </w:style>
  <w:style w:type="paragraph" w:styleId="ListParagraph">
    <w:name w:val="List Paragraph"/>
    <w:basedOn w:val="Normal"/>
    <w:uiPriority w:val="34"/>
    <w:qFormat/>
    <w:rsid w:val="00BE3BFE"/>
    <w:pPr>
      <w:spacing w:after="200" w:line="276" w:lineRule="auto"/>
      <w:ind w:left="720"/>
      <w:contextualSpacing/>
      <w:jc w:val="both"/>
    </w:pPr>
    <w:rPr>
      <w:rFonts w:ascii="Calibri" w:eastAsia="Calibri" w:hAnsi="Calibri" w:cs="Times New Roman"/>
    </w:rPr>
  </w:style>
  <w:style w:type="paragraph" w:styleId="Revision">
    <w:name w:val="Revision"/>
    <w:hidden/>
    <w:uiPriority w:val="99"/>
    <w:semiHidden/>
    <w:rsid w:val="00BE3BFE"/>
    <w:pPr>
      <w:spacing w:after="0" w:line="240" w:lineRule="auto"/>
    </w:pPr>
    <w:rPr>
      <w:rFonts w:ascii="Calibri" w:eastAsia="Calibri" w:hAnsi="Calibri" w:cs="Times New Roman"/>
    </w:rPr>
  </w:style>
  <w:style w:type="character" w:customStyle="1" w:styleId="current-selection">
    <w:name w:val="current-selection"/>
    <w:basedOn w:val="DefaultParagraphFont"/>
    <w:rsid w:val="00BE3BFE"/>
  </w:style>
  <w:style w:type="character" w:customStyle="1" w:styleId="a">
    <w:name w:val="_"/>
    <w:basedOn w:val="DefaultParagraphFont"/>
    <w:rsid w:val="00BE3BFE"/>
  </w:style>
  <w:style w:type="character" w:customStyle="1" w:styleId="ff6">
    <w:name w:val="ff6"/>
    <w:basedOn w:val="DefaultParagraphFont"/>
    <w:rsid w:val="00BE3BFE"/>
  </w:style>
  <w:style w:type="table" w:customStyle="1" w:styleId="Sombreadoclaro1">
    <w:name w:val="Sombreado claro1"/>
    <w:basedOn w:val="TableNormal"/>
    <w:uiPriority w:val="60"/>
    <w:rsid w:val="00BE3BFE"/>
    <w:pPr>
      <w:spacing w:after="0" w:line="240" w:lineRule="auto"/>
    </w:pPr>
    <w:rPr>
      <w:rFonts w:ascii="Calibri" w:eastAsia="Calibri" w:hAnsi="Calibri" w:cs="Times New Roman"/>
      <w:color w:val="000000"/>
      <w:sz w:val="20"/>
      <w:szCs w:val="2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BE3BFE"/>
    <w:rPr>
      <w:color w:val="808080"/>
    </w:rPr>
  </w:style>
  <w:style w:type="paragraph" w:styleId="Header">
    <w:name w:val="header"/>
    <w:basedOn w:val="Normal"/>
    <w:link w:val="HeaderChar"/>
    <w:uiPriority w:val="99"/>
    <w:unhideWhenUsed/>
    <w:rsid w:val="001E7786"/>
    <w:pPr>
      <w:tabs>
        <w:tab w:val="center" w:pos="4252"/>
        <w:tab w:val="right" w:pos="8504"/>
      </w:tabs>
      <w:spacing w:after="0" w:line="240" w:lineRule="auto"/>
    </w:pPr>
  </w:style>
  <w:style w:type="character" w:customStyle="1" w:styleId="HeaderChar">
    <w:name w:val="Header Char"/>
    <w:basedOn w:val="DefaultParagraphFont"/>
    <w:link w:val="Header"/>
    <w:uiPriority w:val="99"/>
    <w:rsid w:val="001E7786"/>
  </w:style>
  <w:style w:type="paragraph" w:styleId="Footer">
    <w:name w:val="footer"/>
    <w:basedOn w:val="Normal"/>
    <w:link w:val="FooterChar"/>
    <w:uiPriority w:val="99"/>
    <w:unhideWhenUsed/>
    <w:rsid w:val="001E7786"/>
    <w:pPr>
      <w:tabs>
        <w:tab w:val="center" w:pos="4252"/>
        <w:tab w:val="right" w:pos="8504"/>
      </w:tabs>
      <w:spacing w:after="0" w:line="240" w:lineRule="auto"/>
    </w:pPr>
  </w:style>
  <w:style w:type="character" w:customStyle="1" w:styleId="FooterChar">
    <w:name w:val="Footer Char"/>
    <w:basedOn w:val="DefaultParagraphFont"/>
    <w:link w:val="Footer"/>
    <w:uiPriority w:val="99"/>
    <w:rsid w:val="001E7786"/>
  </w:style>
  <w:style w:type="table" w:customStyle="1" w:styleId="Tablaconcuadrcula1">
    <w:name w:val="Tabla con cuadrícula1"/>
    <w:basedOn w:val="TableNormal"/>
    <w:next w:val="TableGrid"/>
    <w:uiPriority w:val="59"/>
    <w:rsid w:val="00F51D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69653">
      <w:bodyDiv w:val="1"/>
      <w:marLeft w:val="0"/>
      <w:marRight w:val="0"/>
      <w:marTop w:val="0"/>
      <w:marBottom w:val="0"/>
      <w:divBdr>
        <w:top w:val="none" w:sz="0" w:space="0" w:color="auto"/>
        <w:left w:val="none" w:sz="0" w:space="0" w:color="auto"/>
        <w:bottom w:val="none" w:sz="0" w:space="0" w:color="auto"/>
        <w:right w:val="none" w:sz="0" w:space="0" w:color="auto"/>
      </w:divBdr>
    </w:div>
    <w:div w:id="1202597330">
      <w:bodyDiv w:val="1"/>
      <w:marLeft w:val="0"/>
      <w:marRight w:val="0"/>
      <w:marTop w:val="0"/>
      <w:marBottom w:val="0"/>
      <w:divBdr>
        <w:top w:val="none" w:sz="0" w:space="0" w:color="auto"/>
        <w:left w:val="none" w:sz="0" w:space="0" w:color="auto"/>
        <w:bottom w:val="none" w:sz="0" w:space="0" w:color="auto"/>
        <w:right w:val="none" w:sz="0" w:space="0" w:color="auto"/>
      </w:divBdr>
    </w:div>
    <w:div w:id="20310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7197-A0DD-444E-86F8-14EEAD70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31244</Words>
  <Characters>178092</Characters>
  <Application>Microsoft Office Word</Application>
  <DocSecurity>0</DocSecurity>
  <Lines>1484</Lines>
  <Paragraphs>417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Murrugarra Centurión</dc:creator>
  <cp:lastModifiedBy>Orson,R</cp:lastModifiedBy>
  <cp:revision>3</cp:revision>
  <cp:lastPrinted>2017-09-13T08:53:00Z</cp:lastPrinted>
  <dcterms:created xsi:type="dcterms:W3CDTF">2019-05-20T11:35:00Z</dcterms:created>
  <dcterms:modified xsi:type="dcterms:W3CDTF">2019-05-20T11:36:00Z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c7c3a599-45bc-355f-9fc6-b95a0f4689e8</vt:lpwstr>
  </property>
  <property fmtid="{D5CDD505-2E9C-101B-9397-08002B2CF9AE}" pid="4" name="Mendeley Citation Style_1">
    <vt:lpwstr>http://www.zotero.org/styles/the-european-journal-of-health-economics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http://www.zotero.org/styles/patient-education-and-counseling</vt:lpwstr>
  </property>
  <property fmtid="{D5CDD505-2E9C-101B-9397-08002B2CF9AE}" pid="22" name="Mendeley Recent Style Name 8_1">
    <vt:lpwstr>Patient Education and Counseling</vt:lpwstr>
  </property>
  <property fmtid="{D5CDD505-2E9C-101B-9397-08002B2CF9AE}" pid="23" name="Mendeley Recent Style Id 9_1">
    <vt:lpwstr>http://www.zotero.org/styles/the-european-journal-of-health-economics</vt:lpwstr>
  </property>
  <property fmtid="{D5CDD505-2E9C-101B-9397-08002B2CF9AE}" pid="24" name="Mendeley Recent Style Name 9_1">
    <vt:lpwstr>The European Journal of Health Economics</vt:lpwstr>
  </property>
  <property fmtid="{D5CDD505-2E9C-101B-9397-08002B2CF9AE}" pid="25" name="Mendeley User Name_1">
    <vt:lpwstr>mariarubio@ub.edu@www.mendeley.com</vt:lpwstr>
  </property>
</Properties>
</file>