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AE8" w:rsidRPr="00353650" w:rsidRDefault="00D059B7" w:rsidP="00F525D5">
      <w:pPr>
        <w:pStyle w:val="Subtitlepublication"/>
        <w:rPr>
          <w:rFonts w:asciiTheme="minorHAnsi" w:hAnsiTheme="minorHAnsi" w:cstheme="minorHAnsi"/>
          <w:i w:val="0"/>
          <w:color w:val="auto"/>
          <w:sz w:val="28"/>
          <w:szCs w:val="28"/>
        </w:rPr>
      </w:pPr>
      <w:bookmarkStart w:id="0" w:name="_GoBack"/>
      <w:bookmarkEnd w:id="0"/>
      <w:r w:rsidRPr="00353650">
        <w:rPr>
          <w:rFonts w:asciiTheme="minorHAnsi" w:hAnsiTheme="minorHAnsi" w:cstheme="minorHAnsi"/>
          <w:i w:val="0"/>
          <w:color w:val="auto"/>
          <w:sz w:val="28"/>
          <w:szCs w:val="28"/>
        </w:rPr>
        <w:t>Transition</w:t>
      </w:r>
      <w:r w:rsidR="007E055B" w:rsidRPr="00353650">
        <w:rPr>
          <w:rFonts w:asciiTheme="minorHAnsi" w:hAnsiTheme="minorHAnsi" w:cstheme="minorHAnsi"/>
          <w:i w:val="0"/>
          <w:color w:val="auto"/>
          <w:sz w:val="28"/>
          <w:szCs w:val="28"/>
        </w:rPr>
        <w:t xml:space="preserve"> dynamics in European labour markets during crisis and recovery</w:t>
      </w:r>
    </w:p>
    <w:p w:rsidR="00F525D5" w:rsidRDefault="00F525D5" w:rsidP="00F525D5">
      <w:pPr>
        <w:spacing w:after="100" w:afterAutospacing="1" w:line="360" w:lineRule="auto"/>
        <w:rPr>
          <w:rFonts w:asciiTheme="minorHAnsi" w:hAnsiTheme="minorHAnsi" w:cstheme="minorHAnsi"/>
          <w:i/>
          <w:szCs w:val="24"/>
        </w:rPr>
      </w:pPr>
    </w:p>
    <w:p w:rsidR="00B573A1" w:rsidRDefault="00B573A1" w:rsidP="00B573A1">
      <w:pPr>
        <w:spacing w:after="100" w:afterAutospacing="1" w:line="360" w:lineRule="auto"/>
        <w:jc w:val="center"/>
        <w:rPr>
          <w:rFonts w:asciiTheme="minorHAnsi" w:hAnsiTheme="minorHAnsi" w:cstheme="minorHAnsi"/>
          <w:i/>
          <w:szCs w:val="24"/>
        </w:rPr>
      </w:pPr>
      <w:r w:rsidRPr="00B573A1">
        <w:rPr>
          <w:rFonts w:asciiTheme="minorHAnsi" w:hAnsiTheme="minorHAnsi" w:cstheme="minorHAnsi"/>
          <w:i/>
          <w:szCs w:val="24"/>
        </w:rPr>
        <w:t xml:space="preserve">Vassilis Monastiriotis, Corrado </w:t>
      </w:r>
      <w:proofErr w:type="spellStart"/>
      <w:r w:rsidRPr="00B573A1">
        <w:rPr>
          <w:rFonts w:asciiTheme="minorHAnsi" w:hAnsiTheme="minorHAnsi" w:cstheme="minorHAnsi"/>
          <w:i/>
          <w:szCs w:val="24"/>
        </w:rPr>
        <w:t>Macchiarelli</w:t>
      </w:r>
      <w:proofErr w:type="spellEnd"/>
      <w:r w:rsidRPr="00B573A1">
        <w:rPr>
          <w:rFonts w:asciiTheme="minorHAnsi" w:hAnsiTheme="minorHAnsi" w:cstheme="minorHAnsi"/>
          <w:i/>
          <w:szCs w:val="24"/>
        </w:rPr>
        <w:t xml:space="preserve">, </w:t>
      </w:r>
      <w:r>
        <w:rPr>
          <w:rFonts w:asciiTheme="minorHAnsi" w:hAnsiTheme="minorHAnsi" w:cstheme="minorHAnsi"/>
          <w:i/>
          <w:szCs w:val="24"/>
        </w:rPr>
        <w:t xml:space="preserve">and </w:t>
      </w:r>
      <w:r w:rsidRPr="00B573A1">
        <w:rPr>
          <w:rFonts w:asciiTheme="minorHAnsi" w:hAnsiTheme="minorHAnsi" w:cstheme="minorHAnsi"/>
          <w:i/>
          <w:szCs w:val="24"/>
        </w:rPr>
        <w:t>Nikolitsa Lampropoulou</w:t>
      </w:r>
    </w:p>
    <w:p w:rsidR="001D6366" w:rsidRDefault="001D6366" w:rsidP="00B573A1">
      <w:pPr>
        <w:spacing w:after="100" w:afterAutospacing="1" w:line="360" w:lineRule="auto"/>
        <w:jc w:val="center"/>
        <w:rPr>
          <w:rFonts w:asciiTheme="minorHAnsi" w:hAnsiTheme="minorHAnsi" w:cstheme="minorHAnsi"/>
          <w:i/>
          <w:szCs w:val="24"/>
        </w:rPr>
      </w:pPr>
      <w:r>
        <w:rPr>
          <w:rFonts w:asciiTheme="minorHAnsi" w:hAnsiTheme="minorHAnsi" w:cstheme="minorHAnsi"/>
          <w:i/>
          <w:szCs w:val="24"/>
        </w:rPr>
        <w:t xml:space="preserve">Paper accepted for publication at Comparative Economic Studies </w:t>
      </w:r>
    </w:p>
    <w:p w:rsidR="001D6366" w:rsidRDefault="001D6366" w:rsidP="00B573A1">
      <w:pPr>
        <w:spacing w:after="100" w:afterAutospacing="1" w:line="360" w:lineRule="auto"/>
        <w:jc w:val="center"/>
        <w:rPr>
          <w:rFonts w:asciiTheme="minorHAnsi" w:hAnsiTheme="minorHAnsi" w:cstheme="minorHAnsi"/>
          <w:i/>
          <w:szCs w:val="24"/>
        </w:rPr>
      </w:pPr>
      <w:proofErr w:type="gramStart"/>
      <w:r w:rsidRPr="001D6366">
        <w:rPr>
          <w:rFonts w:asciiTheme="minorHAnsi" w:hAnsiTheme="minorHAnsi" w:cstheme="minorHAnsi"/>
          <w:i/>
          <w:szCs w:val="24"/>
        </w:rPr>
        <w:t>DOI :</w:t>
      </w:r>
      <w:proofErr w:type="gramEnd"/>
      <w:r w:rsidRPr="001D6366">
        <w:rPr>
          <w:rFonts w:asciiTheme="minorHAnsi" w:hAnsiTheme="minorHAnsi" w:cstheme="minorHAnsi"/>
          <w:i/>
          <w:szCs w:val="24"/>
        </w:rPr>
        <w:t xml:space="preserve"> 10.1057/s41294-019-00084-1</w:t>
      </w:r>
    </w:p>
    <w:p w:rsidR="004524C7" w:rsidRPr="00353650" w:rsidRDefault="004524C7" w:rsidP="00F525D5">
      <w:pPr>
        <w:spacing w:after="100" w:afterAutospacing="1" w:line="360" w:lineRule="auto"/>
        <w:rPr>
          <w:rFonts w:asciiTheme="minorHAnsi" w:hAnsiTheme="minorHAnsi" w:cstheme="minorHAnsi"/>
          <w:i/>
          <w:szCs w:val="24"/>
        </w:rPr>
      </w:pPr>
    </w:p>
    <w:p w:rsidR="003D102D" w:rsidRDefault="003D102D" w:rsidP="005D6AC7">
      <w:pPr>
        <w:pStyle w:val="Heading"/>
        <w:spacing w:before="0"/>
        <w:rPr>
          <w:rFonts w:asciiTheme="minorHAnsi" w:hAnsiTheme="minorHAnsi" w:cstheme="minorHAnsi"/>
          <w:caps w:val="0"/>
          <w:sz w:val="24"/>
          <w:szCs w:val="24"/>
          <w:u w:val="none"/>
        </w:rPr>
      </w:pPr>
    </w:p>
    <w:p w:rsidR="009C7CE5" w:rsidRPr="00C75B02" w:rsidRDefault="00F525D5" w:rsidP="005D6AC7">
      <w:pPr>
        <w:pStyle w:val="Heading"/>
        <w:spacing w:before="0"/>
        <w:rPr>
          <w:rFonts w:asciiTheme="minorHAnsi" w:hAnsiTheme="minorHAnsi" w:cstheme="minorHAnsi"/>
          <w:sz w:val="24"/>
          <w:szCs w:val="24"/>
          <w:u w:val="none"/>
        </w:rPr>
      </w:pPr>
      <w:r w:rsidRPr="00C75B02">
        <w:rPr>
          <w:rFonts w:asciiTheme="minorHAnsi" w:hAnsiTheme="minorHAnsi" w:cstheme="minorHAnsi"/>
          <w:caps w:val="0"/>
          <w:sz w:val="24"/>
          <w:szCs w:val="24"/>
          <w:u w:val="none"/>
        </w:rPr>
        <w:t>Abstract</w:t>
      </w:r>
    </w:p>
    <w:p w:rsidR="009C7CE5" w:rsidRDefault="005D6AC7" w:rsidP="005D6AC7">
      <w:pPr>
        <w:spacing w:after="0"/>
        <w:rPr>
          <w:rFonts w:asciiTheme="minorHAnsi" w:hAnsiTheme="minorHAnsi" w:cstheme="minorHAnsi"/>
          <w:szCs w:val="24"/>
        </w:rPr>
      </w:pPr>
      <w:r w:rsidRPr="00C75B02">
        <w:rPr>
          <w:rFonts w:asciiTheme="minorHAnsi" w:hAnsiTheme="minorHAnsi" w:cstheme="minorHAnsi"/>
          <w:szCs w:val="24"/>
        </w:rPr>
        <w:t>The crisis has resulted in a substantial rise in unemployment in Europe and a notable divergence in unemployment rates and labour market outcomes post-crisis. In this paper we offer a detailed examination of the transitional dynamics underpinning changes in employment, unemployment and inactivity across the EU member states during the long period from before the crisis until the recent recovery (2004-2016). We document substantial differences in transitional dynamics across countries and disparate shifts in these over time. We also find systematic cross-country differences in the medium-</w:t>
      </w:r>
      <w:r>
        <w:rPr>
          <w:rFonts w:asciiTheme="minorHAnsi" w:hAnsiTheme="minorHAnsi" w:cstheme="minorHAnsi"/>
          <w:szCs w:val="24"/>
        </w:rPr>
        <w:t xml:space="preserve"> and long-run trajectories of employment and unemployment generated by these dynamics, which can broadly be associated to differences in labour market institutions and models of labour market regulation and industrial relations (varieties of capitalism or production regimes). Applying a counterfactual analysis, we further document how altering the dynamics of labour market transitions may contribute to reducing significantly the levels of unemployment, and cross-country disparities in these, across the EU. </w:t>
      </w:r>
    </w:p>
    <w:p w:rsidR="005D6AC7" w:rsidRPr="00353650" w:rsidRDefault="005D6AC7" w:rsidP="005D6AC7">
      <w:pPr>
        <w:spacing w:after="0"/>
        <w:rPr>
          <w:rFonts w:asciiTheme="minorHAnsi" w:hAnsiTheme="minorHAnsi" w:cstheme="minorHAnsi"/>
          <w:szCs w:val="24"/>
        </w:rPr>
      </w:pPr>
    </w:p>
    <w:p w:rsidR="008D603A" w:rsidRPr="008E1B26" w:rsidRDefault="00353650" w:rsidP="005D6AC7">
      <w:pPr>
        <w:spacing w:after="0"/>
        <w:rPr>
          <w:rFonts w:asciiTheme="minorHAnsi" w:hAnsiTheme="minorHAnsi" w:cstheme="minorHAnsi"/>
          <w:b/>
          <w:szCs w:val="24"/>
        </w:rPr>
      </w:pPr>
      <w:r w:rsidRPr="008E1B26">
        <w:rPr>
          <w:rFonts w:asciiTheme="minorHAnsi" w:hAnsiTheme="minorHAnsi" w:cstheme="minorHAnsi"/>
          <w:b/>
          <w:szCs w:val="24"/>
        </w:rPr>
        <w:t>Keywords:</w:t>
      </w:r>
      <w:r w:rsidR="00A605CD" w:rsidRPr="008E1B26">
        <w:rPr>
          <w:rFonts w:asciiTheme="minorHAnsi" w:hAnsiTheme="minorHAnsi" w:cstheme="minorHAnsi"/>
          <w:szCs w:val="24"/>
        </w:rPr>
        <w:t xml:space="preserve"> Labour market transitions; unemployment; crisis; EU; counterfactual analysis</w:t>
      </w:r>
    </w:p>
    <w:p w:rsidR="00353650" w:rsidRPr="00FA72D9" w:rsidRDefault="00353650" w:rsidP="005D6AC7">
      <w:pPr>
        <w:spacing w:after="0"/>
        <w:rPr>
          <w:rFonts w:asciiTheme="minorHAnsi" w:hAnsiTheme="minorHAnsi" w:cstheme="minorHAnsi"/>
          <w:szCs w:val="24"/>
          <w:lang w:val="it-IT"/>
        </w:rPr>
      </w:pPr>
      <w:r w:rsidRPr="00FA72D9">
        <w:rPr>
          <w:rFonts w:asciiTheme="minorHAnsi" w:hAnsiTheme="minorHAnsi" w:cstheme="minorHAnsi"/>
          <w:b/>
          <w:szCs w:val="24"/>
          <w:lang w:val="it-IT"/>
        </w:rPr>
        <w:t>JEL codes:</w:t>
      </w:r>
      <w:r w:rsidR="008E1B26" w:rsidRPr="00FA72D9">
        <w:rPr>
          <w:rFonts w:asciiTheme="minorHAnsi" w:hAnsiTheme="minorHAnsi" w:cstheme="minorHAnsi"/>
          <w:b/>
          <w:szCs w:val="24"/>
          <w:lang w:val="it-IT"/>
        </w:rPr>
        <w:t xml:space="preserve"> </w:t>
      </w:r>
      <w:r w:rsidR="008E1B26" w:rsidRPr="00FA72D9">
        <w:rPr>
          <w:rFonts w:asciiTheme="minorHAnsi" w:hAnsiTheme="minorHAnsi" w:cstheme="minorHAnsi"/>
          <w:szCs w:val="24"/>
          <w:lang w:val="it-IT"/>
        </w:rPr>
        <w:t>O52, J62, J88, P51, G01</w:t>
      </w:r>
      <w:r w:rsidRPr="00FA72D9">
        <w:rPr>
          <w:rFonts w:asciiTheme="minorHAnsi" w:hAnsiTheme="minorHAnsi" w:cstheme="minorHAnsi"/>
          <w:szCs w:val="24"/>
          <w:lang w:val="it-IT"/>
        </w:rPr>
        <w:t xml:space="preserve"> </w:t>
      </w:r>
    </w:p>
    <w:p w:rsidR="00353650" w:rsidRPr="00FA72D9" w:rsidRDefault="00353650" w:rsidP="00832A37">
      <w:pPr>
        <w:spacing w:before="120" w:after="120" w:line="360" w:lineRule="auto"/>
        <w:rPr>
          <w:rFonts w:asciiTheme="minorHAnsi" w:hAnsiTheme="minorHAnsi" w:cstheme="minorHAnsi"/>
          <w:szCs w:val="24"/>
          <w:lang w:val="it-IT"/>
        </w:rPr>
      </w:pPr>
    </w:p>
    <w:p w:rsidR="00353650" w:rsidRPr="00FA72D9" w:rsidRDefault="00353650" w:rsidP="00832A37">
      <w:pPr>
        <w:spacing w:before="120" w:after="120" w:line="360" w:lineRule="auto"/>
        <w:rPr>
          <w:rFonts w:asciiTheme="minorHAnsi" w:hAnsiTheme="minorHAnsi" w:cstheme="minorHAnsi"/>
          <w:szCs w:val="24"/>
          <w:lang w:val="it-IT"/>
        </w:rPr>
      </w:pPr>
    </w:p>
    <w:p w:rsidR="00A13D70" w:rsidRPr="00FA72D9" w:rsidRDefault="00A13D70" w:rsidP="00832A37">
      <w:pPr>
        <w:spacing w:before="120" w:after="120" w:line="360" w:lineRule="auto"/>
        <w:rPr>
          <w:rFonts w:asciiTheme="minorHAnsi" w:hAnsiTheme="minorHAnsi" w:cstheme="minorHAnsi"/>
          <w:szCs w:val="24"/>
          <w:lang w:val="it-IT"/>
        </w:rPr>
      </w:pPr>
    </w:p>
    <w:p w:rsidR="0084455C" w:rsidRPr="00353650" w:rsidRDefault="00F525D5" w:rsidP="00832A37">
      <w:pPr>
        <w:pStyle w:val="Heading"/>
        <w:numPr>
          <w:ilvl w:val="0"/>
          <w:numId w:val="26"/>
        </w:numPr>
        <w:spacing w:after="120" w:line="360" w:lineRule="auto"/>
        <w:rPr>
          <w:rFonts w:asciiTheme="minorHAnsi" w:hAnsiTheme="minorHAnsi" w:cstheme="minorHAnsi"/>
          <w:sz w:val="24"/>
          <w:szCs w:val="24"/>
          <w:u w:val="none"/>
        </w:rPr>
      </w:pPr>
      <w:r w:rsidRPr="00353650">
        <w:rPr>
          <w:rFonts w:asciiTheme="minorHAnsi" w:hAnsiTheme="minorHAnsi" w:cstheme="minorHAnsi"/>
          <w:caps w:val="0"/>
          <w:sz w:val="24"/>
          <w:szCs w:val="24"/>
          <w:u w:val="none"/>
        </w:rPr>
        <w:t>Introduction</w:t>
      </w:r>
    </w:p>
    <w:p w:rsidR="008D603A" w:rsidRPr="00353650" w:rsidRDefault="005E73F0" w:rsidP="00832A37">
      <w:pPr>
        <w:spacing w:before="120" w:after="120" w:line="360" w:lineRule="auto"/>
        <w:rPr>
          <w:rFonts w:asciiTheme="minorHAnsi" w:hAnsiTheme="minorHAnsi" w:cstheme="minorHAnsi"/>
          <w:szCs w:val="24"/>
        </w:rPr>
      </w:pPr>
      <w:r w:rsidRPr="00353650">
        <w:rPr>
          <w:rFonts w:asciiTheme="minorHAnsi" w:hAnsiTheme="minorHAnsi" w:cstheme="minorHAnsi"/>
          <w:szCs w:val="24"/>
        </w:rPr>
        <w:t xml:space="preserve">The period since the eruption of the </w:t>
      </w:r>
      <w:r w:rsidR="00A13D70">
        <w:rPr>
          <w:rFonts w:asciiTheme="minorHAnsi" w:hAnsiTheme="minorHAnsi" w:cstheme="minorHAnsi"/>
          <w:szCs w:val="24"/>
        </w:rPr>
        <w:t>g</w:t>
      </w:r>
      <w:r w:rsidRPr="00353650">
        <w:rPr>
          <w:rFonts w:asciiTheme="minorHAnsi" w:hAnsiTheme="minorHAnsi" w:cstheme="minorHAnsi"/>
          <w:szCs w:val="24"/>
        </w:rPr>
        <w:t xml:space="preserve">lobal </w:t>
      </w:r>
      <w:r w:rsidR="00A13D70">
        <w:rPr>
          <w:rFonts w:asciiTheme="minorHAnsi" w:hAnsiTheme="minorHAnsi" w:cstheme="minorHAnsi"/>
          <w:szCs w:val="24"/>
        </w:rPr>
        <w:t>f</w:t>
      </w:r>
      <w:r w:rsidRPr="00353650">
        <w:rPr>
          <w:rFonts w:asciiTheme="minorHAnsi" w:hAnsiTheme="minorHAnsi" w:cstheme="minorHAnsi"/>
          <w:szCs w:val="24"/>
        </w:rPr>
        <w:t xml:space="preserve">inancial </w:t>
      </w:r>
      <w:r w:rsidR="00A13D70">
        <w:rPr>
          <w:rFonts w:asciiTheme="minorHAnsi" w:hAnsiTheme="minorHAnsi" w:cstheme="minorHAnsi"/>
          <w:szCs w:val="24"/>
        </w:rPr>
        <w:t>c</w:t>
      </w:r>
      <w:r w:rsidRPr="00353650">
        <w:rPr>
          <w:rFonts w:asciiTheme="minorHAnsi" w:hAnsiTheme="minorHAnsi" w:cstheme="minorHAnsi"/>
          <w:szCs w:val="24"/>
        </w:rPr>
        <w:t xml:space="preserve">risis has been a period of immense turbulence in the European economy. The transmission of the crisis in Europe through the ‘toxic assets’ and financial uncertainty that ensued, took various forms – from a housing bust in countries such as Spain and Hungary, to a banking crisis in countries such as Ireland and Cyprus, and to a solvency crisis in countries such as Greece and Portugal. With these, the </w:t>
      </w:r>
      <w:r w:rsidRPr="00353650">
        <w:rPr>
          <w:rFonts w:asciiTheme="minorHAnsi" w:hAnsiTheme="minorHAnsi" w:cstheme="minorHAnsi"/>
          <w:szCs w:val="24"/>
        </w:rPr>
        <w:lastRenderedPageBreak/>
        <w:t xml:space="preserve">Euro-area became engulfed into a political and institutional crisis, related to the governance of </w:t>
      </w:r>
      <w:r w:rsidR="00D03682" w:rsidRPr="00353650">
        <w:rPr>
          <w:rFonts w:asciiTheme="minorHAnsi" w:hAnsiTheme="minorHAnsi" w:cstheme="minorHAnsi"/>
          <w:szCs w:val="24"/>
        </w:rPr>
        <w:t xml:space="preserve">EMU and of the bailout agreements and national adjustment programmes that followed. </w:t>
      </w:r>
    </w:p>
    <w:p w:rsidR="005E73F0" w:rsidRPr="00353650" w:rsidRDefault="005E73F0" w:rsidP="00832A37">
      <w:pPr>
        <w:spacing w:before="120" w:after="120" w:line="360" w:lineRule="auto"/>
        <w:rPr>
          <w:rFonts w:asciiTheme="minorHAnsi" w:hAnsiTheme="minorHAnsi" w:cstheme="minorHAnsi"/>
          <w:szCs w:val="24"/>
        </w:rPr>
      </w:pPr>
      <w:r w:rsidRPr="00353650">
        <w:rPr>
          <w:rFonts w:asciiTheme="minorHAnsi" w:hAnsiTheme="minorHAnsi" w:cstheme="minorHAnsi"/>
          <w:szCs w:val="24"/>
        </w:rPr>
        <w:t xml:space="preserve">These developments had an immense impact on the labour markets </w:t>
      </w:r>
      <w:r w:rsidR="00D03682" w:rsidRPr="00353650">
        <w:rPr>
          <w:rFonts w:asciiTheme="minorHAnsi" w:hAnsiTheme="minorHAnsi" w:cstheme="minorHAnsi"/>
          <w:szCs w:val="24"/>
        </w:rPr>
        <w:t xml:space="preserve">across Europe.  Following a period of subsiding unemployment since 2004, unemployment rose sharply after 2008, rising from just below 7% in 2008 to 9.7% in 2010 and to near 11% in 2013; while in some countries unemployment reached historically unprecedented levels – e.g., above 25% in Spain and Greece. And while at the EU level unemployment today seems to have returned close to its pre-crisis trough (7.3% in 2017), unemployment levels remain exceptionally high in large pool of countries. </w:t>
      </w:r>
    </w:p>
    <w:p w:rsidR="005C41DC" w:rsidRPr="00353650" w:rsidRDefault="00D03682" w:rsidP="00832A37">
      <w:pPr>
        <w:spacing w:before="120" w:after="120" w:line="360" w:lineRule="auto"/>
        <w:rPr>
          <w:rFonts w:asciiTheme="minorHAnsi" w:hAnsiTheme="minorHAnsi" w:cstheme="minorHAnsi"/>
          <w:szCs w:val="24"/>
        </w:rPr>
      </w:pPr>
      <w:r w:rsidRPr="00353650">
        <w:rPr>
          <w:rFonts w:asciiTheme="minorHAnsi" w:hAnsiTheme="minorHAnsi" w:cstheme="minorHAnsi"/>
          <w:szCs w:val="24"/>
        </w:rPr>
        <w:t>A diverse literature emerged, following these developments, that sought to examine the dynamics governing unemployment change in Europe during this turbulent period. This included macroeconomic studies examining shifts in the Phillips Curve (</w:t>
      </w:r>
      <w:proofErr w:type="spellStart"/>
      <w:r w:rsidR="00D603B1" w:rsidRPr="00353650">
        <w:rPr>
          <w:rFonts w:asciiTheme="minorHAnsi" w:hAnsiTheme="minorHAnsi" w:cstheme="minorHAnsi"/>
          <w:szCs w:val="24"/>
        </w:rPr>
        <w:t>Bulligan</w:t>
      </w:r>
      <w:proofErr w:type="spellEnd"/>
      <w:r w:rsidR="00D603B1" w:rsidRPr="00353650">
        <w:rPr>
          <w:rFonts w:asciiTheme="minorHAnsi" w:hAnsiTheme="minorHAnsi" w:cstheme="minorHAnsi"/>
          <w:szCs w:val="24"/>
        </w:rPr>
        <w:t xml:space="preserve"> and </w:t>
      </w:r>
      <w:proofErr w:type="spellStart"/>
      <w:r w:rsidR="00D603B1" w:rsidRPr="00353650">
        <w:rPr>
          <w:rFonts w:asciiTheme="minorHAnsi" w:hAnsiTheme="minorHAnsi" w:cstheme="minorHAnsi"/>
          <w:szCs w:val="24"/>
        </w:rPr>
        <w:t>Viviano</w:t>
      </w:r>
      <w:proofErr w:type="spellEnd"/>
      <w:r w:rsidR="00D603B1" w:rsidRPr="00353650">
        <w:rPr>
          <w:rFonts w:asciiTheme="minorHAnsi" w:hAnsiTheme="minorHAnsi" w:cstheme="minorHAnsi"/>
          <w:szCs w:val="24"/>
        </w:rPr>
        <w:t>, 2017) and in the responsiveness of unemployment to changes in output (</w:t>
      </w:r>
      <w:proofErr w:type="spellStart"/>
      <w:r w:rsidR="00D603B1" w:rsidRPr="00353650">
        <w:rPr>
          <w:rFonts w:asciiTheme="minorHAnsi" w:hAnsiTheme="minorHAnsi" w:cstheme="minorHAnsi"/>
          <w:szCs w:val="24"/>
        </w:rPr>
        <w:t>Cazes</w:t>
      </w:r>
      <w:proofErr w:type="spellEnd"/>
      <w:r w:rsidR="00D603B1" w:rsidRPr="00353650">
        <w:rPr>
          <w:rFonts w:asciiTheme="minorHAnsi" w:hAnsiTheme="minorHAnsi" w:cstheme="minorHAnsi"/>
          <w:szCs w:val="24"/>
        </w:rPr>
        <w:t xml:space="preserve"> et al., 2013</w:t>
      </w:r>
      <w:r w:rsidRPr="00353650">
        <w:rPr>
          <w:rFonts w:asciiTheme="minorHAnsi" w:hAnsiTheme="minorHAnsi" w:cstheme="minorHAnsi"/>
          <w:szCs w:val="24"/>
        </w:rPr>
        <w:t>), studies examining the individual drivers of unemployment and of youth unemployment in particular (</w:t>
      </w:r>
      <w:proofErr w:type="spellStart"/>
      <w:r w:rsidR="007D53CA">
        <w:rPr>
          <w:rFonts w:asciiTheme="minorHAnsi" w:hAnsiTheme="minorHAnsi" w:cstheme="minorHAnsi"/>
          <w:szCs w:val="24"/>
        </w:rPr>
        <w:t>Carcillo</w:t>
      </w:r>
      <w:proofErr w:type="spellEnd"/>
      <w:r w:rsidR="007D53CA">
        <w:rPr>
          <w:rFonts w:asciiTheme="minorHAnsi" w:hAnsiTheme="minorHAnsi" w:cstheme="minorHAnsi"/>
          <w:szCs w:val="24"/>
        </w:rPr>
        <w:t xml:space="preserve"> et al., 2013</w:t>
      </w:r>
      <w:r w:rsidR="00D603B1" w:rsidRPr="00353650">
        <w:rPr>
          <w:rFonts w:asciiTheme="minorHAnsi" w:hAnsiTheme="minorHAnsi" w:cstheme="minorHAnsi"/>
          <w:szCs w:val="24"/>
        </w:rPr>
        <w:t xml:space="preserve">; </w:t>
      </w:r>
      <w:proofErr w:type="spellStart"/>
      <w:r w:rsidR="00D603B1" w:rsidRPr="00353650">
        <w:rPr>
          <w:rFonts w:asciiTheme="minorHAnsi" w:hAnsiTheme="minorHAnsi" w:cstheme="minorHAnsi"/>
          <w:szCs w:val="24"/>
        </w:rPr>
        <w:t>Eichhorst</w:t>
      </w:r>
      <w:proofErr w:type="spellEnd"/>
      <w:r w:rsidR="00D603B1" w:rsidRPr="00353650">
        <w:rPr>
          <w:rFonts w:asciiTheme="minorHAnsi" w:hAnsiTheme="minorHAnsi" w:cstheme="minorHAnsi"/>
          <w:szCs w:val="24"/>
        </w:rPr>
        <w:t xml:space="preserve"> and </w:t>
      </w:r>
      <w:proofErr w:type="spellStart"/>
      <w:r w:rsidR="00D603B1" w:rsidRPr="00353650">
        <w:rPr>
          <w:rFonts w:asciiTheme="minorHAnsi" w:hAnsiTheme="minorHAnsi" w:cstheme="minorHAnsi"/>
          <w:szCs w:val="24"/>
        </w:rPr>
        <w:t>Neder</w:t>
      </w:r>
      <w:proofErr w:type="spellEnd"/>
      <w:r w:rsidR="00D603B1" w:rsidRPr="00353650">
        <w:rPr>
          <w:rFonts w:asciiTheme="minorHAnsi" w:hAnsiTheme="minorHAnsi" w:cstheme="minorHAnsi"/>
          <w:szCs w:val="24"/>
        </w:rPr>
        <w:t xml:space="preserve">, 2014; Mauro and </w:t>
      </w:r>
      <w:proofErr w:type="spellStart"/>
      <w:r w:rsidR="00D603B1" w:rsidRPr="00353650">
        <w:rPr>
          <w:rFonts w:asciiTheme="minorHAnsi" w:hAnsiTheme="minorHAnsi" w:cstheme="minorHAnsi"/>
          <w:szCs w:val="24"/>
        </w:rPr>
        <w:t>Mitra</w:t>
      </w:r>
      <w:proofErr w:type="spellEnd"/>
      <w:r w:rsidR="00D603B1" w:rsidRPr="00353650">
        <w:rPr>
          <w:rFonts w:asciiTheme="minorHAnsi" w:hAnsiTheme="minorHAnsi" w:cstheme="minorHAnsi"/>
          <w:szCs w:val="24"/>
        </w:rPr>
        <w:t xml:space="preserve">, 2015; </w:t>
      </w:r>
      <w:proofErr w:type="spellStart"/>
      <w:r w:rsidR="00D603B1" w:rsidRPr="00353650">
        <w:rPr>
          <w:rFonts w:asciiTheme="minorHAnsi" w:hAnsiTheme="minorHAnsi" w:cstheme="minorHAnsi"/>
          <w:szCs w:val="24"/>
        </w:rPr>
        <w:t>Dolado</w:t>
      </w:r>
      <w:proofErr w:type="spellEnd"/>
      <w:r w:rsidR="00D603B1" w:rsidRPr="00353650">
        <w:rPr>
          <w:rFonts w:asciiTheme="minorHAnsi" w:hAnsiTheme="minorHAnsi" w:cstheme="minorHAnsi"/>
          <w:szCs w:val="24"/>
        </w:rPr>
        <w:t xml:space="preserve"> et al., 2013; Kelly and McGuinness, 2015)</w:t>
      </w:r>
      <w:r w:rsidRPr="00353650">
        <w:rPr>
          <w:rFonts w:asciiTheme="minorHAnsi" w:hAnsiTheme="minorHAnsi" w:cstheme="minorHAnsi"/>
          <w:szCs w:val="24"/>
        </w:rPr>
        <w:t>, as well as a limited number of studies examining labour market transitions, and the inflows and outflows from unemployment in particular (Ward-</w:t>
      </w:r>
      <w:proofErr w:type="spellStart"/>
      <w:r w:rsidRPr="00353650">
        <w:rPr>
          <w:rFonts w:asciiTheme="minorHAnsi" w:hAnsiTheme="minorHAnsi" w:cstheme="minorHAnsi"/>
          <w:szCs w:val="24"/>
        </w:rPr>
        <w:t>Warmedinger</w:t>
      </w:r>
      <w:proofErr w:type="spellEnd"/>
      <w:r w:rsidRPr="00353650">
        <w:rPr>
          <w:rFonts w:asciiTheme="minorHAnsi" w:hAnsiTheme="minorHAnsi" w:cstheme="minorHAnsi"/>
          <w:szCs w:val="24"/>
        </w:rPr>
        <w:t xml:space="preserve"> and </w:t>
      </w:r>
      <w:proofErr w:type="spellStart"/>
      <w:r w:rsidRPr="00353650">
        <w:rPr>
          <w:rFonts w:asciiTheme="minorHAnsi" w:hAnsiTheme="minorHAnsi" w:cstheme="minorHAnsi"/>
          <w:szCs w:val="24"/>
        </w:rPr>
        <w:t>Macchiarelli</w:t>
      </w:r>
      <w:proofErr w:type="spellEnd"/>
      <w:r w:rsidRPr="00353650">
        <w:rPr>
          <w:rFonts w:asciiTheme="minorHAnsi" w:hAnsiTheme="minorHAnsi" w:cstheme="minorHAnsi"/>
          <w:szCs w:val="24"/>
        </w:rPr>
        <w:t xml:space="preserve">, 2014; </w:t>
      </w:r>
      <w:proofErr w:type="spellStart"/>
      <w:r w:rsidRPr="00353650">
        <w:rPr>
          <w:rFonts w:asciiTheme="minorHAnsi" w:hAnsiTheme="minorHAnsi" w:cstheme="minorHAnsi"/>
          <w:szCs w:val="24"/>
        </w:rPr>
        <w:t>Daouli</w:t>
      </w:r>
      <w:proofErr w:type="spellEnd"/>
      <w:r w:rsidRPr="00353650">
        <w:rPr>
          <w:rFonts w:asciiTheme="minorHAnsi" w:hAnsiTheme="minorHAnsi" w:cstheme="minorHAnsi"/>
          <w:szCs w:val="24"/>
        </w:rPr>
        <w:t xml:space="preserve"> et al., 2015</w:t>
      </w:r>
      <w:r w:rsidR="00E6368D" w:rsidRPr="00353650">
        <w:rPr>
          <w:rFonts w:asciiTheme="minorHAnsi" w:hAnsiTheme="minorHAnsi" w:cstheme="minorHAnsi"/>
          <w:szCs w:val="24"/>
        </w:rPr>
        <w:t>; Macchiarelli et al., 2018</w:t>
      </w:r>
      <w:r w:rsidRPr="00353650">
        <w:rPr>
          <w:rFonts w:asciiTheme="minorHAnsi" w:hAnsiTheme="minorHAnsi" w:cstheme="minorHAnsi"/>
          <w:szCs w:val="24"/>
        </w:rPr>
        <w:t xml:space="preserve">). </w:t>
      </w:r>
      <w:r w:rsidR="00E6368D" w:rsidRPr="00353650">
        <w:rPr>
          <w:rFonts w:asciiTheme="minorHAnsi" w:hAnsiTheme="minorHAnsi" w:cstheme="minorHAnsi"/>
          <w:szCs w:val="24"/>
        </w:rPr>
        <w:t xml:space="preserve">Despite this, a detailed and comparative investigation of the dynamics characterising labour market transitions across Europe during this period is still missing from the literature. In this paper we focus exactly on this issue and examine the transition dynamics exhibited in European labour markets during the episodes of crisis and recovery. </w:t>
      </w:r>
    </w:p>
    <w:p w:rsidR="00E6368D" w:rsidRPr="00353650" w:rsidRDefault="00E6368D" w:rsidP="00832A37">
      <w:pPr>
        <w:spacing w:before="120" w:after="120" w:line="360" w:lineRule="auto"/>
        <w:rPr>
          <w:rFonts w:asciiTheme="minorHAnsi" w:hAnsiTheme="minorHAnsi" w:cstheme="minorHAnsi"/>
          <w:szCs w:val="24"/>
        </w:rPr>
      </w:pPr>
      <w:r w:rsidRPr="00353650">
        <w:rPr>
          <w:rFonts w:asciiTheme="minorHAnsi" w:hAnsiTheme="minorHAnsi" w:cstheme="minorHAnsi"/>
          <w:szCs w:val="24"/>
        </w:rPr>
        <w:t xml:space="preserve">Specifically, using </w:t>
      </w:r>
      <w:r w:rsidR="005C41DC" w:rsidRPr="00353650">
        <w:rPr>
          <w:rFonts w:asciiTheme="minorHAnsi" w:hAnsiTheme="minorHAnsi" w:cstheme="minorHAnsi"/>
          <w:szCs w:val="24"/>
        </w:rPr>
        <w:t>data</w:t>
      </w:r>
      <w:r w:rsidRPr="00353650">
        <w:rPr>
          <w:rFonts w:asciiTheme="minorHAnsi" w:hAnsiTheme="minorHAnsi" w:cstheme="minorHAnsi"/>
          <w:szCs w:val="24"/>
        </w:rPr>
        <w:t xml:space="preserve"> from the Eurostat Labour Force Survey (EU-LFS)</w:t>
      </w:r>
      <w:r w:rsidR="005C41DC" w:rsidRPr="00353650">
        <w:rPr>
          <w:rFonts w:asciiTheme="minorHAnsi" w:hAnsiTheme="minorHAnsi" w:cstheme="minorHAnsi"/>
          <w:szCs w:val="24"/>
        </w:rPr>
        <w:t xml:space="preserve"> covering </w:t>
      </w:r>
      <w:r w:rsidRPr="00353650">
        <w:rPr>
          <w:rFonts w:asciiTheme="minorHAnsi" w:hAnsiTheme="minorHAnsi" w:cstheme="minorHAnsi"/>
          <w:szCs w:val="24"/>
        </w:rPr>
        <w:t xml:space="preserve">the national economies of the European Union </w:t>
      </w:r>
      <w:r w:rsidR="005C41DC" w:rsidRPr="00353650">
        <w:rPr>
          <w:rFonts w:asciiTheme="minorHAnsi" w:hAnsiTheme="minorHAnsi" w:cstheme="minorHAnsi"/>
          <w:szCs w:val="24"/>
        </w:rPr>
        <w:t xml:space="preserve">for </w:t>
      </w:r>
      <w:r w:rsidRPr="00353650">
        <w:rPr>
          <w:rFonts w:asciiTheme="minorHAnsi" w:hAnsiTheme="minorHAnsi" w:cstheme="minorHAnsi"/>
          <w:szCs w:val="24"/>
        </w:rPr>
        <w:t>the period 2004-2016, we examine the shifts in transition probabilities between key labour market statuses (employment, unemployment and inactivity)</w:t>
      </w:r>
      <w:r w:rsidR="009E2D39" w:rsidRPr="00353650">
        <w:rPr>
          <w:rFonts w:asciiTheme="minorHAnsi" w:hAnsiTheme="minorHAnsi" w:cstheme="minorHAnsi"/>
          <w:szCs w:val="24"/>
        </w:rPr>
        <w:t xml:space="preserve"> at key points in time relating to the crisis. Further, we investigate how transition dynamics shifted the equilibrium levels of employment and unemployment over time and across space, by deriving the ergodic distributions related to the observed labour market transitions in each country over the period. Drawing on this, </w:t>
      </w:r>
      <w:r w:rsidR="005C41DC" w:rsidRPr="00353650">
        <w:rPr>
          <w:rFonts w:asciiTheme="minorHAnsi" w:hAnsiTheme="minorHAnsi" w:cstheme="minorHAnsi"/>
          <w:szCs w:val="24"/>
        </w:rPr>
        <w:t>last,</w:t>
      </w:r>
      <w:r w:rsidR="009E2D39" w:rsidRPr="00353650">
        <w:rPr>
          <w:rFonts w:asciiTheme="minorHAnsi" w:hAnsiTheme="minorHAnsi" w:cstheme="minorHAnsi"/>
          <w:szCs w:val="24"/>
        </w:rPr>
        <w:t xml:space="preserve"> we implement a counter-factual analysis which allows us to unveil the degree to which the country-specific </w:t>
      </w:r>
      <w:r w:rsidR="009E2D39" w:rsidRPr="00353650">
        <w:rPr>
          <w:rFonts w:asciiTheme="minorHAnsi" w:hAnsiTheme="minorHAnsi" w:cstheme="minorHAnsi"/>
          <w:szCs w:val="24"/>
        </w:rPr>
        <w:lastRenderedPageBreak/>
        <w:t xml:space="preserve">transition dynamics explain country differences in observed and equilibrium unemployment across the EU space. </w:t>
      </w:r>
    </w:p>
    <w:p w:rsidR="009E2D39" w:rsidRPr="00353650" w:rsidRDefault="009E2D39" w:rsidP="00832A37">
      <w:pPr>
        <w:spacing w:before="120" w:after="120" w:line="360" w:lineRule="auto"/>
        <w:rPr>
          <w:rFonts w:asciiTheme="minorHAnsi" w:hAnsiTheme="minorHAnsi" w:cstheme="minorHAnsi"/>
          <w:szCs w:val="24"/>
        </w:rPr>
      </w:pPr>
      <w:r w:rsidRPr="00353650">
        <w:rPr>
          <w:rFonts w:asciiTheme="minorHAnsi" w:hAnsiTheme="minorHAnsi" w:cstheme="minorHAnsi"/>
          <w:szCs w:val="24"/>
        </w:rPr>
        <w:t>Our evidence is informative of the differences in employment and unemployment dynamics across the EU space</w:t>
      </w:r>
      <w:r w:rsidR="00D34C85" w:rsidRPr="00353650">
        <w:rPr>
          <w:rFonts w:asciiTheme="minorHAnsi" w:hAnsiTheme="minorHAnsi" w:cstheme="minorHAnsi"/>
          <w:szCs w:val="24"/>
        </w:rPr>
        <w:t xml:space="preserve"> and of the</w:t>
      </w:r>
      <w:r w:rsidR="00297ED1" w:rsidRPr="00353650">
        <w:rPr>
          <w:rFonts w:asciiTheme="minorHAnsi" w:hAnsiTheme="minorHAnsi" w:cstheme="minorHAnsi"/>
          <w:szCs w:val="24"/>
        </w:rPr>
        <w:t xml:space="preserve"> different degrees of</w:t>
      </w:r>
      <w:r w:rsidR="00D34C85" w:rsidRPr="00353650">
        <w:rPr>
          <w:rFonts w:asciiTheme="minorHAnsi" w:hAnsiTheme="minorHAnsi" w:cstheme="minorHAnsi"/>
          <w:szCs w:val="24"/>
        </w:rPr>
        <w:t xml:space="preserve"> fluidity (or flexibility) of the different national labour markets in the EU</w:t>
      </w:r>
      <w:r w:rsidR="00297ED1" w:rsidRPr="00353650">
        <w:rPr>
          <w:rFonts w:asciiTheme="minorHAnsi" w:hAnsiTheme="minorHAnsi" w:cstheme="minorHAnsi"/>
          <w:szCs w:val="24"/>
        </w:rPr>
        <w:t xml:space="preserve"> during and after the crisis</w:t>
      </w:r>
      <w:r w:rsidR="00D34C85" w:rsidRPr="00353650">
        <w:rPr>
          <w:rFonts w:asciiTheme="minorHAnsi" w:hAnsiTheme="minorHAnsi" w:cstheme="minorHAnsi"/>
          <w:szCs w:val="24"/>
        </w:rPr>
        <w:t>.</w:t>
      </w:r>
      <w:r w:rsidR="00297ED1" w:rsidRPr="00353650">
        <w:rPr>
          <w:rFonts w:asciiTheme="minorHAnsi" w:hAnsiTheme="minorHAnsi" w:cstheme="minorHAnsi"/>
          <w:szCs w:val="24"/>
        </w:rPr>
        <w:t xml:space="preserve"> Consistent with wider evidence elsewhere in the literature, it documents that transitional dynamics are much more favourable in the Nordic group of EU countries, which is mostly associated with the model of ‘flexicurity’ and perhaps least favourable in the Southern countries. At the same time it also unveiled a trend of worsening transitional dynamics in the </w:t>
      </w:r>
      <w:r w:rsidR="00FA18FE">
        <w:rPr>
          <w:rFonts w:asciiTheme="minorHAnsi" w:hAnsiTheme="minorHAnsi" w:cstheme="minorHAnsi"/>
          <w:szCs w:val="24"/>
        </w:rPr>
        <w:t>former</w:t>
      </w:r>
      <w:r w:rsidR="00FA18FE" w:rsidRPr="00353650">
        <w:rPr>
          <w:rFonts w:asciiTheme="minorHAnsi" w:hAnsiTheme="minorHAnsi" w:cstheme="minorHAnsi"/>
          <w:szCs w:val="24"/>
        </w:rPr>
        <w:t xml:space="preserve"> </w:t>
      </w:r>
      <w:r w:rsidR="00297ED1" w:rsidRPr="00353650">
        <w:rPr>
          <w:rFonts w:asciiTheme="minorHAnsi" w:hAnsiTheme="minorHAnsi" w:cstheme="minorHAnsi"/>
          <w:szCs w:val="24"/>
        </w:rPr>
        <w:t xml:space="preserve">group post-crisis and persistent disequilibria in the Southern group despite the sizeably declining unemployment there in the “recovery” period; while the Central Eastern group of countries, comprising the former New Member states of the EU, shows improvements post-crisis both with regard to the equilibrium distribution of labour market outcomes and with regard to the transitional dynamics of their labour markets (e.g., flows into and out of unemployment). </w:t>
      </w:r>
    </w:p>
    <w:p w:rsidR="00D34C85" w:rsidRPr="00353650" w:rsidRDefault="00D34C85" w:rsidP="00353650">
      <w:pPr>
        <w:spacing w:before="120" w:after="120" w:line="360" w:lineRule="auto"/>
        <w:rPr>
          <w:rFonts w:asciiTheme="minorHAnsi" w:hAnsiTheme="minorHAnsi" w:cstheme="minorHAnsi"/>
          <w:szCs w:val="24"/>
        </w:rPr>
      </w:pPr>
      <w:r w:rsidRPr="00353650">
        <w:rPr>
          <w:rFonts w:asciiTheme="minorHAnsi" w:hAnsiTheme="minorHAnsi" w:cstheme="minorHAnsi"/>
          <w:szCs w:val="24"/>
        </w:rPr>
        <w:t>The structure of the paper is as follows. In the next section we present the considerations for our analysis, examining in some more detail the evolution of unemployment across the EU during the period 2004-2016, reviewing relevant contributions from the recent literature on the topic, and presenting our data and approach.</w:t>
      </w:r>
      <w:r w:rsidR="00B95A79" w:rsidRPr="00353650">
        <w:rPr>
          <w:rFonts w:asciiTheme="minorHAnsi" w:hAnsiTheme="minorHAnsi" w:cstheme="minorHAnsi"/>
          <w:szCs w:val="24"/>
        </w:rPr>
        <w:t xml:space="preserve"> </w:t>
      </w:r>
      <w:r w:rsidRPr="00353650">
        <w:rPr>
          <w:rFonts w:asciiTheme="minorHAnsi" w:hAnsiTheme="minorHAnsi" w:cstheme="minorHAnsi"/>
          <w:szCs w:val="24"/>
        </w:rPr>
        <w:t>Section 3 presents our descriptive analysis of labour market transitions across the EU, identifying common trends and key differences across countries and across groups of countries belonging to different ‘production regimes’</w:t>
      </w:r>
      <w:r w:rsidR="00353650" w:rsidRPr="00353650">
        <w:rPr>
          <w:rFonts w:asciiTheme="minorHAnsi" w:hAnsiTheme="minorHAnsi" w:cstheme="minorHAnsi"/>
          <w:szCs w:val="24"/>
        </w:rPr>
        <w:t xml:space="preserve"> (</w:t>
      </w:r>
      <w:proofErr w:type="spellStart"/>
      <w:r w:rsidR="00353650" w:rsidRPr="00353650">
        <w:rPr>
          <w:rFonts w:asciiTheme="minorHAnsi" w:hAnsiTheme="minorHAnsi" w:cstheme="minorHAnsi"/>
          <w:szCs w:val="24"/>
        </w:rPr>
        <w:t>Esping</w:t>
      </w:r>
      <w:proofErr w:type="spellEnd"/>
      <w:r w:rsidR="00353650" w:rsidRPr="00353650">
        <w:rPr>
          <w:rFonts w:asciiTheme="minorHAnsi" w:hAnsiTheme="minorHAnsi" w:cstheme="minorHAnsi"/>
          <w:szCs w:val="24"/>
        </w:rPr>
        <w:t xml:space="preserve">-Andersen, 1990; Hall and Soskice, 2001). In section 4 we proceed instead to examine how these transitional dynamics influence the distribution of labour market outcomes across the EU in the medium- and long-run. Specifically, we first derive the equilibrium (steady-state) unemployment deriving from the imputed transitional dynamics and examine how this compares with the actual country-specific unemployment evolutions as observed in the data; and, subsequently, we implement a </w:t>
      </w:r>
      <w:r w:rsidRPr="00353650">
        <w:rPr>
          <w:rFonts w:asciiTheme="minorHAnsi" w:hAnsiTheme="minorHAnsi" w:cstheme="minorHAnsi"/>
          <w:szCs w:val="24"/>
        </w:rPr>
        <w:t xml:space="preserve">counter-factual analysis, which seeks to understand how different country </w:t>
      </w:r>
      <w:r w:rsidR="00353650" w:rsidRPr="00353650">
        <w:rPr>
          <w:rFonts w:asciiTheme="minorHAnsi" w:hAnsiTheme="minorHAnsi" w:cstheme="minorHAnsi"/>
          <w:szCs w:val="24"/>
        </w:rPr>
        <w:t xml:space="preserve">transitional </w:t>
      </w:r>
      <w:r w:rsidRPr="00353650">
        <w:rPr>
          <w:rFonts w:asciiTheme="minorHAnsi" w:hAnsiTheme="minorHAnsi" w:cstheme="minorHAnsi"/>
          <w:szCs w:val="24"/>
        </w:rPr>
        <w:t xml:space="preserve">dynamics influence labour market outcomes (employment, unemployment) across the EU space. The last section concludes with some observations about the workings of national labour markets in the EU and some implications for policy.  </w:t>
      </w:r>
    </w:p>
    <w:p w:rsidR="003D102D" w:rsidRDefault="003D102D" w:rsidP="00832A37">
      <w:pPr>
        <w:spacing w:before="120" w:after="120" w:line="360" w:lineRule="auto"/>
        <w:rPr>
          <w:rFonts w:asciiTheme="minorHAnsi" w:hAnsiTheme="minorHAnsi" w:cstheme="minorHAnsi"/>
          <w:szCs w:val="24"/>
        </w:rPr>
      </w:pPr>
    </w:p>
    <w:p w:rsidR="00FA3F88" w:rsidRPr="00353650" w:rsidRDefault="00FA3F88" w:rsidP="00832A37">
      <w:pPr>
        <w:spacing w:before="120" w:after="120" w:line="360" w:lineRule="auto"/>
        <w:rPr>
          <w:rFonts w:asciiTheme="minorHAnsi" w:hAnsiTheme="minorHAnsi" w:cstheme="minorHAnsi"/>
          <w:szCs w:val="24"/>
        </w:rPr>
      </w:pPr>
    </w:p>
    <w:p w:rsidR="00F06A0E" w:rsidRPr="00353650" w:rsidRDefault="007E055B" w:rsidP="00832A37">
      <w:pPr>
        <w:pStyle w:val="Heading"/>
        <w:numPr>
          <w:ilvl w:val="0"/>
          <w:numId w:val="26"/>
        </w:numPr>
        <w:spacing w:after="120" w:line="360" w:lineRule="auto"/>
        <w:rPr>
          <w:rFonts w:asciiTheme="minorHAnsi" w:hAnsiTheme="minorHAnsi" w:cstheme="minorHAnsi"/>
          <w:sz w:val="24"/>
          <w:szCs w:val="24"/>
          <w:u w:val="none"/>
        </w:rPr>
      </w:pPr>
      <w:r w:rsidRPr="00353650">
        <w:rPr>
          <w:rFonts w:asciiTheme="minorHAnsi" w:hAnsiTheme="minorHAnsi" w:cstheme="minorHAnsi"/>
          <w:caps w:val="0"/>
          <w:sz w:val="24"/>
          <w:szCs w:val="24"/>
          <w:u w:val="none"/>
        </w:rPr>
        <w:lastRenderedPageBreak/>
        <w:t>Considerations for the analysis</w:t>
      </w:r>
    </w:p>
    <w:p w:rsidR="005B6CBB" w:rsidRPr="00353650" w:rsidRDefault="005B6CBB" w:rsidP="00832A37">
      <w:pPr>
        <w:spacing w:before="120" w:after="120" w:line="360" w:lineRule="auto"/>
        <w:rPr>
          <w:rFonts w:asciiTheme="minorHAnsi" w:hAnsiTheme="minorHAnsi" w:cstheme="minorHAnsi"/>
          <w:b/>
          <w:i/>
          <w:szCs w:val="24"/>
        </w:rPr>
      </w:pPr>
      <w:r w:rsidRPr="00353650">
        <w:rPr>
          <w:rFonts w:asciiTheme="minorHAnsi" w:hAnsiTheme="minorHAnsi" w:cstheme="minorHAnsi"/>
          <w:b/>
          <w:i/>
          <w:szCs w:val="24"/>
        </w:rPr>
        <w:t>2.1. Stylised facts and literature</w:t>
      </w:r>
    </w:p>
    <w:p w:rsidR="0069155A" w:rsidRPr="00353650" w:rsidRDefault="0069155A" w:rsidP="00832A37">
      <w:pPr>
        <w:spacing w:before="120" w:after="120" w:line="360" w:lineRule="auto"/>
        <w:rPr>
          <w:rFonts w:asciiTheme="minorHAnsi" w:hAnsiTheme="minorHAnsi" w:cstheme="minorHAnsi"/>
          <w:szCs w:val="24"/>
        </w:rPr>
      </w:pPr>
      <w:r w:rsidRPr="00353650">
        <w:rPr>
          <w:rFonts w:asciiTheme="minorHAnsi" w:hAnsiTheme="minorHAnsi" w:cstheme="minorHAnsi"/>
          <w:szCs w:val="24"/>
        </w:rPr>
        <w:t xml:space="preserve">As noted already, European unemployment has shifted sizeably with the crisis. As depicted in Figure 1, </w:t>
      </w:r>
      <w:r w:rsidR="00DC2DB5" w:rsidRPr="00353650">
        <w:rPr>
          <w:rFonts w:asciiTheme="minorHAnsi" w:hAnsiTheme="minorHAnsi" w:cstheme="minorHAnsi"/>
          <w:szCs w:val="24"/>
        </w:rPr>
        <w:t>unemployment in Europe rose sharply in the early phase of the crisis (2008-2010), reaching levels that had in the past been associated with the thesis of ‘</w:t>
      </w:r>
      <w:proofErr w:type="spellStart"/>
      <w:r w:rsidR="00DC2DB5" w:rsidRPr="00353650">
        <w:rPr>
          <w:rFonts w:asciiTheme="minorHAnsi" w:hAnsiTheme="minorHAnsi" w:cstheme="minorHAnsi"/>
          <w:szCs w:val="24"/>
        </w:rPr>
        <w:t>Euroscelrosis</w:t>
      </w:r>
      <w:proofErr w:type="spellEnd"/>
      <w:r w:rsidR="00DC2DB5" w:rsidRPr="00353650">
        <w:rPr>
          <w:rFonts w:asciiTheme="minorHAnsi" w:hAnsiTheme="minorHAnsi" w:cstheme="minorHAnsi"/>
          <w:szCs w:val="24"/>
        </w:rPr>
        <w:t>’ (</w:t>
      </w:r>
      <w:proofErr w:type="spellStart"/>
      <w:r w:rsidR="005C41DC" w:rsidRPr="00353650">
        <w:rPr>
          <w:rFonts w:asciiTheme="minorHAnsi" w:hAnsiTheme="minorHAnsi" w:cstheme="minorHAnsi"/>
          <w:szCs w:val="24"/>
        </w:rPr>
        <w:t>Bentolila</w:t>
      </w:r>
      <w:proofErr w:type="spellEnd"/>
      <w:r w:rsidR="005C41DC" w:rsidRPr="00353650">
        <w:rPr>
          <w:rFonts w:asciiTheme="minorHAnsi" w:hAnsiTheme="minorHAnsi" w:cstheme="minorHAnsi"/>
          <w:szCs w:val="24"/>
        </w:rPr>
        <w:t xml:space="preserve"> and </w:t>
      </w:r>
      <w:proofErr w:type="spellStart"/>
      <w:r w:rsidR="005C41DC" w:rsidRPr="00353650">
        <w:rPr>
          <w:rFonts w:asciiTheme="minorHAnsi" w:hAnsiTheme="minorHAnsi" w:cstheme="minorHAnsi"/>
          <w:szCs w:val="24"/>
        </w:rPr>
        <w:t>Bertola</w:t>
      </w:r>
      <w:proofErr w:type="spellEnd"/>
      <w:r w:rsidR="005C41DC" w:rsidRPr="00353650">
        <w:rPr>
          <w:rFonts w:asciiTheme="minorHAnsi" w:hAnsiTheme="minorHAnsi" w:cstheme="minorHAnsi"/>
          <w:szCs w:val="24"/>
        </w:rPr>
        <w:t>, 1990)</w:t>
      </w:r>
      <w:r w:rsidR="00DC2DB5" w:rsidRPr="00353650">
        <w:rPr>
          <w:rFonts w:asciiTheme="minorHAnsi" w:hAnsiTheme="minorHAnsi" w:cstheme="minorHAnsi"/>
          <w:szCs w:val="24"/>
        </w:rPr>
        <w:t xml:space="preserve">. What is more, the evolution of unemployment in the EU exhibits a clear double-peak pattern, with unemployment subsiding somewhat in 2011 but rising again soon after, reaching its peak in 2013 – a development clearly associated with the political and policy turbulence seen in the EU at the time (bailout agreements, transmission of the Greek crisis, concerns about the viability of the Euro-zone). </w:t>
      </w:r>
    </w:p>
    <w:p w:rsidR="00DC2DB5" w:rsidRDefault="00DC2DB5" w:rsidP="00832A37">
      <w:pPr>
        <w:spacing w:before="120" w:after="120" w:line="360" w:lineRule="auto"/>
        <w:rPr>
          <w:rFonts w:asciiTheme="minorHAnsi" w:hAnsiTheme="minorHAnsi" w:cstheme="minorHAnsi"/>
          <w:szCs w:val="24"/>
        </w:rPr>
      </w:pPr>
    </w:p>
    <w:p w:rsidR="00367CF5" w:rsidRPr="00353650" w:rsidRDefault="00367CF5" w:rsidP="00832A37">
      <w:pPr>
        <w:spacing w:before="120" w:after="120" w:line="360" w:lineRule="auto"/>
        <w:rPr>
          <w:rFonts w:asciiTheme="minorHAnsi" w:hAnsiTheme="minorHAnsi" w:cstheme="minorHAnsi"/>
          <w:szCs w:val="24"/>
        </w:rPr>
      </w:pPr>
      <w:r>
        <w:rPr>
          <w:rFonts w:asciiTheme="minorHAnsi" w:hAnsiTheme="minorHAnsi" w:cstheme="minorHAnsi"/>
          <w:szCs w:val="24"/>
        </w:rPr>
        <w:t>[FIGURE 1 AROUND HERE]</w:t>
      </w:r>
    </w:p>
    <w:p w:rsidR="00832A37" w:rsidRPr="00353650" w:rsidRDefault="00832A37" w:rsidP="00832A37">
      <w:pPr>
        <w:spacing w:before="120" w:after="120" w:line="360" w:lineRule="auto"/>
        <w:rPr>
          <w:rFonts w:asciiTheme="minorHAnsi" w:hAnsiTheme="minorHAnsi" w:cstheme="minorHAnsi"/>
          <w:szCs w:val="24"/>
        </w:rPr>
      </w:pPr>
    </w:p>
    <w:p w:rsidR="00DC2DB5" w:rsidRPr="00353650" w:rsidRDefault="00DC2DB5" w:rsidP="00832A37">
      <w:pPr>
        <w:spacing w:before="120" w:after="120" w:line="360" w:lineRule="auto"/>
        <w:rPr>
          <w:rFonts w:asciiTheme="minorHAnsi" w:hAnsiTheme="minorHAnsi" w:cstheme="minorHAnsi"/>
          <w:szCs w:val="24"/>
        </w:rPr>
      </w:pPr>
      <w:r w:rsidRPr="00353650">
        <w:rPr>
          <w:rFonts w:asciiTheme="minorHAnsi" w:hAnsiTheme="minorHAnsi" w:cstheme="minorHAnsi"/>
          <w:szCs w:val="24"/>
        </w:rPr>
        <w:t xml:space="preserve">Despite the fact that the crisis has on the whole been felt across Europe, national developments with regard to unemployment have not been uniform. As is depicted in the maps of Figure 2, </w:t>
      </w:r>
      <w:r w:rsidR="00B95A79" w:rsidRPr="00353650">
        <w:rPr>
          <w:rFonts w:asciiTheme="minorHAnsi" w:hAnsiTheme="minorHAnsi" w:cstheme="minorHAnsi"/>
          <w:szCs w:val="24"/>
        </w:rPr>
        <w:t xml:space="preserve">in the early part of the crisis unemployment rose sharply in a small number of countries, mainly those exposed to mortgage lending (Hungary, Spain, Portugal, Ireland and the UK), while at the same period unemployment continued its declining trend in other countries such as Germany, Poland, Bulgaria and even Greece. Instead, the depth of the crisis (from 2009 to 2012) saw unemployment rising fast in a broader range of countries, including this time also Greece, the Baltics, Italy, Slovenia, Slovakia, Denmark and the Netherlands. What is more notable perhaps is the divergence in unemployment paths in the subsequent period. The period since 2012/13 has been a period of unemployment adjustment in a large part of Europe (including the Baltics, the UK, Ireland, Germany and </w:t>
      </w:r>
      <w:r w:rsidR="005C41DC" w:rsidRPr="00353650">
        <w:rPr>
          <w:rFonts w:asciiTheme="minorHAnsi" w:hAnsiTheme="minorHAnsi" w:cstheme="minorHAnsi"/>
          <w:szCs w:val="24"/>
        </w:rPr>
        <w:t xml:space="preserve">most </w:t>
      </w:r>
      <w:r w:rsidR="00B95A79" w:rsidRPr="00353650">
        <w:rPr>
          <w:rFonts w:asciiTheme="minorHAnsi" w:hAnsiTheme="minorHAnsi" w:cstheme="minorHAnsi"/>
          <w:szCs w:val="24"/>
        </w:rPr>
        <w:t>New Member States</w:t>
      </w:r>
      <w:r w:rsidR="005C41DC" w:rsidRPr="00353650">
        <w:rPr>
          <w:rFonts w:asciiTheme="minorHAnsi" w:hAnsiTheme="minorHAnsi" w:cstheme="minorHAnsi"/>
          <w:szCs w:val="24"/>
        </w:rPr>
        <w:t>)</w:t>
      </w:r>
      <w:r w:rsidR="00B95A79" w:rsidRPr="00353650">
        <w:rPr>
          <w:rFonts w:asciiTheme="minorHAnsi" w:hAnsiTheme="minorHAnsi" w:cstheme="minorHAnsi"/>
          <w:szCs w:val="24"/>
        </w:rPr>
        <w:t>; but has continued to rise in the south (Greece, Spain, Portugal Italy</w:t>
      </w:r>
      <w:r w:rsidR="00D603B1" w:rsidRPr="00353650">
        <w:rPr>
          <w:rFonts w:asciiTheme="minorHAnsi" w:hAnsiTheme="minorHAnsi" w:cstheme="minorHAnsi"/>
          <w:szCs w:val="24"/>
        </w:rPr>
        <w:t xml:space="preserve">) as well as in parts of the EU ‘core’ (France, Austria, Belgium, the Netherlands and Finland). </w:t>
      </w:r>
      <w:r w:rsidR="00B95A79" w:rsidRPr="00353650">
        <w:rPr>
          <w:rFonts w:asciiTheme="minorHAnsi" w:hAnsiTheme="minorHAnsi" w:cstheme="minorHAnsi"/>
          <w:szCs w:val="24"/>
        </w:rPr>
        <w:t xml:space="preserve">  </w:t>
      </w:r>
    </w:p>
    <w:p w:rsidR="00DC2DB5" w:rsidRDefault="00DC2DB5" w:rsidP="00832A37">
      <w:pPr>
        <w:spacing w:before="120" w:after="120" w:line="360" w:lineRule="auto"/>
        <w:rPr>
          <w:rFonts w:asciiTheme="minorHAnsi" w:hAnsiTheme="minorHAnsi" w:cstheme="minorHAnsi"/>
          <w:szCs w:val="24"/>
        </w:rPr>
      </w:pPr>
    </w:p>
    <w:p w:rsidR="00367CF5" w:rsidRPr="00353650" w:rsidRDefault="00367CF5" w:rsidP="00367CF5">
      <w:pPr>
        <w:spacing w:before="120" w:after="120" w:line="360" w:lineRule="auto"/>
        <w:rPr>
          <w:rFonts w:asciiTheme="minorHAnsi" w:hAnsiTheme="minorHAnsi" w:cstheme="minorHAnsi"/>
          <w:szCs w:val="24"/>
        </w:rPr>
      </w:pPr>
      <w:r>
        <w:rPr>
          <w:rFonts w:asciiTheme="minorHAnsi" w:hAnsiTheme="minorHAnsi" w:cstheme="minorHAnsi"/>
          <w:szCs w:val="24"/>
        </w:rPr>
        <w:t>[FIGURE 2 AROUND HERE]</w:t>
      </w:r>
    </w:p>
    <w:p w:rsidR="00367CF5" w:rsidRPr="00353650" w:rsidRDefault="00367CF5" w:rsidP="00832A37">
      <w:pPr>
        <w:spacing w:before="120" w:after="120" w:line="360" w:lineRule="auto"/>
        <w:rPr>
          <w:rFonts w:asciiTheme="minorHAnsi" w:hAnsiTheme="minorHAnsi" w:cstheme="minorHAnsi"/>
          <w:szCs w:val="24"/>
        </w:rPr>
      </w:pPr>
    </w:p>
    <w:p w:rsidR="00DC2DB5" w:rsidRPr="00353650" w:rsidRDefault="00DC2DB5" w:rsidP="00FA3F88">
      <w:pPr>
        <w:spacing w:before="120" w:after="120" w:line="360" w:lineRule="auto"/>
        <w:rPr>
          <w:rFonts w:asciiTheme="minorHAnsi" w:hAnsiTheme="minorHAnsi" w:cstheme="minorHAnsi"/>
          <w:szCs w:val="24"/>
        </w:rPr>
      </w:pPr>
    </w:p>
    <w:p w:rsidR="00DC2DB5" w:rsidRPr="00353650" w:rsidRDefault="00D603B1" w:rsidP="00FA3F88">
      <w:pPr>
        <w:spacing w:before="120" w:after="120" w:line="360" w:lineRule="auto"/>
        <w:rPr>
          <w:rFonts w:asciiTheme="minorHAnsi" w:hAnsiTheme="minorHAnsi" w:cstheme="minorHAnsi"/>
          <w:szCs w:val="24"/>
        </w:rPr>
      </w:pPr>
      <w:r w:rsidRPr="00353650">
        <w:rPr>
          <w:rFonts w:asciiTheme="minorHAnsi" w:hAnsiTheme="minorHAnsi" w:cstheme="minorHAnsi"/>
          <w:szCs w:val="24"/>
        </w:rPr>
        <w:t xml:space="preserve">These country specific evolutions are suggestive of the heterogeneous labour market transitions and dynamics characterising the EU space and motivate our further analysis of this. This heterogeneity in unemployment paths and dynamics has already been identified in the literature. For example, </w:t>
      </w:r>
      <w:proofErr w:type="spellStart"/>
      <w:r w:rsidRPr="00353650">
        <w:rPr>
          <w:rFonts w:asciiTheme="minorHAnsi" w:hAnsiTheme="minorHAnsi" w:cstheme="minorHAnsi"/>
          <w:szCs w:val="24"/>
        </w:rPr>
        <w:t>Boeri</w:t>
      </w:r>
      <w:proofErr w:type="spellEnd"/>
      <w:r w:rsidRPr="00353650">
        <w:rPr>
          <w:rFonts w:asciiTheme="minorHAnsi" w:hAnsiTheme="minorHAnsi" w:cstheme="minorHAnsi"/>
          <w:szCs w:val="24"/>
        </w:rPr>
        <w:t xml:space="preserve"> and </w:t>
      </w:r>
      <w:proofErr w:type="spellStart"/>
      <w:r w:rsidRPr="00353650">
        <w:rPr>
          <w:rFonts w:asciiTheme="minorHAnsi" w:hAnsiTheme="minorHAnsi" w:cstheme="minorHAnsi"/>
          <w:szCs w:val="24"/>
        </w:rPr>
        <w:t>Jimeno</w:t>
      </w:r>
      <w:proofErr w:type="spellEnd"/>
      <w:r w:rsidRPr="00353650">
        <w:rPr>
          <w:rFonts w:asciiTheme="minorHAnsi" w:hAnsiTheme="minorHAnsi" w:cstheme="minorHAnsi"/>
          <w:szCs w:val="24"/>
        </w:rPr>
        <w:t xml:space="preserve"> (2016) have documented that the Eurozone crisis marked a significant divergence in unemployment trajectories across (groups of) countries, leading on the whole to widening unemployment differentials across the EU. </w:t>
      </w:r>
      <w:proofErr w:type="spellStart"/>
      <w:r w:rsidR="00AC7110" w:rsidRPr="00353650">
        <w:rPr>
          <w:rFonts w:asciiTheme="minorHAnsi" w:hAnsiTheme="minorHAnsi" w:cstheme="minorHAnsi"/>
          <w:szCs w:val="24"/>
        </w:rPr>
        <w:t>Cazes</w:t>
      </w:r>
      <w:proofErr w:type="spellEnd"/>
      <w:r w:rsidR="00AC7110" w:rsidRPr="00353650">
        <w:rPr>
          <w:rFonts w:asciiTheme="minorHAnsi" w:hAnsiTheme="minorHAnsi" w:cstheme="minorHAnsi"/>
          <w:szCs w:val="24"/>
        </w:rPr>
        <w:t xml:space="preserve"> et al (2011 and 2013) </w:t>
      </w:r>
      <w:r w:rsidR="001E3845" w:rsidRPr="00353650">
        <w:rPr>
          <w:rFonts w:asciiTheme="minorHAnsi" w:hAnsiTheme="minorHAnsi" w:cstheme="minorHAnsi"/>
          <w:szCs w:val="24"/>
        </w:rPr>
        <w:t xml:space="preserve">and Zwick et al (2016) </w:t>
      </w:r>
      <w:r w:rsidR="00AC7110" w:rsidRPr="00353650">
        <w:rPr>
          <w:rFonts w:asciiTheme="minorHAnsi" w:hAnsiTheme="minorHAnsi" w:cstheme="minorHAnsi"/>
          <w:szCs w:val="24"/>
        </w:rPr>
        <w:t>have also document</w:t>
      </w:r>
      <w:r w:rsidR="005C41DC" w:rsidRPr="00353650">
        <w:rPr>
          <w:rFonts w:asciiTheme="minorHAnsi" w:hAnsiTheme="minorHAnsi" w:cstheme="minorHAnsi"/>
          <w:szCs w:val="24"/>
        </w:rPr>
        <w:t>ed</w:t>
      </w:r>
      <w:r w:rsidR="00AC7110" w:rsidRPr="00353650">
        <w:rPr>
          <w:rFonts w:asciiTheme="minorHAnsi" w:hAnsiTheme="minorHAnsi" w:cstheme="minorHAnsi"/>
          <w:szCs w:val="24"/>
        </w:rPr>
        <w:t xml:space="preserve"> significant variations in unemployment adjustment across countries</w:t>
      </w:r>
      <w:r w:rsidR="001E3845" w:rsidRPr="00353650">
        <w:rPr>
          <w:rFonts w:asciiTheme="minorHAnsi" w:hAnsiTheme="minorHAnsi" w:cstheme="minorHAnsi"/>
          <w:szCs w:val="24"/>
        </w:rPr>
        <w:t xml:space="preserve">, which they attribute in part to country differences in </w:t>
      </w:r>
      <w:r w:rsidR="00AC7110" w:rsidRPr="00353650">
        <w:rPr>
          <w:rFonts w:asciiTheme="minorHAnsi" w:hAnsiTheme="minorHAnsi" w:cstheme="minorHAnsi"/>
          <w:szCs w:val="24"/>
        </w:rPr>
        <w:t>national labour market</w:t>
      </w:r>
      <w:r w:rsidR="001E3845" w:rsidRPr="00353650">
        <w:rPr>
          <w:rFonts w:asciiTheme="minorHAnsi" w:hAnsiTheme="minorHAnsi" w:cstheme="minorHAnsi"/>
          <w:szCs w:val="24"/>
        </w:rPr>
        <w:t xml:space="preserve"> institutions such as </w:t>
      </w:r>
      <w:r w:rsidR="00AC7110" w:rsidRPr="00353650">
        <w:rPr>
          <w:rFonts w:asciiTheme="minorHAnsi" w:hAnsiTheme="minorHAnsi" w:cstheme="minorHAnsi"/>
          <w:szCs w:val="24"/>
        </w:rPr>
        <w:t xml:space="preserve">Employment Protection Legislation </w:t>
      </w:r>
      <w:r w:rsidR="005C41DC" w:rsidRPr="00353650">
        <w:rPr>
          <w:rFonts w:asciiTheme="minorHAnsi" w:hAnsiTheme="minorHAnsi" w:cstheme="minorHAnsi"/>
          <w:szCs w:val="24"/>
        </w:rPr>
        <w:t xml:space="preserve">(EPL) </w:t>
      </w:r>
      <w:r w:rsidR="001E3845" w:rsidRPr="00353650">
        <w:rPr>
          <w:rFonts w:asciiTheme="minorHAnsi" w:hAnsiTheme="minorHAnsi" w:cstheme="minorHAnsi"/>
          <w:szCs w:val="24"/>
        </w:rPr>
        <w:t xml:space="preserve">and </w:t>
      </w:r>
      <w:r w:rsidR="00AC7110" w:rsidRPr="00353650">
        <w:rPr>
          <w:rFonts w:asciiTheme="minorHAnsi" w:hAnsiTheme="minorHAnsi" w:cstheme="minorHAnsi"/>
          <w:szCs w:val="24"/>
        </w:rPr>
        <w:t>working-time regulations</w:t>
      </w:r>
      <w:r w:rsidR="001E3845" w:rsidRPr="00353650">
        <w:rPr>
          <w:rFonts w:asciiTheme="minorHAnsi" w:hAnsiTheme="minorHAnsi" w:cstheme="minorHAnsi"/>
          <w:szCs w:val="24"/>
        </w:rPr>
        <w:t xml:space="preserve">. </w:t>
      </w:r>
    </w:p>
    <w:p w:rsidR="00640767" w:rsidRPr="00353650" w:rsidRDefault="00640767" w:rsidP="00FA3F88">
      <w:pPr>
        <w:spacing w:before="120" w:after="120" w:line="360" w:lineRule="auto"/>
        <w:rPr>
          <w:rFonts w:asciiTheme="minorHAnsi" w:hAnsiTheme="minorHAnsi" w:cstheme="minorHAnsi"/>
          <w:szCs w:val="24"/>
        </w:rPr>
      </w:pPr>
      <w:r w:rsidRPr="00353650">
        <w:rPr>
          <w:rFonts w:asciiTheme="minorHAnsi" w:hAnsiTheme="minorHAnsi" w:cstheme="minorHAnsi"/>
          <w:szCs w:val="24"/>
        </w:rPr>
        <w:t>At the same time, the literature provides evidence of significant shifts in labour market fluidity. For example, work conducted by the Task Force of the Monetary Policy Committee of the European System of Central Banks (</w:t>
      </w:r>
      <w:r w:rsidR="00803597">
        <w:rPr>
          <w:rFonts w:asciiTheme="minorHAnsi" w:hAnsiTheme="minorHAnsi" w:cstheme="minorHAnsi"/>
          <w:szCs w:val="24"/>
        </w:rPr>
        <w:t>ECB</w:t>
      </w:r>
      <w:r w:rsidRPr="00353650">
        <w:rPr>
          <w:rFonts w:asciiTheme="minorHAnsi" w:hAnsiTheme="minorHAnsi" w:cstheme="minorHAnsi"/>
          <w:szCs w:val="24"/>
        </w:rPr>
        <w:t xml:space="preserve">, 2012) has shown that the crisis coincided with an outward shift of the Beveridge Curve, implying deteriorating matching and a shift towards higher long-term unemployment. A similar result has been obtained by </w:t>
      </w:r>
      <w:proofErr w:type="spellStart"/>
      <w:r w:rsidRPr="00353650">
        <w:rPr>
          <w:rFonts w:asciiTheme="minorHAnsi" w:hAnsiTheme="minorHAnsi" w:cstheme="minorHAnsi"/>
          <w:szCs w:val="24"/>
        </w:rPr>
        <w:t>Guichard</w:t>
      </w:r>
      <w:proofErr w:type="spellEnd"/>
      <w:r w:rsidRPr="00353650">
        <w:rPr>
          <w:rFonts w:asciiTheme="minorHAnsi" w:hAnsiTheme="minorHAnsi" w:cstheme="minorHAnsi"/>
          <w:szCs w:val="24"/>
        </w:rPr>
        <w:t xml:space="preserve"> and </w:t>
      </w:r>
      <w:proofErr w:type="spellStart"/>
      <w:r w:rsidRPr="00353650">
        <w:rPr>
          <w:rFonts w:asciiTheme="minorHAnsi" w:hAnsiTheme="minorHAnsi" w:cstheme="minorHAnsi"/>
          <w:szCs w:val="24"/>
        </w:rPr>
        <w:t>Rusticelli</w:t>
      </w:r>
      <w:proofErr w:type="spellEnd"/>
      <w:r w:rsidRPr="00353650">
        <w:rPr>
          <w:rFonts w:asciiTheme="minorHAnsi" w:hAnsiTheme="minorHAnsi" w:cstheme="minorHAnsi"/>
          <w:szCs w:val="24"/>
        </w:rPr>
        <w:t xml:space="preserve"> (2010) for the OECD. </w:t>
      </w:r>
    </w:p>
    <w:p w:rsidR="00832A37" w:rsidRPr="00353650" w:rsidRDefault="00640767" w:rsidP="00FA3F88">
      <w:pPr>
        <w:spacing w:before="120" w:after="120" w:line="360" w:lineRule="auto"/>
        <w:rPr>
          <w:rFonts w:asciiTheme="minorHAnsi" w:hAnsiTheme="minorHAnsi" w:cstheme="minorHAnsi"/>
          <w:szCs w:val="24"/>
        </w:rPr>
      </w:pPr>
      <w:r w:rsidRPr="00353650">
        <w:rPr>
          <w:rFonts w:asciiTheme="minorHAnsi" w:hAnsiTheme="minorHAnsi" w:cstheme="minorHAnsi"/>
          <w:szCs w:val="24"/>
        </w:rPr>
        <w:t xml:space="preserve">Concerning in particular, however, the issue of labour market mobility (transitions), the literature is somewhat </w:t>
      </w:r>
      <w:proofErr w:type="gramStart"/>
      <w:r w:rsidRPr="00353650">
        <w:rPr>
          <w:rFonts w:asciiTheme="minorHAnsi" w:hAnsiTheme="minorHAnsi" w:cstheme="minorHAnsi"/>
          <w:szCs w:val="24"/>
        </w:rPr>
        <w:t>more mute</w:t>
      </w:r>
      <w:proofErr w:type="gramEnd"/>
      <w:r w:rsidRPr="00353650">
        <w:rPr>
          <w:rFonts w:asciiTheme="minorHAnsi" w:hAnsiTheme="minorHAnsi" w:cstheme="minorHAnsi"/>
          <w:szCs w:val="24"/>
        </w:rPr>
        <w:t xml:space="preserve">. Prior to the crisis, a body of literature had documented an increase in labour market mobility across employment, unemployment and inactivity during the last two decades before the crisis – with differences in the extent of mobility across countries being attributed to institutional factors such as labour and product market regulation, active labour market policies, and union density. For example, </w:t>
      </w:r>
      <w:proofErr w:type="spellStart"/>
      <w:r w:rsidRPr="00353650">
        <w:rPr>
          <w:rFonts w:asciiTheme="minorHAnsi" w:hAnsiTheme="minorHAnsi" w:cstheme="minorHAnsi"/>
          <w:szCs w:val="24"/>
        </w:rPr>
        <w:t>Petrongolo</w:t>
      </w:r>
      <w:proofErr w:type="spellEnd"/>
      <w:r w:rsidRPr="00353650">
        <w:rPr>
          <w:rFonts w:asciiTheme="minorHAnsi" w:hAnsiTheme="minorHAnsi" w:cstheme="minorHAnsi"/>
          <w:szCs w:val="24"/>
        </w:rPr>
        <w:t xml:space="preserve"> and </w:t>
      </w:r>
      <w:proofErr w:type="spellStart"/>
      <w:r w:rsidRPr="00353650">
        <w:rPr>
          <w:rFonts w:asciiTheme="minorHAnsi" w:hAnsiTheme="minorHAnsi" w:cstheme="minorHAnsi"/>
          <w:szCs w:val="24"/>
        </w:rPr>
        <w:t>Pissarides</w:t>
      </w:r>
      <w:proofErr w:type="spellEnd"/>
      <w:r w:rsidRPr="00353650">
        <w:rPr>
          <w:rFonts w:asciiTheme="minorHAnsi" w:hAnsiTheme="minorHAnsi" w:cstheme="minorHAnsi"/>
          <w:szCs w:val="24"/>
        </w:rPr>
        <w:t xml:space="preserve"> (2008) attribute to such labour market institutions the differences they observe, across countries, with regard to the relative importance of </w:t>
      </w:r>
      <w:r w:rsidR="005C41DC" w:rsidRPr="00353650">
        <w:rPr>
          <w:rFonts w:asciiTheme="minorHAnsi" w:hAnsiTheme="minorHAnsi" w:cstheme="minorHAnsi"/>
          <w:szCs w:val="24"/>
        </w:rPr>
        <w:t xml:space="preserve">the </w:t>
      </w:r>
      <w:r w:rsidRPr="00353650">
        <w:rPr>
          <w:rFonts w:asciiTheme="minorHAnsi" w:hAnsiTheme="minorHAnsi" w:cstheme="minorHAnsi"/>
          <w:szCs w:val="24"/>
        </w:rPr>
        <w:t>inflow and outflow rate</w:t>
      </w:r>
      <w:r w:rsidR="005C41DC" w:rsidRPr="00353650">
        <w:rPr>
          <w:rFonts w:asciiTheme="minorHAnsi" w:hAnsiTheme="minorHAnsi" w:cstheme="minorHAnsi"/>
          <w:szCs w:val="24"/>
        </w:rPr>
        <w:t>s</w:t>
      </w:r>
      <w:r w:rsidRPr="00353650">
        <w:rPr>
          <w:rFonts w:asciiTheme="minorHAnsi" w:hAnsiTheme="minorHAnsi" w:cstheme="minorHAnsi"/>
          <w:szCs w:val="24"/>
        </w:rPr>
        <w:t xml:space="preserve"> </w:t>
      </w:r>
      <w:r w:rsidR="005B6CBB" w:rsidRPr="00353650">
        <w:rPr>
          <w:rFonts w:asciiTheme="minorHAnsi" w:hAnsiTheme="minorHAnsi" w:cstheme="minorHAnsi"/>
          <w:szCs w:val="24"/>
        </w:rPr>
        <w:t xml:space="preserve">of unemployment for the overall level of unemployment in each country. </w:t>
      </w:r>
      <w:proofErr w:type="spellStart"/>
      <w:r w:rsidR="005B6CBB" w:rsidRPr="00353650">
        <w:rPr>
          <w:rFonts w:asciiTheme="minorHAnsi" w:hAnsiTheme="minorHAnsi" w:cstheme="minorHAnsi"/>
          <w:szCs w:val="24"/>
        </w:rPr>
        <w:t>Elsby</w:t>
      </w:r>
      <w:proofErr w:type="spellEnd"/>
      <w:r w:rsidR="005B6CBB" w:rsidRPr="00353650">
        <w:rPr>
          <w:rFonts w:asciiTheme="minorHAnsi" w:hAnsiTheme="minorHAnsi" w:cstheme="minorHAnsi"/>
          <w:szCs w:val="24"/>
        </w:rPr>
        <w:t xml:space="preserve"> et al. (2009) found instead a relatively equal contribution of inflows and outflows to the unemployment stock in Europe; while similarly </w:t>
      </w:r>
      <w:proofErr w:type="spellStart"/>
      <w:r w:rsidR="00803597" w:rsidRPr="00803597">
        <w:rPr>
          <w:rFonts w:asciiTheme="minorHAnsi" w:hAnsiTheme="minorHAnsi" w:cstheme="minorHAnsi"/>
          <w:szCs w:val="24"/>
        </w:rPr>
        <w:t>Kilponen</w:t>
      </w:r>
      <w:proofErr w:type="spellEnd"/>
      <w:r w:rsidR="00803597" w:rsidRPr="00803597">
        <w:rPr>
          <w:rFonts w:asciiTheme="minorHAnsi" w:hAnsiTheme="minorHAnsi" w:cstheme="minorHAnsi"/>
          <w:szCs w:val="24"/>
        </w:rPr>
        <w:t xml:space="preserve"> </w:t>
      </w:r>
      <w:r w:rsidR="00803597">
        <w:rPr>
          <w:rFonts w:asciiTheme="minorHAnsi" w:hAnsiTheme="minorHAnsi" w:cstheme="minorHAnsi"/>
          <w:szCs w:val="24"/>
        </w:rPr>
        <w:t xml:space="preserve">and </w:t>
      </w:r>
      <w:proofErr w:type="spellStart"/>
      <w:r w:rsidR="005B6CBB" w:rsidRPr="00353650">
        <w:rPr>
          <w:rFonts w:asciiTheme="minorHAnsi" w:hAnsiTheme="minorHAnsi" w:cstheme="minorHAnsi"/>
          <w:szCs w:val="24"/>
        </w:rPr>
        <w:t>Vanhala</w:t>
      </w:r>
      <w:proofErr w:type="spellEnd"/>
      <w:r w:rsidR="005B6CBB" w:rsidRPr="00353650">
        <w:rPr>
          <w:rFonts w:asciiTheme="minorHAnsi" w:hAnsiTheme="minorHAnsi" w:cstheme="minorHAnsi"/>
          <w:szCs w:val="24"/>
        </w:rPr>
        <w:t xml:space="preserve"> (2009) argued that European countries have generally low rates of both unemployment inflow</w:t>
      </w:r>
      <w:r w:rsidR="005C41DC" w:rsidRPr="00353650">
        <w:rPr>
          <w:rFonts w:asciiTheme="minorHAnsi" w:hAnsiTheme="minorHAnsi" w:cstheme="minorHAnsi"/>
          <w:szCs w:val="24"/>
        </w:rPr>
        <w:t>s</w:t>
      </w:r>
      <w:r w:rsidR="005B6CBB" w:rsidRPr="00353650">
        <w:rPr>
          <w:rFonts w:asciiTheme="minorHAnsi" w:hAnsiTheme="minorHAnsi" w:cstheme="minorHAnsi"/>
          <w:szCs w:val="24"/>
        </w:rPr>
        <w:t xml:space="preserve"> and unemployment outflows – concluding that this results in a relatively high degree of unemployment persistence overall. </w:t>
      </w:r>
      <w:r w:rsidR="00DF2DB3" w:rsidRPr="00353650">
        <w:rPr>
          <w:rFonts w:asciiTheme="minorHAnsi" w:hAnsiTheme="minorHAnsi" w:cstheme="minorHAnsi"/>
          <w:szCs w:val="24"/>
        </w:rPr>
        <w:t xml:space="preserve">Finally, focusing more specifically on the issue of labour market transitions at the individual </w:t>
      </w:r>
      <w:r w:rsidR="00DF2DB3" w:rsidRPr="00353650">
        <w:rPr>
          <w:rFonts w:asciiTheme="minorHAnsi" w:hAnsiTheme="minorHAnsi" w:cstheme="minorHAnsi"/>
          <w:szCs w:val="24"/>
        </w:rPr>
        <w:lastRenderedPageBreak/>
        <w:t xml:space="preserve">level, </w:t>
      </w:r>
      <w:r w:rsidR="005B6CBB" w:rsidRPr="00353650">
        <w:rPr>
          <w:rFonts w:asciiTheme="minorHAnsi" w:hAnsiTheme="minorHAnsi" w:cstheme="minorHAnsi"/>
          <w:szCs w:val="24"/>
        </w:rPr>
        <w:t>Ward-</w:t>
      </w:r>
      <w:proofErr w:type="spellStart"/>
      <w:r w:rsidR="005B6CBB" w:rsidRPr="00353650">
        <w:rPr>
          <w:rFonts w:asciiTheme="minorHAnsi" w:hAnsiTheme="minorHAnsi" w:cstheme="minorHAnsi"/>
          <w:szCs w:val="24"/>
        </w:rPr>
        <w:t>Warmedinger</w:t>
      </w:r>
      <w:proofErr w:type="spellEnd"/>
      <w:r w:rsidR="005B6CBB" w:rsidRPr="00353650">
        <w:rPr>
          <w:rFonts w:asciiTheme="minorHAnsi" w:hAnsiTheme="minorHAnsi" w:cstheme="minorHAnsi"/>
          <w:szCs w:val="24"/>
        </w:rPr>
        <w:t xml:space="preserve"> and </w:t>
      </w:r>
      <w:proofErr w:type="spellStart"/>
      <w:r w:rsidR="005B6CBB" w:rsidRPr="00353650">
        <w:rPr>
          <w:rFonts w:asciiTheme="minorHAnsi" w:hAnsiTheme="minorHAnsi" w:cstheme="minorHAnsi"/>
          <w:szCs w:val="24"/>
        </w:rPr>
        <w:t>Macchiarelli</w:t>
      </w:r>
      <w:proofErr w:type="spellEnd"/>
      <w:r w:rsidR="005B6CBB" w:rsidRPr="00353650">
        <w:rPr>
          <w:rFonts w:asciiTheme="minorHAnsi" w:hAnsiTheme="minorHAnsi" w:cstheme="minorHAnsi"/>
          <w:szCs w:val="24"/>
        </w:rPr>
        <w:t xml:space="preserve"> (2014) </w:t>
      </w:r>
      <w:r w:rsidR="00503625" w:rsidRPr="00353650">
        <w:rPr>
          <w:rFonts w:asciiTheme="minorHAnsi" w:hAnsiTheme="minorHAnsi" w:cstheme="minorHAnsi"/>
          <w:szCs w:val="24"/>
        </w:rPr>
        <w:t xml:space="preserve">have </w:t>
      </w:r>
      <w:r w:rsidR="00DF2DB3" w:rsidRPr="00353650">
        <w:rPr>
          <w:rFonts w:asciiTheme="minorHAnsi" w:hAnsiTheme="minorHAnsi" w:cstheme="minorHAnsi"/>
          <w:szCs w:val="24"/>
        </w:rPr>
        <w:t xml:space="preserve">shown that in the pre-crisis period (1998-2008) transition dynamics have been rather heterogeneous across the EU, with the probability of exiting unemployment (into employment) being as much as twice as high in some countries (e.g., Denmark, Sweden) compared to the worst performers. </w:t>
      </w:r>
    </w:p>
    <w:p w:rsidR="00D603B1" w:rsidRDefault="00703163" w:rsidP="00FA3F88">
      <w:pPr>
        <w:spacing w:before="120" w:after="120" w:line="360" w:lineRule="auto"/>
        <w:rPr>
          <w:rFonts w:asciiTheme="minorHAnsi" w:hAnsiTheme="minorHAnsi" w:cstheme="minorHAnsi"/>
          <w:szCs w:val="24"/>
        </w:rPr>
      </w:pPr>
      <w:r w:rsidRPr="00353650">
        <w:rPr>
          <w:rFonts w:asciiTheme="minorHAnsi" w:hAnsiTheme="minorHAnsi" w:cstheme="minorHAnsi"/>
          <w:szCs w:val="24"/>
        </w:rPr>
        <w:t xml:space="preserve">Drawing on these observations, our analysis in this paper </w:t>
      </w:r>
      <w:r w:rsidR="00832A37" w:rsidRPr="00353650">
        <w:rPr>
          <w:rFonts w:asciiTheme="minorHAnsi" w:hAnsiTheme="minorHAnsi" w:cstheme="minorHAnsi"/>
          <w:szCs w:val="24"/>
        </w:rPr>
        <w:t>seeks to shed light on the dynamics of labour market transitions across the EU space and over the period from before the crisis until recently. Specifically, we examine how transition</w:t>
      </w:r>
      <w:r w:rsidR="000D0B51">
        <w:rPr>
          <w:rFonts w:asciiTheme="minorHAnsi" w:hAnsiTheme="minorHAnsi" w:cstheme="minorHAnsi"/>
          <w:szCs w:val="24"/>
        </w:rPr>
        <w:t>s</w:t>
      </w:r>
      <w:r w:rsidR="00832A37" w:rsidRPr="00353650">
        <w:rPr>
          <w:rFonts w:asciiTheme="minorHAnsi" w:hAnsiTheme="minorHAnsi" w:cstheme="minorHAnsi"/>
          <w:szCs w:val="24"/>
        </w:rPr>
        <w:t xml:space="preserve"> across labour market states (employed, unemployed and inactive) changed in the course of the crisis (and the subsequent recovery) leading to different types of labour market adjustment across (groups of) countries; how, in result, the equilibrium distribution of labour market outcomes (and deviations from equilibrium) shifted in each country over the period; and the extent to which national transition dynamics have contributed to achieving less or more advantageous labour market outcomes in each of the countries in our data. </w:t>
      </w:r>
    </w:p>
    <w:p w:rsidR="00842AFF" w:rsidRDefault="00842AFF" w:rsidP="00FA3F88">
      <w:pPr>
        <w:spacing w:before="120" w:after="120" w:line="360" w:lineRule="auto"/>
        <w:rPr>
          <w:rFonts w:asciiTheme="minorHAnsi" w:hAnsiTheme="minorHAnsi" w:cstheme="minorHAnsi"/>
          <w:szCs w:val="24"/>
        </w:rPr>
      </w:pPr>
      <w:r>
        <w:rPr>
          <w:rFonts w:asciiTheme="minorHAnsi" w:hAnsiTheme="minorHAnsi" w:cstheme="minorHAnsi"/>
          <w:szCs w:val="24"/>
        </w:rPr>
        <w:t xml:space="preserve">A note should be made about the notion of equilibrium used here. </w:t>
      </w:r>
      <w:r w:rsidR="000D0B51">
        <w:rPr>
          <w:rFonts w:asciiTheme="minorHAnsi" w:hAnsiTheme="minorHAnsi" w:cstheme="minorHAnsi"/>
          <w:szCs w:val="24"/>
        </w:rPr>
        <w:t>Under the assumptions of the Markov Chain analysis</w:t>
      </w:r>
      <w:r>
        <w:rPr>
          <w:rFonts w:asciiTheme="minorHAnsi" w:hAnsiTheme="minorHAnsi" w:cstheme="minorHAnsi"/>
          <w:szCs w:val="24"/>
        </w:rPr>
        <w:t xml:space="preserve"> (as explained in the next section)</w:t>
      </w:r>
      <w:r w:rsidR="000D0B51">
        <w:rPr>
          <w:rFonts w:asciiTheme="minorHAnsi" w:hAnsiTheme="minorHAnsi" w:cstheme="minorHAnsi"/>
          <w:szCs w:val="24"/>
        </w:rPr>
        <w:t>,</w:t>
      </w:r>
      <w:r>
        <w:rPr>
          <w:rFonts w:asciiTheme="minorHAnsi" w:hAnsiTheme="minorHAnsi" w:cstheme="minorHAnsi"/>
          <w:szCs w:val="24"/>
        </w:rPr>
        <w:t xml:space="preserve"> statically observed transition dynamics can be used to derive the steady-state (and thus equilibrium) distribution of labour market outcomes (i.e., employment, unemployment and inactivity). This notion of equilibrium is different from that often found in the macroeconomics and labour economics literatures, which focus on the concept of the “non-accelerating-inflation rate of unemployment” (NAIRU). The latter is an equilibrium level of unemployment (and unemployment only) in the sense that it is the level of unemployment that accommodates a constant rate of inflation and thus maintains unemployment constant (in the absence of external shocks) without requiring some corrective policy intervention. The former (ergodic distribution) is instead the steady-state position not only of the unemployment rate but also of the rates of employment and inactivity; and represents the position that the economy would find in the long-run if its observed transition dynamics were preserved indefinitely and if no external shocks occurred to the system. </w:t>
      </w:r>
      <w:r w:rsidR="00FB3984">
        <w:rPr>
          <w:rFonts w:asciiTheme="minorHAnsi" w:hAnsiTheme="minorHAnsi" w:cstheme="minorHAnsi"/>
          <w:szCs w:val="24"/>
        </w:rPr>
        <w:t xml:space="preserve">In short, the NAIRU definition is about the level of unemployment that does not put pressures on the price level in the economy; whereas the Markov Chain definition is about the level of unemployment that will prevail in the long run ceteris paribus. </w:t>
      </w:r>
    </w:p>
    <w:p w:rsidR="000D0B51" w:rsidRPr="00353650" w:rsidRDefault="000D0B51" w:rsidP="00FA3F88">
      <w:pPr>
        <w:spacing w:before="120" w:after="120" w:line="360" w:lineRule="auto"/>
        <w:rPr>
          <w:rFonts w:asciiTheme="minorHAnsi" w:hAnsiTheme="minorHAnsi" w:cstheme="minorHAnsi"/>
          <w:szCs w:val="24"/>
        </w:rPr>
      </w:pPr>
    </w:p>
    <w:p w:rsidR="003D102D" w:rsidRPr="00353650" w:rsidRDefault="003D102D" w:rsidP="00FA3F88">
      <w:pPr>
        <w:spacing w:before="120" w:after="120" w:line="360" w:lineRule="auto"/>
        <w:rPr>
          <w:rFonts w:asciiTheme="minorHAnsi" w:hAnsiTheme="minorHAnsi" w:cstheme="minorHAnsi"/>
          <w:szCs w:val="24"/>
        </w:rPr>
      </w:pPr>
    </w:p>
    <w:p w:rsidR="005B6CBB" w:rsidRPr="00353650" w:rsidRDefault="005B6CBB" w:rsidP="00FA3F88">
      <w:pPr>
        <w:spacing w:before="120" w:after="120" w:line="360" w:lineRule="auto"/>
        <w:rPr>
          <w:rFonts w:asciiTheme="minorHAnsi" w:hAnsiTheme="minorHAnsi" w:cstheme="minorHAnsi"/>
          <w:b/>
          <w:i/>
          <w:szCs w:val="24"/>
        </w:rPr>
      </w:pPr>
      <w:r w:rsidRPr="00353650">
        <w:rPr>
          <w:rFonts w:asciiTheme="minorHAnsi" w:hAnsiTheme="minorHAnsi" w:cstheme="minorHAnsi"/>
          <w:b/>
          <w:i/>
          <w:szCs w:val="24"/>
        </w:rPr>
        <w:lastRenderedPageBreak/>
        <w:t>2.2. Data and methodological approach</w:t>
      </w:r>
    </w:p>
    <w:p w:rsidR="00347E7E" w:rsidRPr="00353650" w:rsidRDefault="00503625" w:rsidP="00A13D70">
      <w:pPr>
        <w:spacing w:before="120" w:after="120" w:line="360" w:lineRule="auto"/>
        <w:rPr>
          <w:rFonts w:asciiTheme="minorHAnsi" w:hAnsiTheme="minorHAnsi" w:cstheme="minorHAnsi"/>
          <w:szCs w:val="24"/>
        </w:rPr>
      </w:pPr>
      <w:r w:rsidRPr="00353650">
        <w:rPr>
          <w:rFonts w:asciiTheme="minorHAnsi" w:hAnsiTheme="minorHAnsi" w:cstheme="minorHAnsi"/>
          <w:szCs w:val="24"/>
        </w:rPr>
        <w:t>To examine the</w:t>
      </w:r>
      <w:r w:rsidR="000C70EA">
        <w:rPr>
          <w:rFonts w:asciiTheme="minorHAnsi" w:hAnsiTheme="minorHAnsi" w:cstheme="minorHAnsi"/>
          <w:szCs w:val="24"/>
        </w:rPr>
        <w:t xml:space="preserve"> aforementioned</w:t>
      </w:r>
      <w:r w:rsidRPr="00353650">
        <w:rPr>
          <w:rFonts w:asciiTheme="minorHAnsi" w:hAnsiTheme="minorHAnsi" w:cstheme="minorHAnsi"/>
          <w:szCs w:val="24"/>
        </w:rPr>
        <w:t xml:space="preserve"> issues</w:t>
      </w:r>
      <w:r w:rsidR="000C70EA">
        <w:rPr>
          <w:rFonts w:asciiTheme="minorHAnsi" w:hAnsiTheme="minorHAnsi" w:cstheme="minorHAnsi"/>
          <w:szCs w:val="24"/>
        </w:rPr>
        <w:t>,</w:t>
      </w:r>
      <w:r w:rsidR="009D2DC8" w:rsidRPr="00353650">
        <w:rPr>
          <w:rFonts w:asciiTheme="minorHAnsi" w:hAnsiTheme="minorHAnsi" w:cstheme="minorHAnsi"/>
          <w:szCs w:val="24"/>
        </w:rPr>
        <w:t xml:space="preserve"> o</w:t>
      </w:r>
      <w:r w:rsidR="00347E7E" w:rsidRPr="00353650">
        <w:rPr>
          <w:rFonts w:asciiTheme="minorHAnsi" w:hAnsiTheme="minorHAnsi" w:cstheme="minorHAnsi"/>
          <w:szCs w:val="24"/>
        </w:rPr>
        <w:t>ur analysis uses individual-level micro-data from the Eurostat Labour Force Survey (EU-LFS), covering all EU countries available.</w:t>
      </w:r>
      <w:r w:rsidR="005C714C" w:rsidRPr="00353650">
        <w:rPr>
          <w:rStyle w:val="FootnoteReference"/>
          <w:rFonts w:asciiTheme="minorHAnsi" w:hAnsiTheme="minorHAnsi" w:cstheme="minorHAnsi"/>
          <w:szCs w:val="24"/>
        </w:rPr>
        <w:footnoteReference w:id="1"/>
      </w:r>
      <w:r w:rsidR="00347E7E" w:rsidRPr="00353650">
        <w:rPr>
          <w:rFonts w:asciiTheme="minorHAnsi" w:hAnsiTheme="minorHAnsi" w:cstheme="minorHAnsi"/>
          <w:szCs w:val="24"/>
        </w:rPr>
        <w:t xml:space="preserve"> The EU-LFS data contain detailed information on employment, unemployment</w:t>
      </w:r>
      <w:r w:rsidR="000C70EA">
        <w:rPr>
          <w:rFonts w:asciiTheme="minorHAnsi" w:hAnsiTheme="minorHAnsi" w:cstheme="minorHAnsi"/>
          <w:szCs w:val="24"/>
        </w:rPr>
        <w:t>,</w:t>
      </w:r>
      <w:r w:rsidR="00347E7E" w:rsidRPr="00353650">
        <w:rPr>
          <w:rFonts w:asciiTheme="minorHAnsi" w:hAnsiTheme="minorHAnsi" w:cstheme="minorHAnsi"/>
          <w:szCs w:val="24"/>
        </w:rPr>
        <w:t xml:space="preserve"> inactivity and on various individual characteristics such as gender, age, marital status, level of education, region of residence, and others. Although the EU-LFS has a small longitudinal component (respondents appear in the sample for 5 consecutive quarters), our analysis relies on repeated cross-sections, i.e., without following the same individuals over time (pseudo-panel). Instead, we rely on recall questions about past employment status (employment, unemployment or inactivity) to identify changes in labour market status over time (on a year-to-year basis, based on the annual EU-LFS files). Our sample consists of </w:t>
      </w:r>
      <w:r w:rsidR="005E73F0" w:rsidRPr="00353650">
        <w:rPr>
          <w:rFonts w:asciiTheme="minorHAnsi" w:hAnsiTheme="minorHAnsi" w:cstheme="minorHAnsi"/>
          <w:szCs w:val="24"/>
        </w:rPr>
        <w:t xml:space="preserve">working age </w:t>
      </w:r>
      <w:r w:rsidR="00347E7E" w:rsidRPr="00353650">
        <w:rPr>
          <w:rFonts w:asciiTheme="minorHAnsi" w:hAnsiTheme="minorHAnsi" w:cstheme="minorHAnsi"/>
          <w:szCs w:val="24"/>
        </w:rPr>
        <w:t xml:space="preserve">individuals aged </w:t>
      </w:r>
      <w:r w:rsidR="005E73F0" w:rsidRPr="00353650">
        <w:rPr>
          <w:rFonts w:asciiTheme="minorHAnsi" w:hAnsiTheme="minorHAnsi" w:cstheme="minorHAnsi"/>
          <w:szCs w:val="24"/>
        </w:rPr>
        <w:t xml:space="preserve">between </w:t>
      </w:r>
      <w:r w:rsidR="00347E7E" w:rsidRPr="00353650">
        <w:rPr>
          <w:rFonts w:asciiTheme="minorHAnsi" w:hAnsiTheme="minorHAnsi" w:cstheme="minorHAnsi"/>
          <w:szCs w:val="24"/>
        </w:rPr>
        <w:t xml:space="preserve">15 </w:t>
      </w:r>
      <w:r w:rsidR="005E73F0" w:rsidRPr="00353650">
        <w:rPr>
          <w:rFonts w:asciiTheme="minorHAnsi" w:hAnsiTheme="minorHAnsi" w:cstheme="minorHAnsi"/>
          <w:szCs w:val="24"/>
        </w:rPr>
        <w:t xml:space="preserve">and </w:t>
      </w:r>
      <w:r w:rsidR="00347E7E" w:rsidRPr="00353650">
        <w:rPr>
          <w:rFonts w:asciiTheme="minorHAnsi" w:hAnsiTheme="minorHAnsi" w:cstheme="minorHAnsi"/>
          <w:szCs w:val="24"/>
        </w:rPr>
        <w:t xml:space="preserve">64. </w:t>
      </w:r>
    </w:p>
    <w:p w:rsidR="00AC521E" w:rsidRDefault="00E36164" w:rsidP="00AC521E">
      <w:pPr>
        <w:autoSpaceDE w:val="0"/>
        <w:autoSpaceDN w:val="0"/>
        <w:adjustRightInd w:val="0"/>
        <w:spacing w:before="120" w:after="120" w:line="360" w:lineRule="auto"/>
        <w:rPr>
          <w:rFonts w:asciiTheme="minorHAnsi" w:hAnsiTheme="minorHAnsi" w:cstheme="minorHAnsi"/>
          <w:szCs w:val="24"/>
        </w:rPr>
      </w:pPr>
      <w:r>
        <w:rPr>
          <w:rFonts w:asciiTheme="minorHAnsi" w:hAnsiTheme="minorHAnsi" w:cstheme="minorHAnsi"/>
          <w:szCs w:val="24"/>
        </w:rPr>
        <w:t>I</w:t>
      </w:r>
      <w:r w:rsidR="00347E7E" w:rsidRPr="00353650">
        <w:rPr>
          <w:rFonts w:asciiTheme="minorHAnsi" w:hAnsiTheme="minorHAnsi" w:cstheme="minorHAnsi"/>
          <w:szCs w:val="24"/>
        </w:rPr>
        <w:t xml:space="preserve">n parts of our analysis </w:t>
      </w:r>
      <w:r w:rsidR="005C714C" w:rsidRPr="00353650">
        <w:rPr>
          <w:rFonts w:asciiTheme="minorHAnsi" w:hAnsiTheme="minorHAnsi" w:cstheme="minorHAnsi"/>
          <w:szCs w:val="24"/>
        </w:rPr>
        <w:t xml:space="preserve">we group countries together according to the different social systems / production regimes to which they belong, </w:t>
      </w:r>
      <w:r w:rsidR="007A4EE0">
        <w:rPr>
          <w:rFonts w:asciiTheme="minorHAnsi" w:hAnsiTheme="minorHAnsi" w:cstheme="minorHAnsi"/>
          <w:szCs w:val="24"/>
        </w:rPr>
        <w:t xml:space="preserve">following theoretical classifications from </w:t>
      </w:r>
      <w:r w:rsidR="005C714C" w:rsidRPr="00353650">
        <w:rPr>
          <w:rFonts w:asciiTheme="minorHAnsi" w:hAnsiTheme="minorHAnsi" w:cstheme="minorHAnsi"/>
          <w:szCs w:val="24"/>
        </w:rPr>
        <w:t>the comparative political economy literature (</w:t>
      </w:r>
      <w:proofErr w:type="spellStart"/>
      <w:r w:rsidR="005C714C" w:rsidRPr="00353650">
        <w:rPr>
          <w:rFonts w:asciiTheme="minorHAnsi" w:hAnsiTheme="minorHAnsi" w:cstheme="minorHAnsi"/>
          <w:szCs w:val="24"/>
        </w:rPr>
        <w:t>Esping</w:t>
      </w:r>
      <w:proofErr w:type="spellEnd"/>
      <w:r w:rsidR="005C714C" w:rsidRPr="00353650">
        <w:rPr>
          <w:rFonts w:asciiTheme="minorHAnsi" w:hAnsiTheme="minorHAnsi" w:cstheme="minorHAnsi"/>
          <w:szCs w:val="24"/>
        </w:rPr>
        <w:t xml:space="preserve">-Andersen, 1990; Hall and Soskice, </w:t>
      </w:r>
      <w:r w:rsidR="002E234E" w:rsidRPr="00353650">
        <w:rPr>
          <w:rFonts w:asciiTheme="minorHAnsi" w:hAnsiTheme="minorHAnsi" w:cstheme="minorHAnsi"/>
          <w:szCs w:val="24"/>
        </w:rPr>
        <w:t>2001</w:t>
      </w:r>
      <w:r w:rsidR="005C714C" w:rsidRPr="00353650">
        <w:rPr>
          <w:rFonts w:asciiTheme="minorHAnsi" w:hAnsiTheme="minorHAnsi" w:cstheme="minorHAnsi"/>
          <w:szCs w:val="24"/>
        </w:rPr>
        <w:t>).</w:t>
      </w:r>
      <w:r w:rsidR="00AC521E" w:rsidRPr="00353650">
        <w:rPr>
          <w:rStyle w:val="FootnoteReference"/>
          <w:rFonts w:asciiTheme="minorHAnsi" w:hAnsiTheme="minorHAnsi" w:cstheme="minorHAnsi"/>
          <w:szCs w:val="24"/>
        </w:rPr>
        <w:footnoteReference w:id="2"/>
      </w:r>
      <w:r w:rsidR="005C714C" w:rsidRPr="00353650">
        <w:rPr>
          <w:rFonts w:asciiTheme="minorHAnsi" w:hAnsiTheme="minorHAnsi" w:cstheme="minorHAnsi"/>
          <w:szCs w:val="24"/>
        </w:rPr>
        <w:t xml:space="preserve"> </w:t>
      </w:r>
      <w:r w:rsidR="007A4EE0">
        <w:rPr>
          <w:rFonts w:asciiTheme="minorHAnsi" w:hAnsiTheme="minorHAnsi" w:cstheme="minorHAnsi"/>
          <w:szCs w:val="24"/>
        </w:rPr>
        <w:t xml:space="preserve">Beyond the presentational convenience, this also in order to facilitate some comparisons, and discussion, of transition dynamics across different institutional settings. Our underlying assumption is that </w:t>
      </w:r>
      <w:r>
        <w:rPr>
          <w:rFonts w:asciiTheme="minorHAnsi" w:hAnsiTheme="minorHAnsi" w:cstheme="minorHAnsi"/>
          <w:szCs w:val="24"/>
        </w:rPr>
        <w:t>different regulatory and institutional systems produce</w:t>
      </w:r>
      <w:r w:rsidR="004273C6">
        <w:rPr>
          <w:rFonts w:asciiTheme="minorHAnsi" w:hAnsiTheme="minorHAnsi" w:cstheme="minorHAnsi"/>
          <w:szCs w:val="24"/>
        </w:rPr>
        <w:t xml:space="preserve"> different </w:t>
      </w:r>
      <w:r w:rsidR="004273C6" w:rsidRPr="004273C6">
        <w:rPr>
          <w:rFonts w:asciiTheme="minorHAnsi" w:hAnsiTheme="minorHAnsi" w:cstheme="minorHAnsi"/>
          <w:szCs w:val="24"/>
        </w:rPr>
        <w:t>transitional dynamics in the labour market</w:t>
      </w:r>
      <w:r w:rsidR="004273C6">
        <w:rPr>
          <w:rFonts w:asciiTheme="minorHAnsi" w:hAnsiTheme="minorHAnsi" w:cstheme="minorHAnsi"/>
          <w:szCs w:val="24"/>
        </w:rPr>
        <w:t xml:space="preserve"> – even for a given distribution of initial labour market statuses and external factors influencing labour market outcomes (e.g., domestic demand, international prices, exchange rate fluctuations, etc)</w:t>
      </w:r>
      <w:r w:rsidR="004273C6" w:rsidRPr="004273C6">
        <w:rPr>
          <w:rFonts w:asciiTheme="minorHAnsi" w:hAnsiTheme="minorHAnsi" w:cstheme="minorHAnsi"/>
          <w:szCs w:val="24"/>
        </w:rPr>
        <w:t>.</w:t>
      </w:r>
      <w:r w:rsidR="004273C6">
        <w:rPr>
          <w:rFonts w:asciiTheme="minorHAnsi" w:hAnsiTheme="minorHAnsi" w:cstheme="minorHAnsi"/>
          <w:szCs w:val="24"/>
        </w:rPr>
        <w:t xml:space="preserve"> This is consistent not only with available empirical evidence, as reviewed in section 2.1 (e.g., </w:t>
      </w:r>
      <w:proofErr w:type="spellStart"/>
      <w:r w:rsidR="004273C6">
        <w:rPr>
          <w:rFonts w:asciiTheme="minorHAnsi" w:hAnsiTheme="minorHAnsi" w:cstheme="minorHAnsi"/>
          <w:szCs w:val="24"/>
        </w:rPr>
        <w:t>Petrongolo</w:t>
      </w:r>
      <w:proofErr w:type="spellEnd"/>
      <w:r w:rsidR="004273C6">
        <w:rPr>
          <w:rFonts w:asciiTheme="minorHAnsi" w:hAnsiTheme="minorHAnsi" w:cstheme="minorHAnsi"/>
          <w:szCs w:val="24"/>
        </w:rPr>
        <w:t xml:space="preserve"> and </w:t>
      </w:r>
      <w:proofErr w:type="spellStart"/>
      <w:r w:rsidR="004273C6">
        <w:rPr>
          <w:rFonts w:asciiTheme="minorHAnsi" w:hAnsiTheme="minorHAnsi" w:cstheme="minorHAnsi"/>
          <w:szCs w:val="24"/>
        </w:rPr>
        <w:t>Pissarides</w:t>
      </w:r>
      <w:proofErr w:type="spellEnd"/>
      <w:r w:rsidR="004273C6">
        <w:rPr>
          <w:rFonts w:asciiTheme="minorHAnsi" w:hAnsiTheme="minorHAnsi" w:cstheme="minorHAnsi"/>
          <w:szCs w:val="24"/>
        </w:rPr>
        <w:t xml:space="preserve">, 2008; </w:t>
      </w:r>
      <w:proofErr w:type="spellStart"/>
      <w:r w:rsidR="004273C6">
        <w:rPr>
          <w:rFonts w:asciiTheme="minorHAnsi" w:hAnsiTheme="minorHAnsi" w:cstheme="minorHAnsi"/>
          <w:szCs w:val="24"/>
        </w:rPr>
        <w:t>Cazes</w:t>
      </w:r>
      <w:proofErr w:type="spellEnd"/>
      <w:r w:rsidR="004273C6">
        <w:rPr>
          <w:rFonts w:asciiTheme="minorHAnsi" w:hAnsiTheme="minorHAnsi" w:cstheme="minorHAnsi"/>
          <w:szCs w:val="24"/>
        </w:rPr>
        <w:t xml:space="preserve"> et al, 2013), but also with economic models of the labour market</w:t>
      </w:r>
      <w:r w:rsidR="00516A2D">
        <w:rPr>
          <w:rFonts w:asciiTheme="minorHAnsi" w:hAnsiTheme="minorHAnsi" w:cstheme="minorHAnsi"/>
          <w:szCs w:val="24"/>
        </w:rPr>
        <w:t xml:space="preserve"> (see, inter alia, Boeri and van Ours, 2013).</w:t>
      </w:r>
    </w:p>
    <w:p w:rsidR="001D6366" w:rsidRDefault="00516A2D" w:rsidP="001D6366">
      <w:pPr>
        <w:autoSpaceDE w:val="0"/>
        <w:autoSpaceDN w:val="0"/>
        <w:adjustRightInd w:val="0"/>
        <w:spacing w:before="120" w:after="120" w:line="360" w:lineRule="auto"/>
        <w:rPr>
          <w:rFonts w:asciiTheme="minorHAnsi" w:hAnsiTheme="minorHAnsi" w:cstheme="minorHAnsi"/>
          <w:szCs w:val="24"/>
        </w:rPr>
      </w:pPr>
      <w:r>
        <w:rPr>
          <w:rFonts w:asciiTheme="minorHAnsi" w:hAnsiTheme="minorHAnsi" w:cstheme="minorHAnsi"/>
          <w:szCs w:val="24"/>
        </w:rPr>
        <w:lastRenderedPageBreak/>
        <w:t xml:space="preserve">Adoption of such classifications reflects the view that it is not specific labour market institutions that can singularly account for differences in the extent of labour market flexibility (on the wider point about this, see Monastiriotis, 2007) but that it is rather the combination of institutions, as embodied into national ‘varieties’ of employment relations that allows more, or less, ‘fluid’ transitions across labour market statuses. We can demonstrate this with two examples. </w:t>
      </w:r>
      <w:r w:rsidR="005C4246">
        <w:rPr>
          <w:rFonts w:asciiTheme="minorHAnsi" w:hAnsiTheme="minorHAnsi" w:cstheme="minorHAnsi"/>
          <w:szCs w:val="24"/>
        </w:rPr>
        <w:t xml:space="preserve">Stringent regulations </w:t>
      </w:r>
      <w:r w:rsidR="00D50C57">
        <w:rPr>
          <w:rFonts w:asciiTheme="minorHAnsi" w:hAnsiTheme="minorHAnsi" w:cstheme="minorHAnsi"/>
          <w:szCs w:val="24"/>
        </w:rPr>
        <w:t xml:space="preserve">for temporary employment contracts </w:t>
      </w:r>
      <w:r w:rsidR="005C4246">
        <w:rPr>
          <w:rFonts w:asciiTheme="minorHAnsi" w:hAnsiTheme="minorHAnsi" w:cstheme="minorHAnsi"/>
          <w:szCs w:val="24"/>
        </w:rPr>
        <w:t>(</w:t>
      </w:r>
      <w:r w:rsidR="00D50C57">
        <w:rPr>
          <w:rFonts w:asciiTheme="minorHAnsi" w:hAnsiTheme="minorHAnsi" w:cstheme="minorHAnsi"/>
          <w:szCs w:val="24"/>
        </w:rPr>
        <w:t>e.g., as measured by the OECD EPL-temp index</w:t>
      </w:r>
      <w:r>
        <w:rPr>
          <w:rFonts w:asciiTheme="minorHAnsi" w:hAnsiTheme="minorHAnsi" w:cstheme="minorHAnsi"/>
          <w:szCs w:val="24"/>
        </w:rPr>
        <w:t xml:space="preserve">) </w:t>
      </w:r>
      <w:r w:rsidR="005C4246">
        <w:rPr>
          <w:rFonts w:asciiTheme="minorHAnsi" w:hAnsiTheme="minorHAnsi" w:cstheme="minorHAnsi"/>
          <w:szCs w:val="24"/>
        </w:rPr>
        <w:t xml:space="preserve">are known to reduce </w:t>
      </w:r>
      <w:r w:rsidR="00C57531">
        <w:rPr>
          <w:rFonts w:asciiTheme="minorHAnsi" w:hAnsiTheme="minorHAnsi" w:cstheme="minorHAnsi"/>
          <w:szCs w:val="24"/>
        </w:rPr>
        <w:t xml:space="preserve">both </w:t>
      </w:r>
      <w:r w:rsidR="005C4246">
        <w:rPr>
          <w:rFonts w:asciiTheme="minorHAnsi" w:hAnsiTheme="minorHAnsi" w:cstheme="minorHAnsi"/>
          <w:szCs w:val="24"/>
        </w:rPr>
        <w:t xml:space="preserve">the </w:t>
      </w:r>
      <w:r w:rsidR="00C57531">
        <w:rPr>
          <w:rFonts w:asciiTheme="minorHAnsi" w:hAnsiTheme="minorHAnsi" w:cstheme="minorHAnsi"/>
          <w:szCs w:val="24"/>
        </w:rPr>
        <w:t xml:space="preserve">inflows into employment and </w:t>
      </w:r>
      <w:r w:rsidR="005C4246">
        <w:rPr>
          <w:rFonts w:asciiTheme="minorHAnsi" w:hAnsiTheme="minorHAnsi" w:cstheme="minorHAnsi"/>
          <w:szCs w:val="24"/>
        </w:rPr>
        <w:t xml:space="preserve">the </w:t>
      </w:r>
      <w:r w:rsidR="00C57531">
        <w:rPr>
          <w:rFonts w:asciiTheme="minorHAnsi" w:hAnsiTheme="minorHAnsi" w:cstheme="minorHAnsi"/>
          <w:szCs w:val="24"/>
        </w:rPr>
        <w:t>outflows from unemployment</w:t>
      </w:r>
      <w:r w:rsidR="005C4246">
        <w:rPr>
          <w:rFonts w:asciiTheme="minorHAnsi" w:hAnsiTheme="minorHAnsi" w:cstheme="minorHAnsi"/>
          <w:szCs w:val="24"/>
        </w:rPr>
        <w:t xml:space="preserve"> and thus the overall fluidity of labour market transitions (Sala et al, 2012)</w:t>
      </w:r>
      <w:r w:rsidR="00D50C57">
        <w:rPr>
          <w:rFonts w:asciiTheme="minorHAnsi" w:hAnsiTheme="minorHAnsi" w:cstheme="minorHAnsi"/>
          <w:szCs w:val="24"/>
        </w:rPr>
        <w:t xml:space="preserve">. On the other hand, stricter regulations for permanent contracts </w:t>
      </w:r>
      <w:r w:rsidR="00AC521E">
        <w:rPr>
          <w:rFonts w:asciiTheme="minorHAnsi" w:hAnsiTheme="minorHAnsi" w:cstheme="minorHAnsi"/>
          <w:szCs w:val="24"/>
        </w:rPr>
        <w:t>have been shown instead to raise the incidence of temporary jobs and thus to contribute to larger flows between employment and unemployment (</w:t>
      </w:r>
      <w:proofErr w:type="spellStart"/>
      <w:r w:rsidR="00AC521E">
        <w:rPr>
          <w:rFonts w:asciiTheme="minorHAnsi" w:hAnsiTheme="minorHAnsi" w:cstheme="minorHAnsi"/>
          <w:szCs w:val="24"/>
        </w:rPr>
        <w:t>Hijzen</w:t>
      </w:r>
      <w:proofErr w:type="spellEnd"/>
      <w:r w:rsidR="00AC521E">
        <w:rPr>
          <w:rFonts w:asciiTheme="minorHAnsi" w:hAnsiTheme="minorHAnsi" w:cstheme="minorHAnsi"/>
          <w:szCs w:val="24"/>
        </w:rPr>
        <w:t xml:space="preserve"> et al, 2017). </w:t>
      </w:r>
      <w:r w:rsidR="00D50C57" w:rsidRPr="00D50C57">
        <w:rPr>
          <w:rFonts w:asciiTheme="minorHAnsi" w:hAnsiTheme="minorHAnsi" w:cstheme="minorHAnsi"/>
          <w:szCs w:val="24"/>
        </w:rPr>
        <w:t xml:space="preserve">Instead, the generosity of unemployment benefits, especially with regard to their eligibility duration, </w:t>
      </w:r>
      <w:r w:rsidR="00D50C57">
        <w:rPr>
          <w:rFonts w:asciiTheme="minorHAnsi" w:hAnsiTheme="minorHAnsi" w:cstheme="minorHAnsi"/>
          <w:szCs w:val="24"/>
        </w:rPr>
        <w:t>is</w:t>
      </w:r>
      <w:r w:rsidR="00D50C57" w:rsidRPr="00D50C57">
        <w:rPr>
          <w:rFonts w:asciiTheme="minorHAnsi" w:hAnsiTheme="minorHAnsi" w:cstheme="minorHAnsi"/>
          <w:szCs w:val="24"/>
        </w:rPr>
        <w:t xml:space="preserve"> </w:t>
      </w:r>
      <w:r w:rsidR="00D50C57">
        <w:rPr>
          <w:rFonts w:asciiTheme="minorHAnsi" w:hAnsiTheme="minorHAnsi" w:cstheme="minorHAnsi"/>
          <w:szCs w:val="24"/>
        </w:rPr>
        <w:t>known to contribute to lower exits from unemployment, but to more successful ones</w:t>
      </w:r>
      <w:r w:rsidR="00AC521E">
        <w:rPr>
          <w:rFonts w:asciiTheme="minorHAnsi" w:hAnsiTheme="minorHAnsi" w:cstheme="minorHAnsi"/>
          <w:szCs w:val="24"/>
        </w:rPr>
        <w:t xml:space="preserve">, with the implication that it also contributes to </w:t>
      </w:r>
      <w:r w:rsidR="00D50C57">
        <w:rPr>
          <w:rFonts w:asciiTheme="minorHAnsi" w:hAnsiTheme="minorHAnsi" w:cstheme="minorHAnsi"/>
          <w:szCs w:val="24"/>
        </w:rPr>
        <w:t>lower exits into inactivity (</w:t>
      </w:r>
      <w:proofErr w:type="spellStart"/>
      <w:r w:rsidR="00D50C57">
        <w:rPr>
          <w:rFonts w:asciiTheme="minorHAnsi" w:hAnsiTheme="minorHAnsi" w:cstheme="minorHAnsi"/>
          <w:szCs w:val="24"/>
        </w:rPr>
        <w:t>Marinescu</w:t>
      </w:r>
      <w:proofErr w:type="spellEnd"/>
      <w:r w:rsidR="00D50C57">
        <w:rPr>
          <w:rFonts w:asciiTheme="minorHAnsi" w:hAnsiTheme="minorHAnsi" w:cstheme="minorHAnsi"/>
          <w:szCs w:val="24"/>
        </w:rPr>
        <w:t>, 2017).</w:t>
      </w:r>
      <w:r w:rsidR="00AC521E">
        <w:rPr>
          <w:rFonts w:asciiTheme="minorHAnsi" w:hAnsiTheme="minorHAnsi" w:cstheme="minorHAnsi"/>
          <w:szCs w:val="24"/>
        </w:rPr>
        <w:t xml:space="preserve"> Our data and focus do not allow us to examine in any appropriate depth the specific link between observed labour market transitions and the specific regulations and institutions governing each labour market in the EU. Instead, our focus is with broad categories of institutional models, as identified in the literature. From these, we can draw some prior expectations, for example that </w:t>
      </w:r>
      <w:r w:rsidR="00D50C57">
        <w:rPr>
          <w:rFonts w:asciiTheme="minorHAnsi" w:hAnsiTheme="minorHAnsi" w:cstheme="minorHAnsi"/>
          <w:szCs w:val="24"/>
        </w:rPr>
        <w:t xml:space="preserve">labour market transitions </w:t>
      </w:r>
      <w:r w:rsidR="00AC521E">
        <w:rPr>
          <w:rFonts w:asciiTheme="minorHAnsi" w:hAnsiTheme="minorHAnsi" w:cstheme="minorHAnsi"/>
          <w:szCs w:val="24"/>
        </w:rPr>
        <w:t xml:space="preserve">will be </w:t>
      </w:r>
      <w:r w:rsidR="00D50C57">
        <w:rPr>
          <w:rFonts w:asciiTheme="minorHAnsi" w:hAnsiTheme="minorHAnsi" w:cstheme="minorHAnsi"/>
          <w:szCs w:val="24"/>
        </w:rPr>
        <w:t xml:space="preserve">higher in </w:t>
      </w:r>
      <w:r w:rsidR="00AC521E">
        <w:rPr>
          <w:rFonts w:asciiTheme="minorHAnsi" w:hAnsiTheme="minorHAnsi" w:cstheme="minorHAnsi"/>
          <w:szCs w:val="24"/>
        </w:rPr>
        <w:t>systems with relatively low</w:t>
      </w:r>
      <w:r w:rsidR="00D50C57">
        <w:rPr>
          <w:rFonts w:asciiTheme="minorHAnsi" w:hAnsiTheme="minorHAnsi" w:cstheme="minorHAnsi"/>
          <w:szCs w:val="24"/>
        </w:rPr>
        <w:t xml:space="preserve"> levels of protection for temporary contracts but generous unemployment insurance (</w:t>
      </w:r>
      <w:r w:rsidR="00AC521E">
        <w:rPr>
          <w:rFonts w:asciiTheme="minorHAnsi" w:hAnsiTheme="minorHAnsi" w:cstheme="minorHAnsi"/>
          <w:szCs w:val="24"/>
        </w:rPr>
        <w:t>closer to the Nordic or flexicurity model</w:t>
      </w:r>
      <w:r w:rsidR="00D50C57">
        <w:rPr>
          <w:rFonts w:asciiTheme="minorHAnsi" w:hAnsiTheme="minorHAnsi" w:cstheme="minorHAnsi"/>
          <w:szCs w:val="24"/>
        </w:rPr>
        <w:t>)</w:t>
      </w:r>
      <w:r w:rsidR="00AC521E">
        <w:rPr>
          <w:rFonts w:asciiTheme="minorHAnsi" w:hAnsiTheme="minorHAnsi" w:cstheme="minorHAnsi"/>
          <w:szCs w:val="24"/>
        </w:rPr>
        <w:t xml:space="preserve"> and lower in systems characterised by rigid regulations (high EPL-temp) and poor unemployment insurance (such as those observed in the Mediterranean). </w:t>
      </w:r>
      <w:r w:rsidR="00A75589">
        <w:rPr>
          <w:rFonts w:asciiTheme="minorHAnsi" w:hAnsiTheme="minorHAnsi" w:cstheme="minorHAnsi"/>
          <w:szCs w:val="24"/>
        </w:rPr>
        <w:t xml:space="preserve">We examine these expectations in the analysis that follows in sections 3 and 4. </w:t>
      </w:r>
    </w:p>
    <w:p w:rsidR="001D6366" w:rsidRDefault="001D6366" w:rsidP="001D6366">
      <w:pPr>
        <w:autoSpaceDE w:val="0"/>
        <w:autoSpaceDN w:val="0"/>
        <w:adjustRightInd w:val="0"/>
        <w:spacing w:before="120" w:after="120" w:line="360" w:lineRule="auto"/>
        <w:rPr>
          <w:rFonts w:asciiTheme="minorHAnsi" w:hAnsiTheme="minorHAnsi" w:cstheme="minorHAnsi"/>
          <w:szCs w:val="24"/>
        </w:rPr>
      </w:pPr>
    </w:p>
    <w:p w:rsidR="00347E7E" w:rsidRPr="00353650" w:rsidRDefault="00347E7E" w:rsidP="001D6366">
      <w:pPr>
        <w:autoSpaceDE w:val="0"/>
        <w:autoSpaceDN w:val="0"/>
        <w:adjustRightInd w:val="0"/>
        <w:spacing w:before="120" w:after="120" w:line="360" w:lineRule="auto"/>
        <w:rPr>
          <w:rFonts w:asciiTheme="minorHAnsi" w:hAnsiTheme="minorHAnsi" w:cstheme="minorHAnsi"/>
          <w:szCs w:val="24"/>
        </w:rPr>
      </w:pPr>
      <w:r w:rsidRPr="00353650">
        <w:rPr>
          <w:rFonts w:asciiTheme="minorHAnsi" w:hAnsiTheme="minorHAnsi" w:cstheme="minorHAnsi"/>
          <w:szCs w:val="24"/>
        </w:rPr>
        <w:t xml:space="preserve">Our analysis covers the period </w:t>
      </w:r>
      <w:r w:rsidR="005E1893" w:rsidRPr="00353650">
        <w:rPr>
          <w:rFonts w:asciiTheme="minorHAnsi" w:hAnsiTheme="minorHAnsi" w:cstheme="minorHAnsi"/>
          <w:szCs w:val="24"/>
        </w:rPr>
        <w:t xml:space="preserve">from 2004, well before the eruption of the global financial crisis, to 2016 (the latest year available in our data), when the European economy had broadly speaking recovered fully from the crisis. To look closer at the different episodes of the crisis, in parts of </w:t>
      </w:r>
      <w:r w:rsidRPr="00353650">
        <w:rPr>
          <w:rFonts w:asciiTheme="minorHAnsi" w:hAnsiTheme="minorHAnsi" w:cstheme="minorHAnsi"/>
          <w:szCs w:val="24"/>
        </w:rPr>
        <w:t xml:space="preserve">the </w:t>
      </w:r>
      <w:r w:rsidRPr="00353650">
        <w:rPr>
          <w:rFonts w:asciiTheme="minorHAnsi" w:hAnsiTheme="minorHAnsi" w:cstheme="minorHAnsi"/>
          <w:noProof/>
          <w:szCs w:val="24"/>
        </w:rPr>
        <w:t>analysis</w:t>
      </w:r>
      <w:r w:rsidRPr="00353650">
        <w:rPr>
          <w:rFonts w:asciiTheme="minorHAnsi" w:hAnsiTheme="minorHAnsi" w:cstheme="minorHAnsi"/>
          <w:szCs w:val="24"/>
        </w:rPr>
        <w:t xml:space="preserve"> we </w:t>
      </w:r>
      <w:r w:rsidR="005E1893" w:rsidRPr="00353650">
        <w:rPr>
          <w:rFonts w:asciiTheme="minorHAnsi" w:hAnsiTheme="minorHAnsi" w:cstheme="minorHAnsi"/>
          <w:szCs w:val="24"/>
        </w:rPr>
        <w:t xml:space="preserve">pool the annual information into </w:t>
      </w:r>
      <w:r w:rsidRPr="00353650">
        <w:rPr>
          <w:rFonts w:asciiTheme="minorHAnsi" w:hAnsiTheme="minorHAnsi" w:cstheme="minorHAnsi"/>
          <w:szCs w:val="24"/>
        </w:rPr>
        <w:t>three sub-periods</w:t>
      </w:r>
      <w:r w:rsidR="005E1893" w:rsidRPr="00353650">
        <w:rPr>
          <w:rFonts w:asciiTheme="minorHAnsi" w:hAnsiTheme="minorHAnsi" w:cstheme="minorHAnsi"/>
          <w:szCs w:val="24"/>
        </w:rPr>
        <w:t xml:space="preserve"> representing pre-crisis (</w:t>
      </w:r>
      <w:r w:rsidRPr="00353650">
        <w:rPr>
          <w:rFonts w:asciiTheme="minorHAnsi" w:hAnsiTheme="minorHAnsi" w:cstheme="minorHAnsi"/>
          <w:szCs w:val="24"/>
        </w:rPr>
        <w:t>2004</w:t>
      </w:r>
      <w:r w:rsidR="005E1893" w:rsidRPr="00353650">
        <w:rPr>
          <w:rFonts w:asciiTheme="minorHAnsi" w:hAnsiTheme="minorHAnsi" w:cstheme="minorHAnsi"/>
          <w:szCs w:val="24"/>
        </w:rPr>
        <w:t>-20</w:t>
      </w:r>
      <w:r w:rsidRPr="00353650">
        <w:rPr>
          <w:rFonts w:asciiTheme="minorHAnsi" w:hAnsiTheme="minorHAnsi" w:cstheme="minorHAnsi"/>
          <w:szCs w:val="24"/>
        </w:rPr>
        <w:t>08</w:t>
      </w:r>
      <w:r w:rsidR="005E1893" w:rsidRPr="00353650">
        <w:rPr>
          <w:rFonts w:asciiTheme="minorHAnsi" w:hAnsiTheme="minorHAnsi" w:cstheme="minorHAnsi"/>
          <w:szCs w:val="24"/>
        </w:rPr>
        <w:t>)</w:t>
      </w:r>
      <w:r w:rsidRPr="00353650">
        <w:rPr>
          <w:rFonts w:asciiTheme="minorHAnsi" w:hAnsiTheme="minorHAnsi" w:cstheme="minorHAnsi"/>
          <w:szCs w:val="24"/>
        </w:rPr>
        <w:t xml:space="preserve">, </w:t>
      </w:r>
      <w:r w:rsidR="005E1893" w:rsidRPr="00353650">
        <w:rPr>
          <w:rFonts w:asciiTheme="minorHAnsi" w:hAnsiTheme="minorHAnsi" w:cstheme="minorHAnsi"/>
          <w:szCs w:val="24"/>
        </w:rPr>
        <w:t>crisis (</w:t>
      </w:r>
      <w:r w:rsidRPr="00353650">
        <w:rPr>
          <w:rFonts w:asciiTheme="minorHAnsi" w:hAnsiTheme="minorHAnsi" w:cstheme="minorHAnsi"/>
          <w:szCs w:val="24"/>
        </w:rPr>
        <w:t>2009</w:t>
      </w:r>
      <w:r w:rsidR="005E1893" w:rsidRPr="00353650">
        <w:rPr>
          <w:rFonts w:asciiTheme="minorHAnsi" w:hAnsiTheme="minorHAnsi" w:cstheme="minorHAnsi"/>
          <w:szCs w:val="24"/>
        </w:rPr>
        <w:t>-20</w:t>
      </w:r>
      <w:r w:rsidRPr="00353650">
        <w:rPr>
          <w:rFonts w:asciiTheme="minorHAnsi" w:hAnsiTheme="minorHAnsi" w:cstheme="minorHAnsi"/>
          <w:szCs w:val="24"/>
        </w:rPr>
        <w:t>13</w:t>
      </w:r>
      <w:r w:rsidR="005E1893" w:rsidRPr="00353650">
        <w:rPr>
          <w:rFonts w:asciiTheme="minorHAnsi" w:hAnsiTheme="minorHAnsi" w:cstheme="minorHAnsi"/>
          <w:szCs w:val="24"/>
        </w:rPr>
        <w:t>)</w:t>
      </w:r>
      <w:r w:rsidRPr="00353650">
        <w:rPr>
          <w:rFonts w:asciiTheme="minorHAnsi" w:hAnsiTheme="minorHAnsi" w:cstheme="minorHAnsi"/>
          <w:szCs w:val="24"/>
        </w:rPr>
        <w:t xml:space="preserve"> and </w:t>
      </w:r>
      <w:r w:rsidR="005E1893" w:rsidRPr="00353650">
        <w:rPr>
          <w:rFonts w:asciiTheme="minorHAnsi" w:hAnsiTheme="minorHAnsi" w:cstheme="minorHAnsi"/>
          <w:szCs w:val="24"/>
        </w:rPr>
        <w:t>recovery (</w:t>
      </w:r>
      <w:r w:rsidRPr="00353650">
        <w:rPr>
          <w:rFonts w:asciiTheme="minorHAnsi" w:hAnsiTheme="minorHAnsi" w:cstheme="minorHAnsi"/>
          <w:szCs w:val="24"/>
        </w:rPr>
        <w:t>2014</w:t>
      </w:r>
      <w:r w:rsidR="005E1893" w:rsidRPr="00353650">
        <w:rPr>
          <w:rFonts w:asciiTheme="minorHAnsi" w:hAnsiTheme="minorHAnsi" w:cstheme="minorHAnsi"/>
          <w:szCs w:val="24"/>
        </w:rPr>
        <w:t>-20</w:t>
      </w:r>
      <w:r w:rsidRPr="00353650">
        <w:rPr>
          <w:rFonts w:asciiTheme="minorHAnsi" w:hAnsiTheme="minorHAnsi" w:cstheme="minorHAnsi"/>
          <w:szCs w:val="24"/>
        </w:rPr>
        <w:t>16</w:t>
      </w:r>
      <w:r w:rsidR="005E1893" w:rsidRPr="00353650">
        <w:rPr>
          <w:rFonts w:asciiTheme="minorHAnsi" w:hAnsiTheme="minorHAnsi" w:cstheme="minorHAnsi"/>
          <w:szCs w:val="24"/>
        </w:rPr>
        <w:t>)</w:t>
      </w:r>
      <w:r w:rsidRPr="00353650">
        <w:rPr>
          <w:rFonts w:asciiTheme="minorHAnsi" w:hAnsiTheme="minorHAnsi" w:cstheme="minorHAnsi"/>
          <w:szCs w:val="24"/>
        </w:rPr>
        <w:t>. The</w:t>
      </w:r>
      <w:r w:rsidR="00C92A43" w:rsidRPr="00353650">
        <w:rPr>
          <w:rFonts w:asciiTheme="minorHAnsi" w:hAnsiTheme="minorHAnsi" w:cstheme="minorHAnsi"/>
          <w:szCs w:val="24"/>
        </w:rPr>
        <w:t>se</w:t>
      </w:r>
      <w:r w:rsidRPr="00353650">
        <w:rPr>
          <w:rFonts w:asciiTheme="minorHAnsi" w:hAnsiTheme="minorHAnsi" w:cstheme="minorHAnsi"/>
          <w:szCs w:val="24"/>
        </w:rPr>
        <w:t xml:space="preserve"> sub-periods are consistent with the peak-trough dates </w:t>
      </w:r>
      <w:r w:rsidR="00C92A43" w:rsidRPr="00353650">
        <w:rPr>
          <w:rFonts w:asciiTheme="minorHAnsi" w:hAnsiTheme="minorHAnsi" w:cstheme="minorHAnsi"/>
          <w:szCs w:val="24"/>
        </w:rPr>
        <w:t xml:space="preserve">of European unemployment as depicted earlier in Figure 1. </w:t>
      </w:r>
    </w:p>
    <w:p w:rsidR="003B68BC" w:rsidRPr="00353650" w:rsidRDefault="007B0724" w:rsidP="00FA3F88">
      <w:pPr>
        <w:spacing w:before="120" w:after="120" w:line="360" w:lineRule="auto"/>
        <w:rPr>
          <w:rFonts w:asciiTheme="minorHAnsi" w:hAnsiTheme="minorHAnsi" w:cstheme="minorHAnsi"/>
          <w:szCs w:val="24"/>
        </w:rPr>
      </w:pPr>
      <w:r w:rsidRPr="00353650">
        <w:rPr>
          <w:rFonts w:asciiTheme="minorHAnsi" w:hAnsiTheme="minorHAnsi" w:cstheme="minorHAnsi"/>
          <w:szCs w:val="24"/>
        </w:rPr>
        <w:lastRenderedPageBreak/>
        <w:t>To examine labour market transitions, we focus on three key labour market ‘states’, namely employment, unemployment and inactivity.</w:t>
      </w:r>
      <w:r w:rsidRPr="00353650">
        <w:rPr>
          <w:rStyle w:val="FootnoteReference"/>
          <w:rFonts w:asciiTheme="minorHAnsi" w:hAnsiTheme="minorHAnsi" w:cstheme="minorHAnsi"/>
          <w:szCs w:val="24"/>
        </w:rPr>
        <w:footnoteReference w:id="3"/>
      </w:r>
      <w:r w:rsidRPr="00353650">
        <w:rPr>
          <w:rFonts w:asciiTheme="minorHAnsi" w:hAnsiTheme="minorHAnsi" w:cstheme="minorHAnsi"/>
          <w:szCs w:val="24"/>
        </w:rPr>
        <w:t xml:space="preserve"> </w:t>
      </w:r>
      <w:r w:rsidR="00904448" w:rsidRPr="00353650">
        <w:rPr>
          <w:rFonts w:asciiTheme="minorHAnsi" w:hAnsiTheme="minorHAnsi" w:cstheme="minorHAnsi"/>
          <w:szCs w:val="24"/>
        </w:rPr>
        <w:t xml:space="preserve">We define a </w:t>
      </w:r>
      <w:r w:rsidR="003B68BC" w:rsidRPr="00353650">
        <w:rPr>
          <w:rFonts w:asciiTheme="minorHAnsi" w:hAnsiTheme="minorHAnsi" w:cstheme="minorHAnsi"/>
          <w:i/>
          <w:szCs w:val="24"/>
        </w:rPr>
        <w:t>labour market transition</w:t>
      </w:r>
      <w:r w:rsidR="003B68BC" w:rsidRPr="00353650">
        <w:rPr>
          <w:rFonts w:asciiTheme="minorHAnsi" w:hAnsiTheme="minorHAnsi" w:cstheme="minorHAnsi"/>
          <w:szCs w:val="24"/>
        </w:rPr>
        <w:t xml:space="preserve"> </w:t>
      </w:r>
      <w:r w:rsidR="00904448" w:rsidRPr="00353650">
        <w:rPr>
          <w:rFonts w:asciiTheme="minorHAnsi" w:hAnsiTheme="minorHAnsi" w:cstheme="minorHAnsi"/>
          <w:szCs w:val="24"/>
        </w:rPr>
        <w:t>a</w:t>
      </w:r>
      <w:r w:rsidR="003B68BC" w:rsidRPr="00353650">
        <w:rPr>
          <w:rFonts w:asciiTheme="minorHAnsi" w:hAnsiTheme="minorHAnsi" w:cstheme="minorHAnsi"/>
          <w:szCs w:val="24"/>
        </w:rPr>
        <w:t xml:space="preserve">s a move, for any individual, from any one of these states to another over a period of two subsequent years. Based on these transitions, we can calculate the </w:t>
      </w:r>
      <w:r w:rsidR="003B68BC" w:rsidRPr="00353650">
        <w:rPr>
          <w:rFonts w:asciiTheme="minorHAnsi" w:hAnsiTheme="minorHAnsi" w:cstheme="minorHAnsi"/>
          <w:i/>
          <w:szCs w:val="24"/>
        </w:rPr>
        <w:t>transition probability</w:t>
      </w:r>
      <w:r w:rsidR="003B68BC" w:rsidRPr="00353650">
        <w:rPr>
          <w:rFonts w:asciiTheme="minorHAnsi" w:hAnsiTheme="minorHAnsi" w:cstheme="minorHAnsi"/>
          <w:szCs w:val="24"/>
        </w:rPr>
        <w:t xml:space="preserve"> </w:t>
      </w:r>
      <w:r w:rsidR="00904448" w:rsidRPr="00353650">
        <w:rPr>
          <w:rFonts w:asciiTheme="minorHAnsi" w:hAnsiTheme="minorHAnsi" w:cstheme="minorHAnsi"/>
          <w:szCs w:val="24"/>
        </w:rPr>
        <w:t>(</w:t>
      </w:r>
      <w:proofErr w:type="spellStart"/>
      <w:r w:rsidR="00904448" w:rsidRPr="00353650">
        <w:rPr>
          <w:rFonts w:asciiTheme="minorHAnsi" w:hAnsiTheme="minorHAnsi" w:cstheme="minorHAnsi"/>
          <w:i/>
          <w:szCs w:val="24"/>
        </w:rPr>
        <w:t>P</w:t>
      </w:r>
      <w:r w:rsidR="00904448" w:rsidRPr="00353650">
        <w:rPr>
          <w:rFonts w:asciiTheme="minorHAnsi" w:hAnsiTheme="minorHAnsi" w:cstheme="minorHAnsi"/>
          <w:i/>
          <w:szCs w:val="24"/>
          <w:vertAlign w:val="subscript"/>
        </w:rPr>
        <w:t>t</w:t>
      </w:r>
      <w:r w:rsidR="00904448" w:rsidRPr="00353650">
        <w:rPr>
          <w:rFonts w:asciiTheme="minorHAnsi" w:hAnsiTheme="minorHAnsi" w:cstheme="minorHAnsi"/>
          <w:i/>
          <w:szCs w:val="24"/>
          <w:vertAlign w:val="superscript"/>
        </w:rPr>
        <w:t>AB</w:t>
      </w:r>
      <w:proofErr w:type="spellEnd"/>
      <w:r w:rsidR="00904448" w:rsidRPr="00353650">
        <w:rPr>
          <w:rFonts w:asciiTheme="minorHAnsi" w:hAnsiTheme="minorHAnsi" w:cstheme="minorHAnsi"/>
          <w:szCs w:val="24"/>
        </w:rPr>
        <w:t xml:space="preserve">) </w:t>
      </w:r>
      <w:r w:rsidR="003B68BC" w:rsidRPr="00353650">
        <w:rPr>
          <w:rFonts w:asciiTheme="minorHAnsi" w:hAnsiTheme="minorHAnsi" w:cstheme="minorHAnsi"/>
          <w:szCs w:val="24"/>
        </w:rPr>
        <w:t>between any two states (</w:t>
      </w:r>
      <w:r w:rsidR="003B68BC" w:rsidRPr="00353650">
        <w:rPr>
          <w:rFonts w:asciiTheme="minorHAnsi" w:hAnsiTheme="minorHAnsi" w:cstheme="minorHAnsi"/>
          <w:i/>
          <w:szCs w:val="24"/>
        </w:rPr>
        <w:t>A</w:t>
      </w:r>
      <w:r w:rsidR="003B68BC" w:rsidRPr="00353650">
        <w:rPr>
          <w:rFonts w:asciiTheme="minorHAnsi" w:hAnsiTheme="minorHAnsi" w:cstheme="minorHAnsi"/>
          <w:szCs w:val="24"/>
        </w:rPr>
        <w:t xml:space="preserve"> and </w:t>
      </w:r>
      <w:r w:rsidR="003B68BC" w:rsidRPr="00353650">
        <w:rPr>
          <w:rFonts w:asciiTheme="minorHAnsi" w:hAnsiTheme="minorHAnsi" w:cstheme="minorHAnsi"/>
          <w:i/>
          <w:szCs w:val="24"/>
        </w:rPr>
        <w:t>B</w:t>
      </w:r>
      <w:r w:rsidR="003B68BC" w:rsidRPr="00353650">
        <w:rPr>
          <w:rFonts w:asciiTheme="minorHAnsi" w:hAnsiTheme="minorHAnsi" w:cstheme="minorHAnsi"/>
          <w:szCs w:val="24"/>
        </w:rPr>
        <w:t xml:space="preserve">) as the number of individuals transitioning from state </w:t>
      </w:r>
      <w:r w:rsidR="003B68BC" w:rsidRPr="00353650">
        <w:rPr>
          <w:rFonts w:asciiTheme="minorHAnsi" w:hAnsiTheme="minorHAnsi" w:cstheme="minorHAnsi"/>
          <w:i/>
          <w:szCs w:val="24"/>
        </w:rPr>
        <w:t>A</w:t>
      </w:r>
      <w:r w:rsidR="003B68BC" w:rsidRPr="00353650">
        <w:rPr>
          <w:rFonts w:asciiTheme="minorHAnsi" w:hAnsiTheme="minorHAnsi" w:cstheme="minorHAnsi"/>
          <w:szCs w:val="24"/>
        </w:rPr>
        <w:t xml:space="preserve"> to state </w:t>
      </w:r>
      <w:r w:rsidR="003B68BC" w:rsidRPr="00353650">
        <w:rPr>
          <w:rFonts w:asciiTheme="minorHAnsi" w:hAnsiTheme="minorHAnsi" w:cstheme="minorHAnsi"/>
          <w:i/>
          <w:szCs w:val="24"/>
        </w:rPr>
        <w:t>B</w:t>
      </w:r>
      <w:r w:rsidR="003B68BC" w:rsidRPr="00353650">
        <w:rPr>
          <w:rFonts w:asciiTheme="minorHAnsi" w:hAnsiTheme="minorHAnsi" w:cstheme="minorHAnsi"/>
          <w:szCs w:val="24"/>
        </w:rPr>
        <w:t xml:space="preserve"> between years </w:t>
      </w:r>
      <w:r w:rsidR="003B68BC" w:rsidRPr="00353650">
        <w:rPr>
          <w:rFonts w:asciiTheme="minorHAnsi" w:hAnsiTheme="minorHAnsi" w:cstheme="minorHAnsi"/>
          <w:i/>
          <w:szCs w:val="24"/>
        </w:rPr>
        <w:t>t</w:t>
      </w:r>
      <w:r w:rsidR="00904448" w:rsidRPr="00353650">
        <w:rPr>
          <w:rFonts w:asciiTheme="minorHAnsi" w:hAnsiTheme="minorHAnsi" w:cstheme="minorHAnsi"/>
          <w:i/>
          <w:szCs w:val="24"/>
        </w:rPr>
        <w:t>-1</w:t>
      </w:r>
      <w:r w:rsidR="003B68BC" w:rsidRPr="00353650">
        <w:rPr>
          <w:rFonts w:asciiTheme="minorHAnsi" w:hAnsiTheme="minorHAnsi" w:cstheme="minorHAnsi"/>
          <w:szCs w:val="24"/>
        </w:rPr>
        <w:t xml:space="preserve"> and </w:t>
      </w:r>
      <w:r w:rsidR="00904448" w:rsidRPr="00353650">
        <w:rPr>
          <w:rFonts w:asciiTheme="minorHAnsi" w:hAnsiTheme="minorHAnsi" w:cstheme="minorHAnsi"/>
          <w:i/>
          <w:szCs w:val="24"/>
        </w:rPr>
        <w:t>t</w:t>
      </w:r>
      <w:r w:rsidR="003B68BC" w:rsidRPr="00353650">
        <w:rPr>
          <w:rFonts w:asciiTheme="minorHAnsi" w:hAnsiTheme="minorHAnsi" w:cstheme="minorHAnsi"/>
          <w:szCs w:val="24"/>
        </w:rPr>
        <w:t xml:space="preserve"> </w:t>
      </w:r>
      <w:r w:rsidR="00904448" w:rsidRPr="00353650">
        <w:rPr>
          <w:rFonts w:asciiTheme="minorHAnsi" w:hAnsiTheme="minorHAnsi" w:cstheme="minorHAnsi"/>
          <w:szCs w:val="24"/>
        </w:rPr>
        <w:t>(</w:t>
      </w:r>
      <w:r w:rsidR="00904448" w:rsidRPr="00353650">
        <w:rPr>
          <w:rFonts w:asciiTheme="minorHAnsi" w:hAnsiTheme="minorHAnsi" w:cstheme="minorHAnsi"/>
          <w:i/>
          <w:szCs w:val="24"/>
        </w:rPr>
        <w:t>AB</w:t>
      </w:r>
      <w:r w:rsidR="00904448" w:rsidRPr="00353650">
        <w:rPr>
          <w:rFonts w:asciiTheme="minorHAnsi" w:hAnsiTheme="minorHAnsi" w:cstheme="minorHAnsi"/>
          <w:i/>
          <w:szCs w:val="24"/>
          <w:vertAlign w:val="subscript"/>
        </w:rPr>
        <w:t>t-1,t</w:t>
      </w:r>
      <w:r w:rsidR="00904448" w:rsidRPr="00353650">
        <w:rPr>
          <w:rFonts w:asciiTheme="minorHAnsi" w:hAnsiTheme="minorHAnsi" w:cstheme="minorHAnsi"/>
          <w:szCs w:val="24"/>
        </w:rPr>
        <w:t xml:space="preserve">) </w:t>
      </w:r>
      <w:r w:rsidR="003B68BC" w:rsidRPr="00353650">
        <w:rPr>
          <w:rFonts w:asciiTheme="minorHAnsi" w:hAnsiTheme="minorHAnsi" w:cstheme="minorHAnsi"/>
          <w:szCs w:val="24"/>
        </w:rPr>
        <w:t xml:space="preserve">divided by the stock of individuals originally in state </w:t>
      </w:r>
      <w:r w:rsidR="003B68BC" w:rsidRPr="00353650">
        <w:rPr>
          <w:rFonts w:asciiTheme="minorHAnsi" w:hAnsiTheme="minorHAnsi" w:cstheme="minorHAnsi"/>
          <w:i/>
          <w:szCs w:val="24"/>
        </w:rPr>
        <w:t>A</w:t>
      </w:r>
      <w:r w:rsidR="003B68BC" w:rsidRPr="00353650">
        <w:rPr>
          <w:rFonts w:asciiTheme="minorHAnsi" w:hAnsiTheme="minorHAnsi" w:cstheme="minorHAnsi"/>
          <w:szCs w:val="24"/>
        </w:rPr>
        <w:t xml:space="preserve"> (at time </w:t>
      </w:r>
      <w:r w:rsidR="00904448" w:rsidRPr="00353650">
        <w:rPr>
          <w:rFonts w:asciiTheme="minorHAnsi" w:hAnsiTheme="minorHAnsi" w:cstheme="minorHAnsi"/>
          <w:i/>
          <w:szCs w:val="24"/>
        </w:rPr>
        <w:t>t-1</w:t>
      </w:r>
      <w:r w:rsidR="003B68BC" w:rsidRPr="00353650">
        <w:rPr>
          <w:rFonts w:asciiTheme="minorHAnsi" w:hAnsiTheme="minorHAnsi" w:cstheme="minorHAnsi"/>
          <w:szCs w:val="24"/>
        </w:rPr>
        <w:t xml:space="preserve">). </w:t>
      </w:r>
    </w:p>
    <w:p w:rsidR="003B68BC" w:rsidRPr="00353650" w:rsidRDefault="00C83C26" w:rsidP="00FA3F88">
      <w:pPr>
        <w:spacing w:before="120" w:after="120" w:line="360" w:lineRule="auto"/>
        <w:jc w:val="right"/>
        <w:rPr>
          <w:rFonts w:asciiTheme="minorHAnsi" w:hAnsiTheme="minorHAnsi" w:cstheme="minorHAnsi"/>
          <w:szCs w:val="24"/>
        </w:rPr>
      </w:pPr>
      <m:oMath>
        <m:sSubSup>
          <m:sSubSupPr>
            <m:ctrlPr>
              <w:rPr>
                <w:rFonts w:ascii="Cambria Math" w:hAnsi="Cambria Math" w:cstheme="minorHAnsi"/>
                <w:i/>
                <w:szCs w:val="24"/>
              </w:rPr>
            </m:ctrlPr>
          </m:sSubSupPr>
          <m:e>
            <m:r>
              <w:rPr>
                <w:rFonts w:ascii="Cambria Math" w:hAnsi="Cambria Math" w:cstheme="minorHAnsi"/>
                <w:szCs w:val="24"/>
              </w:rPr>
              <m:t>P</m:t>
            </m:r>
          </m:e>
          <m:sub>
            <m:r>
              <w:rPr>
                <w:rFonts w:ascii="Cambria Math" w:hAnsi="Cambria Math" w:cstheme="minorHAnsi"/>
                <w:szCs w:val="24"/>
              </w:rPr>
              <m:t>t</m:t>
            </m:r>
          </m:sub>
          <m:sup>
            <m:r>
              <w:rPr>
                <w:rFonts w:ascii="Cambria Math" w:hAnsi="Cambria Math" w:cstheme="minorHAnsi"/>
                <w:szCs w:val="24"/>
              </w:rPr>
              <m:t>AB</m:t>
            </m:r>
          </m:sup>
        </m:sSubSup>
        <m:r>
          <w:rPr>
            <w:rFonts w:ascii="Cambria Math" w:hAnsi="Cambria Math" w:cstheme="minorHAnsi"/>
            <w:szCs w:val="24"/>
          </w:rPr>
          <m:t>=</m:t>
        </m:r>
        <m:r>
          <m:rPr>
            <m:sty m:val="p"/>
          </m:rPr>
          <w:rPr>
            <w:rFonts w:ascii="Cambria Math" w:hAnsi="Cambria Math" w:cstheme="minorHAnsi"/>
            <w:szCs w:val="24"/>
          </w:rPr>
          <m:t>Pr⁡</m:t>
        </m:r>
        <m:r>
          <w:rPr>
            <w:rFonts w:ascii="Cambria Math" w:hAnsi="Cambria Math" w:cstheme="minorHAnsi"/>
            <w:szCs w:val="24"/>
          </w:rPr>
          <m:t>{</m:t>
        </m:r>
        <m:d>
          <m:dPr>
            <m:begChr m:val="{"/>
            <m:endChr m:val="}"/>
            <m:ctrlPr>
              <w:rPr>
                <w:rFonts w:ascii="Cambria Math" w:hAnsi="Cambria Math" w:cstheme="minorHAnsi"/>
                <w:i/>
                <w:szCs w:val="24"/>
              </w:rPr>
            </m:ctrlPr>
          </m:dPr>
          <m:e>
            <m:sSub>
              <m:sSubPr>
                <m:ctrlPr>
                  <w:rPr>
                    <w:rFonts w:ascii="Cambria Math" w:hAnsi="Cambria Math" w:cstheme="minorHAnsi"/>
                    <w:i/>
                    <w:szCs w:val="24"/>
                  </w:rPr>
                </m:ctrlPr>
              </m:sSubPr>
              <m:e>
                <m:r>
                  <w:rPr>
                    <w:rFonts w:ascii="Cambria Math" w:hAnsi="Cambria Math" w:cstheme="minorHAnsi"/>
                    <w:szCs w:val="24"/>
                  </w:rPr>
                  <m:t>S</m:t>
                </m:r>
              </m:e>
              <m:sub>
                <m:r>
                  <w:rPr>
                    <w:rFonts w:ascii="Cambria Math" w:hAnsi="Cambria Math" w:cstheme="minorHAnsi"/>
                    <w:szCs w:val="24"/>
                  </w:rPr>
                  <m:t>t</m:t>
                </m:r>
              </m:sub>
            </m:sSub>
            <m:r>
              <w:rPr>
                <w:rFonts w:ascii="Cambria Math" w:hAnsi="Cambria Math" w:cstheme="minorHAnsi"/>
                <w:szCs w:val="24"/>
              </w:rPr>
              <m:t>=B</m:t>
            </m:r>
          </m:e>
          <m:e>
            <m:sSub>
              <m:sSubPr>
                <m:ctrlPr>
                  <w:rPr>
                    <w:rFonts w:ascii="Cambria Math" w:hAnsi="Cambria Math" w:cstheme="minorHAnsi"/>
                    <w:i/>
                    <w:szCs w:val="24"/>
                  </w:rPr>
                </m:ctrlPr>
              </m:sSubPr>
              <m:e>
                <m:r>
                  <w:rPr>
                    <w:rFonts w:ascii="Cambria Math" w:hAnsi="Cambria Math" w:cstheme="minorHAnsi"/>
                    <w:szCs w:val="24"/>
                  </w:rPr>
                  <m:t>S</m:t>
                </m:r>
              </m:e>
              <m:sub>
                <m:r>
                  <w:rPr>
                    <w:rFonts w:ascii="Cambria Math" w:hAnsi="Cambria Math" w:cstheme="minorHAnsi"/>
                    <w:szCs w:val="24"/>
                  </w:rPr>
                  <m:t>t-1</m:t>
                </m:r>
              </m:sub>
            </m:sSub>
            <m:r>
              <w:rPr>
                <w:rFonts w:ascii="Cambria Math" w:hAnsi="Cambria Math" w:cstheme="minorHAnsi"/>
                <w:szCs w:val="24"/>
              </w:rPr>
              <m:t>=A</m:t>
            </m:r>
          </m:e>
        </m:d>
        <m:r>
          <w:rPr>
            <w:rFonts w:ascii="Cambria Math" w:hAnsi="Cambria Math" w:cstheme="minorHAnsi"/>
            <w:szCs w:val="24"/>
          </w:rPr>
          <m:t>=</m:t>
        </m:r>
        <m:f>
          <m:fPr>
            <m:ctrlPr>
              <w:rPr>
                <w:rFonts w:ascii="Cambria Math" w:hAnsi="Cambria Math" w:cstheme="minorHAnsi"/>
                <w:i/>
                <w:szCs w:val="24"/>
              </w:rPr>
            </m:ctrlPr>
          </m:fPr>
          <m:num>
            <m:sSub>
              <m:sSubPr>
                <m:ctrlPr>
                  <w:rPr>
                    <w:rFonts w:ascii="Cambria Math" w:hAnsi="Cambria Math" w:cstheme="minorHAnsi"/>
                    <w:i/>
                    <w:szCs w:val="24"/>
                  </w:rPr>
                </m:ctrlPr>
              </m:sSubPr>
              <m:e>
                <m:r>
                  <w:rPr>
                    <w:rFonts w:ascii="Cambria Math" w:hAnsi="Cambria Math" w:cstheme="minorHAnsi"/>
                    <w:szCs w:val="24"/>
                  </w:rPr>
                  <m:t>AB</m:t>
                </m:r>
              </m:e>
              <m:sub>
                <m:r>
                  <w:rPr>
                    <w:rFonts w:ascii="Cambria Math" w:hAnsi="Cambria Math" w:cstheme="minorHAnsi"/>
                    <w:szCs w:val="24"/>
                  </w:rPr>
                  <m:t>t-1,t</m:t>
                </m:r>
              </m:sub>
            </m:sSub>
          </m:num>
          <m:den>
            <m:sSub>
              <m:sSubPr>
                <m:ctrlPr>
                  <w:rPr>
                    <w:rFonts w:ascii="Cambria Math" w:hAnsi="Cambria Math" w:cstheme="minorHAnsi"/>
                    <w:i/>
                    <w:szCs w:val="24"/>
                  </w:rPr>
                </m:ctrlPr>
              </m:sSubPr>
              <m:e>
                <m:r>
                  <w:rPr>
                    <w:rFonts w:ascii="Cambria Math" w:hAnsi="Cambria Math" w:cstheme="minorHAnsi"/>
                    <w:szCs w:val="24"/>
                  </w:rPr>
                  <m:t>A</m:t>
                </m:r>
              </m:e>
              <m:sub>
                <m:r>
                  <w:rPr>
                    <w:rFonts w:ascii="Cambria Math" w:hAnsi="Cambria Math" w:cstheme="minorHAnsi"/>
                    <w:szCs w:val="24"/>
                  </w:rPr>
                  <m:t>t-1</m:t>
                </m:r>
              </m:sub>
            </m:sSub>
          </m:den>
        </m:f>
      </m:oMath>
      <w:r w:rsidR="00904448" w:rsidRPr="00353650">
        <w:rPr>
          <w:rFonts w:asciiTheme="minorHAnsi" w:hAnsiTheme="minorHAnsi" w:cstheme="minorHAnsi"/>
          <w:szCs w:val="24"/>
        </w:rPr>
        <w:tab/>
      </w:r>
      <w:r w:rsidR="00904448" w:rsidRPr="00353650">
        <w:rPr>
          <w:rFonts w:asciiTheme="minorHAnsi" w:hAnsiTheme="minorHAnsi" w:cstheme="minorHAnsi"/>
          <w:szCs w:val="24"/>
        </w:rPr>
        <w:tab/>
      </w:r>
      <w:r w:rsidR="00904448" w:rsidRPr="00353650">
        <w:rPr>
          <w:rFonts w:asciiTheme="minorHAnsi" w:hAnsiTheme="minorHAnsi" w:cstheme="minorHAnsi"/>
          <w:szCs w:val="24"/>
        </w:rPr>
        <w:tab/>
      </w:r>
      <w:r w:rsidR="00904448" w:rsidRPr="00353650">
        <w:rPr>
          <w:rFonts w:asciiTheme="minorHAnsi" w:hAnsiTheme="minorHAnsi" w:cstheme="minorHAnsi"/>
          <w:szCs w:val="24"/>
        </w:rPr>
        <w:tab/>
        <w:t>(1)</w:t>
      </w:r>
    </w:p>
    <w:p w:rsidR="000179C1" w:rsidRPr="00353650" w:rsidRDefault="0099345F" w:rsidP="00FA3F88">
      <w:pPr>
        <w:spacing w:before="120" w:after="120" w:line="360" w:lineRule="auto"/>
        <w:rPr>
          <w:rFonts w:asciiTheme="minorHAnsi" w:eastAsia="Batang" w:hAnsiTheme="minorHAnsi" w:cstheme="minorHAnsi"/>
          <w:szCs w:val="24"/>
          <w:lang w:bidi="ur-PK"/>
        </w:rPr>
      </w:pPr>
      <w:r w:rsidRPr="00353650">
        <w:rPr>
          <w:rFonts w:asciiTheme="minorHAnsi" w:hAnsiTheme="minorHAnsi" w:cstheme="minorHAnsi"/>
          <w:szCs w:val="24"/>
        </w:rPr>
        <w:t xml:space="preserve">This results into a </w:t>
      </w:r>
      <w:r w:rsidR="007B0724" w:rsidRPr="00353650">
        <w:rPr>
          <w:rFonts w:asciiTheme="minorHAnsi" w:hAnsiTheme="minorHAnsi" w:cstheme="minorHAnsi"/>
          <w:szCs w:val="24"/>
        </w:rPr>
        <w:t xml:space="preserve">3x3 </w:t>
      </w:r>
      <w:r w:rsidRPr="00353650">
        <w:rPr>
          <w:rFonts w:asciiTheme="minorHAnsi" w:hAnsiTheme="minorHAnsi" w:cstheme="minorHAnsi"/>
          <w:szCs w:val="24"/>
        </w:rPr>
        <w:t>transition matrix</w:t>
      </w:r>
      <w:r w:rsidR="000179C1" w:rsidRPr="00353650">
        <w:rPr>
          <w:rFonts w:asciiTheme="minorHAnsi" w:hAnsiTheme="minorHAnsi" w:cstheme="minorHAnsi"/>
          <w:szCs w:val="24"/>
        </w:rPr>
        <w:t xml:space="preserve">, </w:t>
      </w:r>
      <w:r w:rsidR="000179C1" w:rsidRPr="00353650">
        <w:rPr>
          <w:rFonts w:asciiTheme="minorHAnsi" w:hAnsiTheme="minorHAnsi" w:cstheme="minorHAnsi"/>
          <w:i/>
          <w:szCs w:val="24"/>
        </w:rPr>
        <w:t>P</w:t>
      </w:r>
      <w:r w:rsidR="000179C1" w:rsidRPr="00353650">
        <w:rPr>
          <w:rFonts w:asciiTheme="minorHAnsi" w:hAnsiTheme="minorHAnsi" w:cstheme="minorHAnsi"/>
          <w:szCs w:val="24"/>
        </w:rPr>
        <w:t>,</w:t>
      </w:r>
      <w:r w:rsidRPr="00353650">
        <w:rPr>
          <w:rFonts w:asciiTheme="minorHAnsi" w:hAnsiTheme="minorHAnsi" w:cstheme="minorHAnsi"/>
          <w:szCs w:val="24"/>
        </w:rPr>
        <w:t xml:space="preserve"> embedding the raw probabilities of </w:t>
      </w:r>
      <w:r w:rsidR="000179C1" w:rsidRPr="00353650">
        <w:rPr>
          <w:rFonts w:asciiTheme="minorHAnsi" w:hAnsiTheme="minorHAnsi" w:cstheme="minorHAnsi"/>
          <w:szCs w:val="24"/>
        </w:rPr>
        <w:t xml:space="preserve">transitions across all states – with the </w:t>
      </w:r>
      <w:r w:rsidR="000179C1" w:rsidRPr="00353650">
        <w:rPr>
          <w:rFonts w:asciiTheme="minorHAnsi" w:eastAsia="Batang" w:hAnsiTheme="minorHAnsi" w:cstheme="minorHAnsi"/>
          <w:szCs w:val="24"/>
          <w:lang w:bidi="ur-PK"/>
        </w:rPr>
        <w:t>right-hand off-diagonal elements showing the probabilities of increasing labour market detachment (e.g., from employment to unemployment or inactivity and from unemployment to inactivity)</w:t>
      </w:r>
      <w:r w:rsidR="00FD5343" w:rsidRPr="00353650">
        <w:rPr>
          <w:rFonts w:asciiTheme="minorHAnsi" w:eastAsia="Batang" w:hAnsiTheme="minorHAnsi" w:cstheme="minorHAnsi"/>
          <w:szCs w:val="24"/>
          <w:lang w:bidi="ur-PK"/>
        </w:rPr>
        <w:t xml:space="preserve"> and</w:t>
      </w:r>
      <w:r w:rsidR="000179C1" w:rsidRPr="00353650">
        <w:rPr>
          <w:rFonts w:asciiTheme="minorHAnsi" w:eastAsia="Batang" w:hAnsiTheme="minorHAnsi" w:cstheme="minorHAnsi"/>
          <w:szCs w:val="24"/>
          <w:lang w:bidi="ur-PK"/>
        </w:rPr>
        <w:t xml:space="preserve"> the left-hand off-diagonal elements showing the probabilities of successful labour market transitions (e.g., from inactivity to unemployment or employment and from unemployment to employment); and the diagonal elements showing the stability, or persistence, of each labour market status across periods, i.e., the probabilities for remaining in a particular status in </w:t>
      </w:r>
      <w:r w:rsidR="000179C1" w:rsidRPr="00353650">
        <w:rPr>
          <w:rFonts w:asciiTheme="minorHAnsi" w:eastAsia="Batang" w:hAnsiTheme="minorHAnsi" w:cstheme="minorHAnsi"/>
          <w:i/>
          <w:szCs w:val="24"/>
          <w:lang w:bidi="ur-PK"/>
        </w:rPr>
        <w:t>t+1</w:t>
      </w:r>
      <w:r w:rsidR="000179C1" w:rsidRPr="00353650">
        <w:rPr>
          <w:rFonts w:asciiTheme="minorHAnsi" w:eastAsia="Batang" w:hAnsiTheme="minorHAnsi" w:cstheme="minorHAnsi"/>
          <w:szCs w:val="24"/>
          <w:lang w:bidi="ur-PK"/>
        </w:rPr>
        <w:t xml:space="preserve"> given membership into that status in </w:t>
      </w:r>
      <w:r w:rsidR="000179C1" w:rsidRPr="00353650">
        <w:rPr>
          <w:rFonts w:asciiTheme="minorHAnsi" w:eastAsia="Batang" w:hAnsiTheme="minorHAnsi" w:cstheme="minorHAnsi"/>
          <w:i/>
          <w:szCs w:val="24"/>
          <w:lang w:bidi="ur-PK"/>
        </w:rPr>
        <w:t>t</w:t>
      </w:r>
      <w:r w:rsidR="000179C1" w:rsidRPr="00353650">
        <w:rPr>
          <w:rFonts w:asciiTheme="minorHAnsi" w:eastAsia="Batang" w:hAnsiTheme="minorHAnsi" w:cstheme="minorHAnsi"/>
          <w:szCs w:val="24"/>
          <w:lang w:bidi="ur-PK"/>
        </w:rPr>
        <w:t>.</w:t>
      </w:r>
      <w:r w:rsidR="000179C1" w:rsidRPr="00353650">
        <w:rPr>
          <w:rStyle w:val="FootnoteReference"/>
          <w:rFonts w:asciiTheme="minorHAnsi" w:eastAsia="Batang" w:hAnsiTheme="minorHAnsi" w:cstheme="minorHAnsi"/>
          <w:szCs w:val="24"/>
          <w:lang w:bidi="ur-PK"/>
        </w:rPr>
        <w:footnoteReference w:id="4"/>
      </w:r>
    </w:p>
    <w:p w:rsidR="000533C2" w:rsidRPr="00353650" w:rsidRDefault="009B21CC" w:rsidP="00FA3F88">
      <w:pPr>
        <w:spacing w:before="120" w:after="120" w:line="360" w:lineRule="auto"/>
        <w:rPr>
          <w:rFonts w:asciiTheme="minorHAnsi" w:eastAsia="Batang" w:hAnsiTheme="minorHAnsi" w:cstheme="minorHAnsi"/>
          <w:szCs w:val="24"/>
          <w:lang w:bidi="ur-PK"/>
        </w:rPr>
      </w:pPr>
      <w:r w:rsidRPr="00353650">
        <w:rPr>
          <w:rFonts w:asciiTheme="minorHAnsi" w:eastAsia="Batang" w:hAnsiTheme="minorHAnsi" w:cstheme="minorHAnsi"/>
          <w:szCs w:val="24"/>
          <w:lang w:bidi="ur-PK"/>
        </w:rPr>
        <w:t xml:space="preserve">We can describe various aspects of this matrix with the use of a number of summary indexes. The first concerns </w:t>
      </w:r>
      <w:r w:rsidR="000533C2" w:rsidRPr="00353650">
        <w:rPr>
          <w:rFonts w:asciiTheme="minorHAnsi" w:eastAsia="Batang" w:hAnsiTheme="minorHAnsi" w:cstheme="minorHAnsi"/>
          <w:szCs w:val="24"/>
          <w:lang w:bidi="ur-PK"/>
        </w:rPr>
        <w:t>the overall degree of stability in the labour market (</w:t>
      </w:r>
      <w:proofErr w:type="spellStart"/>
      <w:r w:rsidRPr="00353650">
        <w:rPr>
          <w:rFonts w:asciiTheme="minorHAnsi" w:eastAsia="Batang" w:hAnsiTheme="minorHAnsi" w:cstheme="minorHAnsi"/>
          <w:szCs w:val="24"/>
          <w:lang w:bidi="ur-PK"/>
        </w:rPr>
        <w:t>Monfort</w:t>
      </w:r>
      <w:proofErr w:type="spellEnd"/>
      <w:r w:rsidRPr="00353650">
        <w:rPr>
          <w:rFonts w:asciiTheme="minorHAnsi" w:eastAsia="Batang" w:hAnsiTheme="minorHAnsi" w:cstheme="minorHAnsi"/>
          <w:szCs w:val="24"/>
          <w:lang w:bidi="ur-PK"/>
        </w:rPr>
        <w:t xml:space="preserve">, 2008) and </w:t>
      </w:r>
      <w:r w:rsidR="000533C2" w:rsidRPr="00353650">
        <w:rPr>
          <w:rFonts w:asciiTheme="minorHAnsi" w:eastAsia="Batang" w:hAnsiTheme="minorHAnsi" w:cstheme="minorHAnsi"/>
          <w:szCs w:val="24"/>
          <w:lang w:bidi="ur-PK"/>
        </w:rPr>
        <w:t xml:space="preserve">can be calculated as  </w:t>
      </w:r>
    </w:p>
    <w:p w:rsidR="000179C1" w:rsidRPr="00353650" w:rsidRDefault="00FD5343" w:rsidP="00FA3F88">
      <w:pPr>
        <w:spacing w:before="120" w:after="120" w:line="360" w:lineRule="auto"/>
        <w:jc w:val="right"/>
        <w:rPr>
          <w:rFonts w:asciiTheme="minorHAnsi" w:hAnsiTheme="minorHAnsi" w:cstheme="minorHAnsi"/>
          <w:szCs w:val="24"/>
        </w:rPr>
      </w:pPr>
      <m:oMath>
        <m:r>
          <w:rPr>
            <w:rFonts w:ascii="Cambria Math" w:hAnsi="Cambria Math" w:cstheme="minorHAnsi"/>
            <w:szCs w:val="24"/>
          </w:rPr>
          <m:t>S=</m:t>
        </m:r>
        <m:f>
          <m:fPr>
            <m:ctrlPr>
              <w:rPr>
                <w:rFonts w:ascii="Cambria Math" w:hAnsi="Cambria Math" w:cstheme="minorHAnsi"/>
                <w:i/>
                <w:szCs w:val="24"/>
              </w:rPr>
            </m:ctrlPr>
          </m:fPr>
          <m:num>
            <m:r>
              <w:rPr>
                <w:rFonts w:ascii="Cambria Math" w:hAnsi="Cambria Math" w:cstheme="minorHAnsi"/>
                <w:szCs w:val="24"/>
              </w:rPr>
              <m:t>Tr(P)</m:t>
            </m:r>
          </m:num>
          <m:den>
            <m:r>
              <w:rPr>
                <w:rFonts w:ascii="Cambria Math" w:hAnsi="Cambria Math" w:cstheme="minorHAnsi"/>
                <w:szCs w:val="24"/>
              </w:rPr>
              <m:t>n</m:t>
            </m:r>
          </m:den>
        </m:f>
      </m:oMath>
      <w:r w:rsidR="000179C1" w:rsidRPr="00353650">
        <w:rPr>
          <w:rFonts w:asciiTheme="minorHAnsi" w:hAnsiTheme="minorHAnsi" w:cstheme="minorHAnsi"/>
          <w:szCs w:val="24"/>
        </w:rPr>
        <w:tab/>
      </w:r>
      <w:r w:rsidR="000179C1" w:rsidRPr="00353650">
        <w:rPr>
          <w:rFonts w:asciiTheme="minorHAnsi" w:hAnsiTheme="minorHAnsi" w:cstheme="minorHAnsi"/>
          <w:szCs w:val="24"/>
        </w:rPr>
        <w:tab/>
      </w:r>
      <w:r w:rsidRPr="00353650">
        <w:rPr>
          <w:rFonts w:asciiTheme="minorHAnsi" w:hAnsiTheme="minorHAnsi" w:cstheme="minorHAnsi"/>
          <w:szCs w:val="24"/>
        </w:rPr>
        <w:tab/>
      </w:r>
      <w:r w:rsidR="000179C1" w:rsidRPr="00353650">
        <w:rPr>
          <w:rFonts w:asciiTheme="minorHAnsi" w:hAnsiTheme="minorHAnsi" w:cstheme="minorHAnsi"/>
          <w:szCs w:val="24"/>
        </w:rPr>
        <w:tab/>
      </w:r>
      <w:r w:rsidR="000179C1" w:rsidRPr="00353650">
        <w:rPr>
          <w:rFonts w:asciiTheme="minorHAnsi" w:hAnsiTheme="minorHAnsi" w:cstheme="minorHAnsi"/>
          <w:szCs w:val="24"/>
        </w:rPr>
        <w:tab/>
      </w:r>
      <w:r w:rsidRPr="00353650">
        <w:rPr>
          <w:rFonts w:asciiTheme="minorHAnsi" w:hAnsiTheme="minorHAnsi" w:cstheme="minorHAnsi"/>
          <w:szCs w:val="24"/>
        </w:rPr>
        <w:tab/>
        <w:t>(2</w:t>
      </w:r>
      <w:r w:rsidR="000179C1" w:rsidRPr="00353650">
        <w:rPr>
          <w:rFonts w:asciiTheme="minorHAnsi" w:hAnsiTheme="minorHAnsi" w:cstheme="minorHAnsi"/>
          <w:szCs w:val="24"/>
        </w:rPr>
        <w:t>)</w:t>
      </w:r>
    </w:p>
    <w:p w:rsidR="007A4F38" w:rsidRDefault="000533C2" w:rsidP="00FA3F88">
      <w:pPr>
        <w:spacing w:before="120" w:after="120" w:line="360" w:lineRule="auto"/>
        <w:rPr>
          <w:rFonts w:asciiTheme="minorHAnsi" w:eastAsia="Batang" w:hAnsiTheme="minorHAnsi" w:cstheme="minorHAnsi"/>
          <w:szCs w:val="24"/>
          <w:lang w:bidi="ur-PK"/>
        </w:rPr>
      </w:pPr>
      <w:r w:rsidRPr="00353650">
        <w:rPr>
          <w:rFonts w:asciiTheme="minorHAnsi" w:eastAsia="Batang" w:hAnsiTheme="minorHAnsi" w:cstheme="minorHAnsi"/>
          <w:szCs w:val="24"/>
          <w:lang w:bidi="ur-PK"/>
        </w:rPr>
        <w:t xml:space="preserve">where </w:t>
      </w:r>
      <w:r w:rsidRPr="00353650">
        <w:rPr>
          <w:rFonts w:asciiTheme="minorHAnsi" w:eastAsia="Batang" w:hAnsiTheme="minorHAnsi" w:cstheme="minorHAnsi"/>
          <w:i/>
          <w:szCs w:val="24"/>
          <w:lang w:bidi="ur-PK"/>
        </w:rPr>
        <w:t>S</w:t>
      </w:r>
      <w:r w:rsidRPr="00353650">
        <w:rPr>
          <w:rFonts w:asciiTheme="minorHAnsi" w:eastAsia="Batang" w:hAnsiTheme="minorHAnsi" w:cstheme="minorHAnsi"/>
          <w:szCs w:val="24"/>
          <w:lang w:bidi="ur-PK"/>
        </w:rPr>
        <w:t xml:space="preserve"> is a general stability index; </w:t>
      </w:r>
      <w:r w:rsidRPr="00353650">
        <w:rPr>
          <w:rFonts w:asciiTheme="minorHAnsi" w:eastAsia="Batang" w:hAnsiTheme="minorHAnsi" w:cstheme="minorHAnsi"/>
          <w:i/>
          <w:szCs w:val="24"/>
          <w:lang w:bidi="ur-PK"/>
        </w:rPr>
        <w:t>Tr(</w:t>
      </w:r>
      <w:r w:rsidR="00FD5343" w:rsidRPr="00353650">
        <w:rPr>
          <w:rFonts w:asciiTheme="minorHAnsi" w:eastAsia="Batang" w:hAnsiTheme="minorHAnsi" w:cstheme="minorHAnsi"/>
          <w:i/>
          <w:szCs w:val="24"/>
          <w:lang w:bidi="ur-PK"/>
        </w:rPr>
        <w:t>P</w:t>
      </w:r>
      <w:r w:rsidRPr="00353650">
        <w:rPr>
          <w:rFonts w:asciiTheme="minorHAnsi" w:eastAsia="Batang" w:hAnsiTheme="minorHAnsi" w:cstheme="minorHAnsi"/>
          <w:i/>
          <w:szCs w:val="24"/>
          <w:lang w:bidi="ur-PK"/>
        </w:rPr>
        <w:t>)</w:t>
      </w:r>
      <w:r w:rsidRPr="00353650">
        <w:rPr>
          <w:rFonts w:asciiTheme="minorHAnsi" w:eastAsia="Batang" w:hAnsiTheme="minorHAnsi" w:cstheme="minorHAnsi"/>
          <w:szCs w:val="24"/>
          <w:lang w:bidi="ur-PK"/>
        </w:rPr>
        <w:t xml:space="preserve">, the trace of the transition probability matrix, is the summation of the elements of the main diagonal of this matrix; and </w:t>
      </w:r>
      <w:r w:rsidRPr="00353650">
        <w:rPr>
          <w:rFonts w:asciiTheme="minorHAnsi" w:eastAsia="Batang" w:hAnsiTheme="minorHAnsi" w:cstheme="minorHAnsi"/>
          <w:i/>
          <w:szCs w:val="24"/>
          <w:lang w:bidi="ur-PK"/>
        </w:rPr>
        <w:t>n</w:t>
      </w:r>
      <w:r w:rsidRPr="00353650">
        <w:rPr>
          <w:rFonts w:asciiTheme="minorHAnsi" w:eastAsia="Batang" w:hAnsiTheme="minorHAnsi" w:cstheme="minorHAnsi"/>
          <w:szCs w:val="24"/>
          <w:lang w:bidi="ur-PK"/>
        </w:rPr>
        <w:t xml:space="preserve"> is the number of labour market statuses considered in the analysis.</w:t>
      </w:r>
      <w:r w:rsidR="00FD5343" w:rsidRPr="00353650">
        <w:rPr>
          <w:rStyle w:val="FootnoteReference"/>
          <w:rFonts w:asciiTheme="minorHAnsi" w:eastAsia="Batang" w:hAnsiTheme="minorHAnsi" w:cstheme="minorHAnsi"/>
          <w:szCs w:val="24"/>
          <w:lang w:bidi="ur-PK"/>
        </w:rPr>
        <w:footnoteReference w:id="5"/>
      </w:r>
      <w:r w:rsidRPr="00353650">
        <w:rPr>
          <w:rFonts w:asciiTheme="minorHAnsi" w:eastAsia="Batang" w:hAnsiTheme="minorHAnsi" w:cstheme="minorHAnsi"/>
          <w:szCs w:val="24"/>
          <w:lang w:bidi="ur-PK"/>
        </w:rPr>
        <w:t xml:space="preserve"> </w:t>
      </w:r>
      <w:r w:rsidR="007A4F38">
        <w:rPr>
          <w:rFonts w:asciiTheme="minorHAnsi" w:eastAsia="Batang" w:hAnsiTheme="minorHAnsi" w:cstheme="minorHAnsi"/>
          <w:szCs w:val="24"/>
          <w:lang w:bidi="ur-PK"/>
        </w:rPr>
        <w:t xml:space="preserve">This index is essentially a measure of persistence of labour market statuses, i.e., it gives us the aggregate probability that an individual who finds </w:t>
      </w:r>
      <w:r w:rsidR="00777C4D">
        <w:rPr>
          <w:rFonts w:asciiTheme="minorHAnsi" w:eastAsia="Batang" w:hAnsiTheme="minorHAnsi" w:cstheme="minorHAnsi"/>
          <w:szCs w:val="24"/>
          <w:lang w:bidi="ur-PK"/>
        </w:rPr>
        <w:t xml:space="preserve">herself </w:t>
      </w:r>
      <w:r w:rsidR="007A4F38">
        <w:rPr>
          <w:rFonts w:asciiTheme="minorHAnsi" w:eastAsia="Batang" w:hAnsiTheme="minorHAnsi" w:cstheme="minorHAnsi"/>
          <w:szCs w:val="24"/>
          <w:lang w:bidi="ur-PK"/>
        </w:rPr>
        <w:t xml:space="preserve">in a particular position (labour market status) in time </w:t>
      </w:r>
      <w:r w:rsidR="007A4F38" w:rsidRPr="00353650">
        <w:rPr>
          <w:rFonts w:asciiTheme="minorHAnsi" w:eastAsia="Batang" w:hAnsiTheme="minorHAnsi" w:cstheme="minorHAnsi"/>
          <w:i/>
          <w:szCs w:val="24"/>
          <w:lang w:bidi="ur-PK"/>
        </w:rPr>
        <w:t>t</w:t>
      </w:r>
      <w:r w:rsidR="007A4F38">
        <w:rPr>
          <w:rFonts w:asciiTheme="minorHAnsi" w:eastAsia="Batang" w:hAnsiTheme="minorHAnsi" w:cstheme="minorHAnsi"/>
          <w:szCs w:val="24"/>
          <w:lang w:bidi="ur-PK"/>
        </w:rPr>
        <w:t xml:space="preserve"> will remain in the same </w:t>
      </w:r>
      <w:r w:rsidR="007A4F38">
        <w:rPr>
          <w:rFonts w:asciiTheme="minorHAnsi" w:eastAsia="Batang" w:hAnsiTheme="minorHAnsi" w:cstheme="minorHAnsi"/>
          <w:szCs w:val="24"/>
          <w:lang w:bidi="ur-PK"/>
        </w:rPr>
        <w:lastRenderedPageBreak/>
        <w:t xml:space="preserve">position one year later. High values of this indicate limited ‘fluidity’ in the labour market, implying that – for any given level of unemployment and inactivity – individuals who find themselves in an adverse labour market status have fewer opportunities to escape this status. </w:t>
      </w:r>
    </w:p>
    <w:p w:rsidR="000533C2" w:rsidRPr="00353650" w:rsidRDefault="009B21CC" w:rsidP="00FA3F88">
      <w:pPr>
        <w:spacing w:before="120" w:after="120" w:line="360" w:lineRule="auto"/>
        <w:rPr>
          <w:rFonts w:asciiTheme="minorHAnsi" w:eastAsia="Batang" w:hAnsiTheme="minorHAnsi" w:cstheme="minorHAnsi"/>
          <w:szCs w:val="24"/>
          <w:lang w:bidi="ur-PK"/>
        </w:rPr>
      </w:pPr>
      <w:r w:rsidRPr="00353650">
        <w:rPr>
          <w:rFonts w:asciiTheme="minorHAnsi" w:eastAsia="Batang" w:hAnsiTheme="minorHAnsi" w:cstheme="minorHAnsi"/>
          <w:szCs w:val="24"/>
          <w:lang w:bidi="ur-PK"/>
        </w:rPr>
        <w:t xml:space="preserve">A second index </w:t>
      </w:r>
      <w:r w:rsidR="000533C2" w:rsidRPr="00353650">
        <w:rPr>
          <w:rFonts w:asciiTheme="minorHAnsi" w:eastAsia="Batang" w:hAnsiTheme="minorHAnsi" w:cstheme="minorHAnsi"/>
          <w:szCs w:val="24"/>
          <w:lang w:bidi="ur-PK"/>
        </w:rPr>
        <w:t>concerns successful labour market entries (Marston</w:t>
      </w:r>
      <w:r w:rsidR="00D201A8">
        <w:rPr>
          <w:rFonts w:asciiTheme="minorHAnsi" w:eastAsia="Batang" w:hAnsiTheme="minorHAnsi" w:cstheme="minorHAnsi"/>
          <w:szCs w:val="24"/>
          <w:lang w:bidi="ur-PK"/>
        </w:rPr>
        <w:t xml:space="preserve"> et al.</w:t>
      </w:r>
      <w:r w:rsidR="000533C2" w:rsidRPr="00353650">
        <w:rPr>
          <w:rFonts w:asciiTheme="minorHAnsi" w:eastAsia="Batang" w:hAnsiTheme="minorHAnsi" w:cstheme="minorHAnsi"/>
          <w:szCs w:val="24"/>
          <w:lang w:bidi="ur-PK"/>
        </w:rPr>
        <w:t xml:space="preserve">, 1976; </w:t>
      </w:r>
      <w:proofErr w:type="spellStart"/>
      <w:r w:rsidR="000533C2" w:rsidRPr="00353650">
        <w:rPr>
          <w:rFonts w:asciiTheme="minorHAnsi" w:eastAsia="Batang" w:hAnsiTheme="minorHAnsi" w:cstheme="minorHAnsi"/>
          <w:szCs w:val="24"/>
          <w:lang w:bidi="ur-PK"/>
        </w:rPr>
        <w:t>Theeuwes</w:t>
      </w:r>
      <w:proofErr w:type="spellEnd"/>
      <w:r w:rsidR="000533C2" w:rsidRPr="00353650">
        <w:rPr>
          <w:rFonts w:asciiTheme="minorHAnsi" w:eastAsia="Batang" w:hAnsiTheme="minorHAnsi" w:cstheme="minorHAnsi"/>
          <w:szCs w:val="24"/>
          <w:lang w:bidi="ur-PK"/>
        </w:rPr>
        <w:t xml:space="preserve"> et al., 1990), or </w:t>
      </w:r>
      <w:r w:rsidR="000533C2" w:rsidRPr="00353650">
        <w:rPr>
          <w:rFonts w:asciiTheme="minorHAnsi" w:eastAsia="Batang" w:hAnsiTheme="minorHAnsi" w:cstheme="minorHAnsi"/>
          <w:i/>
          <w:szCs w:val="24"/>
          <w:lang w:bidi="ur-PK"/>
        </w:rPr>
        <w:t>successful exits from inactivity</w:t>
      </w:r>
      <w:r w:rsidR="000533C2" w:rsidRPr="00353650">
        <w:rPr>
          <w:rFonts w:asciiTheme="minorHAnsi" w:eastAsia="Batang" w:hAnsiTheme="minorHAnsi" w:cstheme="minorHAnsi"/>
          <w:szCs w:val="24"/>
          <w:lang w:bidi="ur-PK"/>
        </w:rPr>
        <w:t xml:space="preserve">, and can be calculated as </w:t>
      </w:r>
    </w:p>
    <w:p w:rsidR="000533C2" w:rsidRPr="00353650" w:rsidRDefault="000533C2" w:rsidP="00FA3F88">
      <w:pPr>
        <w:autoSpaceDE w:val="0"/>
        <w:autoSpaceDN w:val="0"/>
        <w:adjustRightInd w:val="0"/>
        <w:spacing w:before="120" w:after="120" w:line="360" w:lineRule="auto"/>
        <w:jc w:val="right"/>
        <w:rPr>
          <w:rFonts w:asciiTheme="minorHAnsi" w:eastAsia="Batang" w:hAnsiTheme="minorHAnsi" w:cstheme="minorHAnsi"/>
          <w:szCs w:val="24"/>
        </w:rPr>
      </w:pPr>
      <m:oMath>
        <m:r>
          <w:rPr>
            <w:rFonts w:ascii="Cambria Math" w:eastAsia="Batang" w:hAnsi="Cambria Math" w:cstheme="minorHAnsi"/>
            <w:szCs w:val="24"/>
          </w:rPr>
          <m:t>SL(I)=</m:t>
        </m:r>
        <m:f>
          <m:fPr>
            <m:ctrlPr>
              <w:rPr>
                <w:rFonts w:ascii="Cambria Math" w:eastAsia="Batang" w:hAnsi="Cambria Math" w:cstheme="minorHAnsi"/>
                <w:i/>
                <w:szCs w:val="24"/>
              </w:rPr>
            </m:ctrlPr>
          </m:fPr>
          <m:num>
            <m:sSub>
              <m:sSubPr>
                <m:ctrlPr>
                  <w:rPr>
                    <w:rFonts w:ascii="Cambria Math" w:eastAsia="Batang" w:hAnsi="Cambria Math" w:cstheme="minorHAnsi"/>
                    <w:i/>
                    <w:szCs w:val="24"/>
                  </w:rPr>
                </m:ctrlPr>
              </m:sSubPr>
              <m:e>
                <m:r>
                  <w:rPr>
                    <w:rFonts w:ascii="Cambria Math" w:eastAsia="Batang" w:hAnsi="Cambria Math" w:cstheme="minorHAnsi"/>
                    <w:szCs w:val="24"/>
                  </w:rPr>
                  <m:t>P</m:t>
                </m:r>
              </m:e>
              <m:sub>
                <m:r>
                  <w:rPr>
                    <w:rFonts w:ascii="Cambria Math" w:eastAsia="Batang" w:hAnsi="Cambria Math" w:cstheme="minorHAnsi"/>
                    <w:szCs w:val="24"/>
                  </w:rPr>
                  <m:t>IE</m:t>
                </m:r>
              </m:sub>
            </m:sSub>
          </m:num>
          <m:den>
            <m:sSub>
              <m:sSubPr>
                <m:ctrlPr>
                  <w:rPr>
                    <w:rFonts w:ascii="Cambria Math" w:eastAsia="Batang" w:hAnsi="Cambria Math" w:cstheme="minorHAnsi"/>
                    <w:i/>
                    <w:szCs w:val="24"/>
                  </w:rPr>
                </m:ctrlPr>
              </m:sSubPr>
              <m:e>
                <m:r>
                  <w:rPr>
                    <w:rFonts w:ascii="Cambria Math" w:eastAsia="Batang" w:hAnsi="Cambria Math" w:cstheme="minorHAnsi"/>
                    <w:szCs w:val="24"/>
                  </w:rPr>
                  <m:t>P</m:t>
                </m:r>
              </m:e>
              <m:sub>
                <m:r>
                  <w:rPr>
                    <w:rFonts w:ascii="Cambria Math" w:eastAsia="Batang" w:hAnsi="Cambria Math" w:cstheme="minorHAnsi"/>
                    <w:szCs w:val="24"/>
                  </w:rPr>
                  <m:t>IE</m:t>
                </m:r>
              </m:sub>
            </m:sSub>
            <m:r>
              <w:rPr>
                <w:rFonts w:ascii="Cambria Math" w:eastAsia="Batang" w:hAnsi="Cambria Math" w:cstheme="minorHAnsi"/>
                <w:szCs w:val="24"/>
              </w:rPr>
              <m:t>+</m:t>
            </m:r>
            <m:sSub>
              <m:sSubPr>
                <m:ctrlPr>
                  <w:rPr>
                    <w:rFonts w:ascii="Cambria Math" w:eastAsia="Batang" w:hAnsi="Cambria Math" w:cstheme="minorHAnsi"/>
                    <w:i/>
                    <w:szCs w:val="24"/>
                  </w:rPr>
                </m:ctrlPr>
              </m:sSubPr>
              <m:e>
                <m:r>
                  <w:rPr>
                    <w:rFonts w:ascii="Cambria Math" w:eastAsia="Batang" w:hAnsi="Cambria Math" w:cstheme="minorHAnsi"/>
                    <w:szCs w:val="24"/>
                  </w:rPr>
                  <m:t>P</m:t>
                </m:r>
              </m:e>
              <m:sub>
                <m:r>
                  <w:rPr>
                    <w:rFonts w:ascii="Cambria Math" w:eastAsia="Batang" w:hAnsi="Cambria Math" w:cstheme="minorHAnsi"/>
                    <w:szCs w:val="24"/>
                  </w:rPr>
                  <m:t>IU</m:t>
                </m:r>
              </m:sub>
            </m:sSub>
          </m:den>
        </m:f>
      </m:oMath>
      <w:r w:rsidRPr="00353650">
        <w:rPr>
          <w:rFonts w:asciiTheme="minorHAnsi" w:eastAsia="Batang" w:hAnsiTheme="minorHAnsi" w:cstheme="minorHAnsi"/>
          <w:szCs w:val="24"/>
        </w:rPr>
        <w:tab/>
      </w:r>
      <w:r w:rsidRPr="00353650">
        <w:rPr>
          <w:rFonts w:asciiTheme="minorHAnsi" w:eastAsia="Batang" w:hAnsiTheme="minorHAnsi" w:cstheme="minorHAnsi"/>
          <w:szCs w:val="24"/>
        </w:rPr>
        <w:tab/>
      </w:r>
      <w:r w:rsidRPr="00353650">
        <w:rPr>
          <w:rFonts w:asciiTheme="minorHAnsi" w:eastAsia="Batang" w:hAnsiTheme="minorHAnsi" w:cstheme="minorHAnsi"/>
          <w:szCs w:val="24"/>
        </w:rPr>
        <w:tab/>
      </w:r>
      <w:r w:rsidRPr="00353650">
        <w:rPr>
          <w:rFonts w:asciiTheme="minorHAnsi" w:eastAsia="Batang" w:hAnsiTheme="minorHAnsi" w:cstheme="minorHAnsi"/>
          <w:szCs w:val="24"/>
        </w:rPr>
        <w:tab/>
      </w:r>
      <w:r w:rsidRPr="00353650">
        <w:rPr>
          <w:rFonts w:asciiTheme="minorHAnsi" w:eastAsia="Batang" w:hAnsiTheme="minorHAnsi" w:cstheme="minorHAnsi"/>
          <w:szCs w:val="24"/>
        </w:rPr>
        <w:tab/>
      </w:r>
      <w:r w:rsidRPr="00353650">
        <w:rPr>
          <w:rFonts w:asciiTheme="minorHAnsi" w:eastAsia="Batang" w:hAnsiTheme="minorHAnsi" w:cstheme="minorHAnsi"/>
          <w:szCs w:val="24"/>
        </w:rPr>
        <w:tab/>
        <w:t>(3)</w:t>
      </w:r>
    </w:p>
    <w:p w:rsidR="005A3087" w:rsidRDefault="000533C2" w:rsidP="00FA3F88">
      <w:pPr>
        <w:autoSpaceDE w:val="0"/>
        <w:autoSpaceDN w:val="0"/>
        <w:adjustRightInd w:val="0"/>
        <w:spacing w:before="120" w:after="120" w:line="360" w:lineRule="auto"/>
        <w:rPr>
          <w:rFonts w:asciiTheme="minorHAnsi" w:eastAsia="Batang" w:hAnsiTheme="minorHAnsi" w:cstheme="minorHAnsi"/>
          <w:szCs w:val="24"/>
        </w:rPr>
      </w:pPr>
      <w:r w:rsidRPr="00353650">
        <w:rPr>
          <w:rFonts w:asciiTheme="minorHAnsi" w:eastAsia="Batang" w:hAnsiTheme="minorHAnsi" w:cstheme="minorHAnsi"/>
          <w:szCs w:val="24"/>
        </w:rPr>
        <w:t xml:space="preserve">where the subscripts </w:t>
      </w:r>
      <w:r w:rsidRPr="00353650">
        <w:rPr>
          <w:rFonts w:asciiTheme="minorHAnsi" w:eastAsia="Batang" w:hAnsiTheme="minorHAnsi" w:cstheme="minorHAnsi"/>
          <w:i/>
          <w:szCs w:val="24"/>
        </w:rPr>
        <w:t>IE</w:t>
      </w:r>
      <w:r w:rsidRPr="00353650">
        <w:rPr>
          <w:rFonts w:asciiTheme="minorHAnsi" w:eastAsia="Batang" w:hAnsiTheme="minorHAnsi" w:cstheme="minorHAnsi"/>
          <w:szCs w:val="24"/>
        </w:rPr>
        <w:t xml:space="preserve"> and </w:t>
      </w:r>
      <w:r w:rsidRPr="00353650">
        <w:rPr>
          <w:rFonts w:asciiTheme="minorHAnsi" w:eastAsia="Batang" w:hAnsiTheme="minorHAnsi" w:cstheme="minorHAnsi"/>
          <w:i/>
          <w:szCs w:val="24"/>
        </w:rPr>
        <w:t>IU</w:t>
      </w:r>
      <w:r w:rsidRPr="00353650">
        <w:rPr>
          <w:rFonts w:asciiTheme="minorHAnsi" w:eastAsia="Batang" w:hAnsiTheme="minorHAnsi" w:cstheme="minorHAnsi"/>
          <w:szCs w:val="24"/>
        </w:rPr>
        <w:t xml:space="preserve"> show moves from inactivity to employment and to unemployment, respectively. </w:t>
      </w:r>
      <w:r w:rsidR="007A4F38">
        <w:rPr>
          <w:rFonts w:asciiTheme="minorHAnsi" w:eastAsia="Batang" w:hAnsiTheme="minorHAnsi" w:cstheme="minorHAnsi"/>
          <w:szCs w:val="24"/>
        </w:rPr>
        <w:t xml:space="preserve">This index is important in capturing the ability of the labour market to attract individuals who are currently detached from the labour market directly into jobs. </w:t>
      </w:r>
      <w:proofErr w:type="gramStart"/>
      <w:r w:rsidR="007A4F38">
        <w:rPr>
          <w:rFonts w:asciiTheme="minorHAnsi" w:eastAsia="Batang" w:hAnsiTheme="minorHAnsi" w:cstheme="minorHAnsi"/>
          <w:szCs w:val="24"/>
        </w:rPr>
        <w:t>High values of this index suggests</w:t>
      </w:r>
      <w:proofErr w:type="gramEnd"/>
      <w:r w:rsidR="007A4F38">
        <w:rPr>
          <w:rFonts w:asciiTheme="minorHAnsi" w:eastAsia="Batang" w:hAnsiTheme="minorHAnsi" w:cstheme="minorHAnsi"/>
          <w:szCs w:val="24"/>
        </w:rPr>
        <w:t xml:space="preserve"> that barriers to entry in the labour market </w:t>
      </w:r>
      <w:r w:rsidR="005A3087">
        <w:rPr>
          <w:rFonts w:asciiTheme="minorHAnsi" w:eastAsia="Batang" w:hAnsiTheme="minorHAnsi" w:cstheme="minorHAnsi"/>
          <w:szCs w:val="24"/>
        </w:rPr>
        <w:t xml:space="preserve">(psychological, economic, skills-related, etc) </w:t>
      </w:r>
      <w:r w:rsidR="007A4F38">
        <w:rPr>
          <w:rFonts w:asciiTheme="minorHAnsi" w:eastAsia="Batang" w:hAnsiTheme="minorHAnsi" w:cstheme="minorHAnsi"/>
          <w:szCs w:val="24"/>
        </w:rPr>
        <w:t>are relatively small</w:t>
      </w:r>
      <w:r w:rsidR="005A3087">
        <w:rPr>
          <w:rFonts w:asciiTheme="minorHAnsi" w:eastAsia="Batang" w:hAnsiTheme="minorHAnsi" w:cstheme="minorHAnsi"/>
          <w:szCs w:val="24"/>
        </w:rPr>
        <w:t xml:space="preserve">. </w:t>
      </w:r>
    </w:p>
    <w:p w:rsidR="000533C2" w:rsidRPr="00353650" w:rsidRDefault="005A3087" w:rsidP="00FA3F88">
      <w:pPr>
        <w:autoSpaceDE w:val="0"/>
        <w:autoSpaceDN w:val="0"/>
        <w:adjustRightInd w:val="0"/>
        <w:spacing w:before="120" w:after="120" w:line="360" w:lineRule="auto"/>
        <w:rPr>
          <w:rFonts w:asciiTheme="minorHAnsi" w:eastAsia="Batang" w:hAnsiTheme="minorHAnsi" w:cstheme="minorHAnsi"/>
          <w:szCs w:val="24"/>
          <w:lang w:bidi="ur-PK"/>
        </w:rPr>
      </w:pPr>
      <w:r>
        <w:rPr>
          <w:rFonts w:asciiTheme="minorHAnsi" w:eastAsia="Batang" w:hAnsiTheme="minorHAnsi" w:cstheme="minorHAnsi"/>
          <w:szCs w:val="24"/>
        </w:rPr>
        <w:t>Inversely</w:t>
      </w:r>
      <w:r w:rsidR="009B21CC" w:rsidRPr="00353650">
        <w:rPr>
          <w:rFonts w:asciiTheme="minorHAnsi" w:eastAsia="Batang" w:hAnsiTheme="minorHAnsi" w:cstheme="minorHAnsi"/>
          <w:szCs w:val="24"/>
        </w:rPr>
        <w:t xml:space="preserve">, a third index </w:t>
      </w:r>
      <w:r w:rsidR="000533C2" w:rsidRPr="00353650">
        <w:rPr>
          <w:rFonts w:asciiTheme="minorHAnsi" w:eastAsia="Batang" w:hAnsiTheme="minorHAnsi" w:cstheme="minorHAnsi"/>
          <w:szCs w:val="24"/>
          <w:lang w:bidi="ur-PK"/>
        </w:rPr>
        <w:t xml:space="preserve">concerns </w:t>
      </w:r>
      <w:r w:rsidR="000533C2" w:rsidRPr="00353650">
        <w:rPr>
          <w:rFonts w:asciiTheme="minorHAnsi" w:eastAsia="Batang" w:hAnsiTheme="minorHAnsi" w:cstheme="minorHAnsi"/>
          <w:i/>
          <w:szCs w:val="24"/>
          <w:lang w:bidi="ur-PK"/>
        </w:rPr>
        <w:t xml:space="preserve">unsuccessful exits from unemployment </w:t>
      </w:r>
      <w:r w:rsidR="000533C2" w:rsidRPr="00353650">
        <w:rPr>
          <w:rFonts w:asciiTheme="minorHAnsi" w:eastAsia="Batang" w:hAnsiTheme="minorHAnsi" w:cstheme="minorHAnsi"/>
          <w:szCs w:val="24"/>
          <w:lang w:bidi="ur-PK"/>
        </w:rPr>
        <w:t>(</w:t>
      </w:r>
      <w:r w:rsidR="00A4482E" w:rsidRPr="00A4482E">
        <w:rPr>
          <w:rFonts w:asciiTheme="minorHAnsi" w:hAnsiTheme="minorHAnsi" w:cstheme="minorHAnsi"/>
          <w:iCs/>
          <w:szCs w:val="24"/>
        </w:rPr>
        <w:t>Ward-</w:t>
      </w:r>
      <w:proofErr w:type="spellStart"/>
      <w:r w:rsidR="00A4482E" w:rsidRPr="00A4482E">
        <w:rPr>
          <w:rFonts w:asciiTheme="minorHAnsi" w:hAnsiTheme="minorHAnsi" w:cstheme="minorHAnsi"/>
          <w:iCs/>
          <w:szCs w:val="24"/>
        </w:rPr>
        <w:t>Warmedinger</w:t>
      </w:r>
      <w:proofErr w:type="spellEnd"/>
      <w:r w:rsidR="00A4482E" w:rsidRPr="00A4482E">
        <w:rPr>
          <w:rFonts w:asciiTheme="minorHAnsi" w:hAnsiTheme="minorHAnsi" w:cstheme="minorHAnsi"/>
          <w:iCs/>
          <w:szCs w:val="24"/>
        </w:rPr>
        <w:t xml:space="preserve"> and </w:t>
      </w:r>
      <w:proofErr w:type="spellStart"/>
      <w:r w:rsidR="00A4482E" w:rsidRPr="00A4482E">
        <w:rPr>
          <w:rFonts w:asciiTheme="minorHAnsi" w:hAnsiTheme="minorHAnsi" w:cstheme="minorHAnsi"/>
          <w:iCs/>
          <w:szCs w:val="24"/>
        </w:rPr>
        <w:t>Macchiarelli</w:t>
      </w:r>
      <w:proofErr w:type="spellEnd"/>
      <w:r w:rsidR="000533C2" w:rsidRPr="00353650">
        <w:rPr>
          <w:rFonts w:asciiTheme="minorHAnsi" w:eastAsia="Batang" w:hAnsiTheme="minorHAnsi" w:cstheme="minorHAnsi"/>
          <w:szCs w:val="24"/>
          <w:lang w:bidi="ur-PK"/>
        </w:rPr>
        <w:t>, 2014)</w:t>
      </w:r>
      <w:r w:rsidR="009B21CC" w:rsidRPr="00353650">
        <w:rPr>
          <w:rFonts w:asciiTheme="minorHAnsi" w:eastAsia="Batang" w:hAnsiTheme="minorHAnsi" w:cstheme="minorHAnsi"/>
          <w:szCs w:val="24"/>
          <w:lang w:bidi="ur-PK"/>
        </w:rPr>
        <w:t xml:space="preserve">, </w:t>
      </w:r>
      <w:r w:rsidR="000533C2" w:rsidRPr="00353650">
        <w:rPr>
          <w:rFonts w:asciiTheme="minorHAnsi" w:eastAsia="Batang" w:hAnsiTheme="minorHAnsi" w:cstheme="minorHAnsi"/>
          <w:szCs w:val="24"/>
          <w:lang w:bidi="ur-PK"/>
        </w:rPr>
        <w:t xml:space="preserve">calculated as </w:t>
      </w:r>
    </w:p>
    <w:p w:rsidR="009B21CC" w:rsidRPr="00353650" w:rsidRDefault="000533C2" w:rsidP="00FA3F88">
      <w:pPr>
        <w:autoSpaceDE w:val="0"/>
        <w:autoSpaceDN w:val="0"/>
        <w:adjustRightInd w:val="0"/>
        <w:spacing w:before="120" w:after="120" w:line="360" w:lineRule="auto"/>
        <w:jc w:val="right"/>
        <w:rPr>
          <w:rFonts w:asciiTheme="minorHAnsi" w:eastAsia="Batang" w:hAnsiTheme="minorHAnsi" w:cstheme="minorHAnsi"/>
          <w:szCs w:val="24"/>
        </w:rPr>
      </w:pPr>
      <m:oMath>
        <m:r>
          <w:rPr>
            <w:rFonts w:ascii="Cambria Math" w:eastAsia="Batang" w:hAnsi="Cambria Math" w:cstheme="minorHAnsi"/>
            <w:szCs w:val="24"/>
          </w:rPr>
          <m:t>FL(U)=</m:t>
        </m:r>
        <m:f>
          <m:fPr>
            <m:ctrlPr>
              <w:rPr>
                <w:rFonts w:ascii="Cambria Math" w:eastAsia="Batang" w:hAnsi="Cambria Math" w:cstheme="minorHAnsi"/>
                <w:i/>
                <w:szCs w:val="24"/>
              </w:rPr>
            </m:ctrlPr>
          </m:fPr>
          <m:num>
            <m:sSub>
              <m:sSubPr>
                <m:ctrlPr>
                  <w:rPr>
                    <w:rFonts w:ascii="Cambria Math" w:eastAsia="Batang" w:hAnsi="Cambria Math" w:cstheme="minorHAnsi"/>
                    <w:i/>
                    <w:szCs w:val="24"/>
                  </w:rPr>
                </m:ctrlPr>
              </m:sSubPr>
              <m:e>
                <m:r>
                  <w:rPr>
                    <w:rFonts w:ascii="Cambria Math" w:eastAsia="Batang" w:hAnsi="Cambria Math" w:cstheme="minorHAnsi"/>
                    <w:szCs w:val="24"/>
                  </w:rPr>
                  <m:t>P</m:t>
                </m:r>
              </m:e>
              <m:sub>
                <m:r>
                  <w:rPr>
                    <w:rFonts w:ascii="Cambria Math" w:eastAsia="Batang" w:hAnsi="Cambria Math" w:cstheme="minorHAnsi"/>
                    <w:szCs w:val="24"/>
                  </w:rPr>
                  <m:t>UI</m:t>
                </m:r>
              </m:sub>
            </m:sSub>
          </m:num>
          <m:den>
            <m:sSub>
              <m:sSubPr>
                <m:ctrlPr>
                  <w:rPr>
                    <w:rFonts w:ascii="Cambria Math" w:eastAsia="Batang" w:hAnsi="Cambria Math" w:cstheme="minorHAnsi"/>
                    <w:i/>
                    <w:szCs w:val="24"/>
                  </w:rPr>
                </m:ctrlPr>
              </m:sSubPr>
              <m:e>
                <m:r>
                  <w:rPr>
                    <w:rFonts w:ascii="Cambria Math" w:eastAsia="Batang" w:hAnsi="Cambria Math" w:cstheme="minorHAnsi"/>
                    <w:szCs w:val="24"/>
                  </w:rPr>
                  <m:t>P</m:t>
                </m:r>
              </m:e>
              <m:sub>
                <m:r>
                  <w:rPr>
                    <w:rFonts w:ascii="Cambria Math" w:eastAsia="Batang" w:hAnsi="Cambria Math" w:cstheme="minorHAnsi"/>
                    <w:szCs w:val="24"/>
                  </w:rPr>
                  <m:t>UI</m:t>
                </m:r>
              </m:sub>
            </m:sSub>
            <m:r>
              <w:rPr>
                <w:rFonts w:ascii="Cambria Math" w:eastAsia="Batang" w:hAnsi="Cambria Math" w:cstheme="minorHAnsi"/>
                <w:szCs w:val="24"/>
              </w:rPr>
              <m:t>+</m:t>
            </m:r>
            <m:sSub>
              <m:sSubPr>
                <m:ctrlPr>
                  <w:rPr>
                    <w:rFonts w:ascii="Cambria Math" w:eastAsia="Batang" w:hAnsi="Cambria Math" w:cstheme="minorHAnsi"/>
                    <w:i/>
                    <w:szCs w:val="24"/>
                  </w:rPr>
                </m:ctrlPr>
              </m:sSubPr>
              <m:e>
                <m:r>
                  <w:rPr>
                    <w:rFonts w:ascii="Cambria Math" w:eastAsia="Batang" w:hAnsi="Cambria Math" w:cstheme="minorHAnsi"/>
                    <w:szCs w:val="24"/>
                  </w:rPr>
                  <m:t>P</m:t>
                </m:r>
              </m:e>
              <m:sub>
                <m:r>
                  <w:rPr>
                    <w:rFonts w:ascii="Cambria Math" w:eastAsia="Batang" w:hAnsi="Cambria Math" w:cstheme="minorHAnsi"/>
                    <w:szCs w:val="24"/>
                  </w:rPr>
                  <m:t>UE</m:t>
                </m:r>
              </m:sub>
            </m:sSub>
          </m:den>
        </m:f>
      </m:oMath>
      <w:r w:rsidR="009B21CC" w:rsidRPr="00353650">
        <w:rPr>
          <w:rFonts w:asciiTheme="minorHAnsi" w:eastAsia="Batang" w:hAnsiTheme="minorHAnsi" w:cstheme="minorHAnsi"/>
          <w:szCs w:val="24"/>
        </w:rPr>
        <w:tab/>
      </w:r>
      <w:r w:rsidR="009B21CC" w:rsidRPr="00353650">
        <w:rPr>
          <w:rFonts w:asciiTheme="minorHAnsi" w:eastAsia="Batang" w:hAnsiTheme="minorHAnsi" w:cstheme="minorHAnsi"/>
          <w:szCs w:val="24"/>
        </w:rPr>
        <w:tab/>
      </w:r>
      <w:r w:rsidR="009B21CC" w:rsidRPr="00353650">
        <w:rPr>
          <w:rFonts w:asciiTheme="minorHAnsi" w:eastAsia="Batang" w:hAnsiTheme="minorHAnsi" w:cstheme="minorHAnsi"/>
          <w:szCs w:val="24"/>
        </w:rPr>
        <w:tab/>
      </w:r>
      <w:r w:rsidR="009B21CC" w:rsidRPr="00353650">
        <w:rPr>
          <w:rFonts w:asciiTheme="minorHAnsi" w:eastAsia="Batang" w:hAnsiTheme="minorHAnsi" w:cstheme="minorHAnsi"/>
          <w:szCs w:val="24"/>
        </w:rPr>
        <w:tab/>
      </w:r>
      <w:r w:rsidR="009B21CC" w:rsidRPr="00353650">
        <w:rPr>
          <w:rFonts w:asciiTheme="minorHAnsi" w:eastAsia="Batang" w:hAnsiTheme="minorHAnsi" w:cstheme="minorHAnsi"/>
          <w:szCs w:val="24"/>
        </w:rPr>
        <w:tab/>
      </w:r>
      <w:r w:rsidR="009B21CC" w:rsidRPr="00353650">
        <w:rPr>
          <w:rFonts w:asciiTheme="minorHAnsi" w:eastAsia="Batang" w:hAnsiTheme="minorHAnsi" w:cstheme="minorHAnsi"/>
          <w:szCs w:val="24"/>
        </w:rPr>
        <w:tab/>
        <w:t>(4</w:t>
      </w:r>
      <w:r w:rsidRPr="00353650">
        <w:rPr>
          <w:rFonts w:asciiTheme="minorHAnsi" w:eastAsia="Batang" w:hAnsiTheme="minorHAnsi" w:cstheme="minorHAnsi"/>
          <w:szCs w:val="24"/>
        </w:rPr>
        <w:t>)</w:t>
      </w:r>
    </w:p>
    <w:p w:rsidR="005A3087" w:rsidRDefault="005A3087" w:rsidP="00FA3F88">
      <w:pPr>
        <w:spacing w:before="120" w:after="120" w:line="360" w:lineRule="auto"/>
        <w:rPr>
          <w:rFonts w:asciiTheme="minorHAnsi" w:eastAsia="Batang" w:hAnsiTheme="minorHAnsi" w:cstheme="minorHAnsi"/>
          <w:szCs w:val="24"/>
          <w:lang w:bidi="ur-PK"/>
        </w:rPr>
      </w:pPr>
      <w:r>
        <w:rPr>
          <w:rFonts w:asciiTheme="minorHAnsi" w:eastAsia="Batang" w:hAnsiTheme="minorHAnsi" w:cstheme="minorHAnsi"/>
          <w:szCs w:val="24"/>
          <w:lang w:bidi="ur-PK"/>
        </w:rPr>
        <w:t>This index captures</w:t>
      </w:r>
      <w:r w:rsidRPr="00353650">
        <w:rPr>
          <w:rFonts w:asciiTheme="minorHAnsi" w:eastAsia="Batang" w:hAnsiTheme="minorHAnsi" w:cstheme="minorHAnsi"/>
          <w:szCs w:val="24"/>
          <w:lang w:bidi="ur-PK"/>
        </w:rPr>
        <w:t xml:space="preserve"> </w:t>
      </w:r>
      <w:r>
        <w:rPr>
          <w:rFonts w:asciiTheme="minorHAnsi" w:eastAsia="Batang" w:hAnsiTheme="minorHAnsi" w:cstheme="minorHAnsi"/>
          <w:szCs w:val="24"/>
          <w:lang w:bidi="ur-PK"/>
        </w:rPr>
        <w:t>what in the literature is referred to as the</w:t>
      </w:r>
      <w:r w:rsidRPr="00353650">
        <w:rPr>
          <w:rFonts w:asciiTheme="minorHAnsi" w:eastAsia="Batang" w:hAnsiTheme="minorHAnsi" w:cstheme="minorHAnsi"/>
          <w:szCs w:val="24"/>
          <w:lang w:bidi="ur-PK"/>
        </w:rPr>
        <w:t xml:space="preserve"> “discouraged worker” effect,</w:t>
      </w:r>
      <w:r>
        <w:rPr>
          <w:rFonts w:asciiTheme="minorHAnsi" w:eastAsia="Batang" w:hAnsiTheme="minorHAnsi" w:cstheme="minorHAnsi"/>
          <w:szCs w:val="24"/>
          <w:lang w:bidi="ur-PK"/>
        </w:rPr>
        <w:t xml:space="preserve"> namely probability of individuals to detach themselves completely from the labour market after a spell of unemployment. </w:t>
      </w:r>
    </w:p>
    <w:p w:rsidR="00825FB9" w:rsidRPr="00353650" w:rsidRDefault="00DA3D9D" w:rsidP="00FA3F88">
      <w:pPr>
        <w:spacing w:before="120" w:after="120" w:line="360" w:lineRule="auto"/>
        <w:rPr>
          <w:rFonts w:asciiTheme="minorHAnsi" w:eastAsia="Batang" w:hAnsiTheme="minorHAnsi" w:cstheme="minorHAnsi"/>
          <w:szCs w:val="24"/>
          <w:lang w:bidi="ur-PK"/>
        </w:rPr>
      </w:pPr>
      <w:r w:rsidRPr="00353650">
        <w:rPr>
          <w:rFonts w:asciiTheme="minorHAnsi" w:eastAsia="Batang" w:hAnsiTheme="minorHAnsi" w:cstheme="minorHAnsi"/>
          <w:szCs w:val="24"/>
          <w:lang w:bidi="ur-PK"/>
        </w:rPr>
        <w:t xml:space="preserve">These indexes offer a snapshot of the short-run labour market dynamics of each country at each point in time. More importantly, the transition matrix </w:t>
      </w:r>
      <w:r w:rsidRPr="00353650">
        <w:rPr>
          <w:rFonts w:asciiTheme="minorHAnsi" w:eastAsia="Batang" w:hAnsiTheme="minorHAnsi" w:cstheme="minorHAnsi"/>
          <w:i/>
          <w:szCs w:val="24"/>
          <w:lang w:bidi="ur-PK"/>
        </w:rPr>
        <w:t>P</w:t>
      </w:r>
      <w:r w:rsidRPr="00353650">
        <w:rPr>
          <w:rFonts w:asciiTheme="minorHAnsi" w:eastAsia="Batang" w:hAnsiTheme="minorHAnsi" w:cstheme="minorHAnsi"/>
          <w:szCs w:val="24"/>
          <w:lang w:bidi="ur-PK"/>
        </w:rPr>
        <w:t xml:space="preserve"> can also </w:t>
      </w:r>
      <w:r w:rsidR="009B21CC" w:rsidRPr="00353650">
        <w:rPr>
          <w:rFonts w:asciiTheme="minorHAnsi" w:hAnsiTheme="minorHAnsi" w:cstheme="minorHAnsi"/>
          <w:szCs w:val="24"/>
        </w:rPr>
        <w:t xml:space="preserve">be utilized to analyse the implied long-run (steady-state) values of each labour market status in a dynamic sense. Specifically, by applying the observed transitions onto the initial labour market status in the sample (i.e., the shares of employment, unemployment and inactivity at the start of the period) iteratively over a sufficiently long horizon, we can </w:t>
      </w:r>
      <w:r w:rsidR="009B21CC" w:rsidRPr="00353650">
        <w:rPr>
          <w:rFonts w:asciiTheme="minorHAnsi" w:hAnsiTheme="minorHAnsi" w:cstheme="minorHAnsi"/>
          <w:szCs w:val="24"/>
          <w:lang w:val="en-US"/>
        </w:rPr>
        <w:t xml:space="preserve">arrive at </w:t>
      </w:r>
      <w:r w:rsidR="009B21CC" w:rsidRPr="00353650">
        <w:rPr>
          <w:rFonts w:asciiTheme="minorHAnsi" w:hAnsiTheme="minorHAnsi" w:cstheme="minorHAnsi"/>
          <w:szCs w:val="24"/>
        </w:rPr>
        <w:t xml:space="preserve">the equilibrium values of employment, unemployment and inactivity, respectively, implied by the observed transition dynamics. </w:t>
      </w:r>
      <w:r w:rsidRPr="00353650">
        <w:rPr>
          <w:rFonts w:asciiTheme="minorHAnsi" w:hAnsiTheme="minorHAnsi" w:cstheme="minorHAnsi"/>
          <w:szCs w:val="24"/>
        </w:rPr>
        <w:t xml:space="preserve">As it is standard in the literature, this is referred to as </w:t>
      </w:r>
      <w:r w:rsidR="00A92028" w:rsidRPr="00353650">
        <w:rPr>
          <w:rFonts w:asciiTheme="minorHAnsi" w:hAnsiTheme="minorHAnsi" w:cstheme="minorHAnsi"/>
          <w:szCs w:val="24"/>
        </w:rPr>
        <w:t xml:space="preserve">an </w:t>
      </w:r>
      <w:r w:rsidRPr="00353650">
        <w:rPr>
          <w:rFonts w:asciiTheme="minorHAnsi" w:hAnsiTheme="minorHAnsi" w:cstheme="minorHAnsi"/>
          <w:szCs w:val="24"/>
        </w:rPr>
        <w:t>ergodic distribution.</w:t>
      </w:r>
      <w:r w:rsidR="00A92028" w:rsidRPr="00353650">
        <w:rPr>
          <w:rStyle w:val="FootnoteReference"/>
          <w:rFonts w:asciiTheme="minorHAnsi" w:eastAsia="Batang" w:hAnsiTheme="minorHAnsi" w:cstheme="minorHAnsi"/>
          <w:szCs w:val="24"/>
          <w:lang w:bidi="ur-PK"/>
        </w:rPr>
        <w:footnoteReference w:id="6"/>
      </w:r>
      <w:r w:rsidR="00825FB9" w:rsidRPr="00353650">
        <w:rPr>
          <w:rFonts w:asciiTheme="minorHAnsi" w:hAnsiTheme="minorHAnsi" w:cstheme="minorHAnsi"/>
          <w:szCs w:val="24"/>
        </w:rPr>
        <w:t xml:space="preserve"> The </w:t>
      </w:r>
      <w:r w:rsidR="00825FB9" w:rsidRPr="00353650">
        <w:rPr>
          <w:rFonts w:asciiTheme="minorHAnsi" w:hAnsiTheme="minorHAnsi" w:cstheme="minorHAnsi"/>
          <w:szCs w:val="24"/>
        </w:rPr>
        <w:lastRenderedPageBreak/>
        <w:t xml:space="preserve">number of iterations required for the ergodic distribution to be reached is a measure of the </w:t>
      </w:r>
      <w:r w:rsidR="00825FB9" w:rsidRPr="00353650">
        <w:rPr>
          <w:rFonts w:asciiTheme="minorHAnsi" w:eastAsia="Batang" w:hAnsiTheme="minorHAnsi" w:cstheme="minorHAnsi"/>
          <w:szCs w:val="24"/>
          <w:lang w:bidi="ur-PK"/>
        </w:rPr>
        <w:t>speed of convergence towards the steady-state. As is common in the literature, this is measured via the following statistic</w:t>
      </w:r>
    </w:p>
    <w:p w:rsidR="00825FB9" w:rsidRPr="00353650" w:rsidRDefault="00C83C26" w:rsidP="00FA3F88">
      <w:pPr>
        <w:spacing w:before="120" w:after="120" w:line="360" w:lineRule="auto"/>
        <w:jc w:val="right"/>
        <w:rPr>
          <w:rFonts w:asciiTheme="minorHAnsi" w:hAnsiTheme="minorHAnsi" w:cstheme="minorHAnsi"/>
          <w:szCs w:val="24"/>
        </w:rPr>
      </w:pPr>
      <m:oMath>
        <m:sSup>
          <m:sSupPr>
            <m:ctrlPr>
              <w:rPr>
                <w:rFonts w:ascii="Cambria Math" w:hAnsi="Cambria Math" w:cstheme="minorHAnsi"/>
                <w:i/>
                <w:szCs w:val="24"/>
              </w:rPr>
            </m:ctrlPr>
          </m:sSupPr>
          <m:e>
            <m:r>
              <w:rPr>
                <w:rFonts w:ascii="Cambria Math" w:hAnsi="Cambria Math" w:cstheme="minorHAnsi"/>
                <w:szCs w:val="24"/>
              </w:rPr>
              <m:t>t</m:t>
            </m:r>
          </m:e>
          <m:sup>
            <m:r>
              <w:rPr>
                <w:rFonts w:ascii="Cambria Math" w:hAnsi="Cambria Math" w:cstheme="minorHAnsi"/>
                <w:szCs w:val="24"/>
              </w:rPr>
              <m:t>o</m:t>
            </m:r>
          </m:sup>
        </m:sSup>
        <m:r>
          <w:rPr>
            <w:rFonts w:ascii="Cambria Math" w:hAnsi="Cambria Math" w:cstheme="minorHAnsi"/>
            <w:szCs w:val="24"/>
          </w:rPr>
          <m:t>=</m:t>
        </m:r>
        <m:f>
          <m:fPr>
            <m:ctrlPr>
              <w:rPr>
                <w:rFonts w:ascii="Cambria Math" w:hAnsi="Cambria Math" w:cstheme="minorHAnsi"/>
                <w:i/>
                <w:szCs w:val="24"/>
              </w:rPr>
            </m:ctrlPr>
          </m:fPr>
          <m:num>
            <m:r>
              <w:rPr>
                <w:rFonts w:ascii="Cambria Math" w:hAnsi="Cambria Math" w:cstheme="minorHAnsi"/>
                <w:szCs w:val="24"/>
              </w:rPr>
              <m:t>-</m:t>
            </m:r>
            <m:r>
              <m:rPr>
                <m:sty m:val="p"/>
              </m:rPr>
              <w:rPr>
                <w:rFonts w:ascii="Cambria Math" w:hAnsi="Cambria Math" w:cstheme="minorHAnsi"/>
                <w:szCs w:val="24"/>
              </w:rPr>
              <m:t>ln⁡</m:t>
            </m:r>
            <m:r>
              <w:rPr>
                <w:rFonts w:ascii="Cambria Math" w:hAnsi="Cambria Math" w:cstheme="minorHAnsi"/>
                <w:szCs w:val="24"/>
              </w:rPr>
              <m:t>(2)</m:t>
            </m:r>
          </m:num>
          <m:den>
            <m:r>
              <m:rPr>
                <m:sty m:val="p"/>
              </m:rPr>
              <w:rPr>
                <w:rFonts w:ascii="Cambria Math" w:hAnsi="Cambria Math" w:cstheme="minorHAnsi"/>
                <w:szCs w:val="24"/>
              </w:rPr>
              <m:t>ln⁡</m:t>
            </m:r>
            <m:r>
              <w:rPr>
                <w:rFonts w:ascii="Cambria Math" w:hAnsi="Cambria Math" w:cstheme="minorHAnsi"/>
                <w:szCs w:val="24"/>
              </w:rPr>
              <m:t>(</m:t>
            </m:r>
            <m:sSub>
              <m:sSubPr>
                <m:ctrlPr>
                  <w:rPr>
                    <w:rFonts w:ascii="Cambria Math" w:hAnsi="Cambria Math" w:cstheme="minorHAnsi"/>
                    <w:i/>
                    <w:szCs w:val="24"/>
                  </w:rPr>
                </m:ctrlPr>
              </m:sSubPr>
              <m:e>
                <m:r>
                  <w:rPr>
                    <w:rFonts w:ascii="Cambria Math" w:hAnsi="Cambria Math" w:cstheme="minorHAnsi"/>
                    <w:szCs w:val="24"/>
                    <w:lang w:val="el-GR"/>
                  </w:rPr>
                  <m:t>λ</m:t>
                </m:r>
              </m:e>
              <m:sub>
                <m:r>
                  <w:rPr>
                    <w:rFonts w:ascii="Cambria Math" w:hAnsi="Cambria Math" w:cstheme="minorHAnsi"/>
                    <w:szCs w:val="24"/>
                  </w:rPr>
                  <m:t>2</m:t>
                </m:r>
              </m:sub>
            </m:sSub>
            <m:r>
              <w:rPr>
                <w:rFonts w:ascii="Cambria Math" w:hAnsi="Cambria Math" w:cstheme="minorHAnsi"/>
                <w:szCs w:val="24"/>
              </w:rPr>
              <m:t>)</m:t>
            </m:r>
          </m:den>
        </m:f>
      </m:oMath>
      <w:r w:rsidR="00F366E4" w:rsidRPr="00353650">
        <w:rPr>
          <w:rFonts w:asciiTheme="minorHAnsi" w:hAnsiTheme="minorHAnsi" w:cstheme="minorHAnsi"/>
          <w:szCs w:val="24"/>
        </w:rPr>
        <w:tab/>
      </w:r>
      <w:r w:rsidR="00E94F64" w:rsidRPr="00353650">
        <w:rPr>
          <w:rFonts w:asciiTheme="minorHAnsi" w:hAnsiTheme="minorHAnsi" w:cstheme="minorHAnsi"/>
          <w:szCs w:val="24"/>
          <w:lang w:val="el-GR"/>
        </w:rPr>
        <w:tab/>
      </w:r>
      <w:r w:rsidR="00E94F64" w:rsidRPr="00353650">
        <w:rPr>
          <w:rFonts w:asciiTheme="minorHAnsi" w:hAnsiTheme="minorHAnsi" w:cstheme="minorHAnsi"/>
          <w:szCs w:val="24"/>
          <w:lang w:val="el-GR"/>
        </w:rPr>
        <w:tab/>
      </w:r>
      <w:r w:rsidR="00F366E4" w:rsidRPr="00353650">
        <w:rPr>
          <w:rFonts w:asciiTheme="minorHAnsi" w:hAnsiTheme="minorHAnsi" w:cstheme="minorHAnsi"/>
          <w:szCs w:val="24"/>
        </w:rPr>
        <w:tab/>
      </w:r>
      <w:r w:rsidR="00F366E4" w:rsidRPr="00353650">
        <w:rPr>
          <w:rFonts w:asciiTheme="minorHAnsi" w:hAnsiTheme="minorHAnsi" w:cstheme="minorHAnsi"/>
          <w:szCs w:val="24"/>
        </w:rPr>
        <w:tab/>
      </w:r>
      <w:r w:rsidR="00825FB9" w:rsidRPr="00353650">
        <w:rPr>
          <w:rFonts w:asciiTheme="minorHAnsi" w:hAnsiTheme="minorHAnsi" w:cstheme="minorHAnsi"/>
          <w:szCs w:val="24"/>
        </w:rPr>
        <w:tab/>
      </w:r>
      <w:r w:rsidR="00825FB9" w:rsidRPr="00353650">
        <w:rPr>
          <w:rFonts w:asciiTheme="minorHAnsi" w:eastAsia="Batang" w:hAnsiTheme="minorHAnsi" w:cstheme="minorHAnsi"/>
          <w:szCs w:val="24"/>
          <w:lang w:bidi="ur-PK"/>
        </w:rPr>
        <w:t xml:space="preserve">(5) </w:t>
      </w:r>
    </w:p>
    <w:p w:rsidR="00825FB9" w:rsidRPr="00353650" w:rsidRDefault="00825FB9" w:rsidP="00FA3F88">
      <w:pPr>
        <w:spacing w:before="120" w:after="120" w:line="360" w:lineRule="auto"/>
        <w:rPr>
          <w:rFonts w:asciiTheme="minorHAnsi" w:eastAsia="Batang" w:hAnsiTheme="minorHAnsi" w:cstheme="minorHAnsi"/>
          <w:szCs w:val="24"/>
          <w:lang w:bidi="ur-PK"/>
        </w:rPr>
      </w:pPr>
      <w:r w:rsidRPr="00353650">
        <w:rPr>
          <w:rFonts w:asciiTheme="minorHAnsi" w:eastAsia="Batang" w:hAnsiTheme="minorHAnsi" w:cstheme="minorHAnsi"/>
          <w:szCs w:val="24"/>
          <w:lang w:bidi="ur-PK"/>
        </w:rPr>
        <w:t>showing the half-life of convergence (</w:t>
      </w:r>
      <w:r w:rsidR="00E94F64" w:rsidRPr="00353650">
        <w:rPr>
          <w:rFonts w:asciiTheme="minorHAnsi" w:eastAsia="Batang" w:hAnsiTheme="minorHAnsi" w:cstheme="minorHAnsi"/>
          <w:i/>
          <w:szCs w:val="24"/>
          <w:lang w:bidi="ur-PK"/>
        </w:rPr>
        <w:t>t</w:t>
      </w:r>
      <w:r w:rsidR="00E94F64" w:rsidRPr="00353650">
        <w:rPr>
          <w:rFonts w:asciiTheme="minorHAnsi" w:eastAsia="Batang" w:hAnsiTheme="minorHAnsi" w:cstheme="minorHAnsi"/>
          <w:i/>
          <w:szCs w:val="24"/>
          <w:vertAlign w:val="superscript"/>
          <w:lang w:bidi="ur-PK"/>
        </w:rPr>
        <w:t>o</w:t>
      </w:r>
      <w:r w:rsidRPr="00353650">
        <w:rPr>
          <w:rFonts w:asciiTheme="minorHAnsi" w:hAnsiTheme="minorHAnsi" w:cstheme="minorHAnsi"/>
          <w:szCs w:val="24"/>
        </w:rPr>
        <w:t>),</w:t>
      </w:r>
      <w:r w:rsidR="00E94F64" w:rsidRPr="00353650">
        <w:rPr>
          <w:rFonts w:asciiTheme="minorHAnsi" w:hAnsiTheme="minorHAnsi" w:cstheme="minorHAnsi"/>
          <w:szCs w:val="24"/>
        </w:rPr>
        <w:t xml:space="preserve"> </w:t>
      </w:r>
      <w:r w:rsidRPr="00353650">
        <w:rPr>
          <w:rFonts w:asciiTheme="minorHAnsi" w:eastAsia="Batang" w:hAnsiTheme="minorHAnsi" w:cstheme="minorHAnsi"/>
          <w:szCs w:val="24"/>
          <w:lang w:bidi="ur-PK"/>
        </w:rPr>
        <w:t>where</w:t>
      </w:r>
      <w:r w:rsidR="00E94F64" w:rsidRPr="00353650">
        <w:rPr>
          <w:rFonts w:asciiTheme="minorHAnsi" w:eastAsia="Batang" w:hAnsiTheme="minorHAnsi" w:cstheme="minorHAnsi"/>
          <w:szCs w:val="24"/>
          <w:lang w:bidi="ur-PK"/>
        </w:rPr>
        <w:t xml:space="preserve"> </w:t>
      </w:r>
      <w:r w:rsidR="00E94F64" w:rsidRPr="00353650">
        <w:rPr>
          <w:rFonts w:asciiTheme="minorHAnsi" w:eastAsia="Batang" w:hAnsiTheme="minorHAnsi" w:cstheme="minorHAnsi"/>
          <w:i/>
          <w:szCs w:val="24"/>
          <w:lang w:val="el-GR" w:bidi="ur-PK"/>
        </w:rPr>
        <w:t>λ</w:t>
      </w:r>
      <w:r w:rsidR="00E94F64" w:rsidRPr="00353650">
        <w:rPr>
          <w:rFonts w:asciiTheme="minorHAnsi" w:eastAsia="Batang" w:hAnsiTheme="minorHAnsi" w:cstheme="minorHAnsi"/>
          <w:i/>
          <w:szCs w:val="24"/>
          <w:vertAlign w:val="subscript"/>
          <w:lang w:bidi="ur-PK"/>
        </w:rPr>
        <w:t>2</w:t>
      </w:r>
      <w:r w:rsidRPr="00353650">
        <w:rPr>
          <w:rFonts w:asciiTheme="minorHAnsi" w:eastAsia="Batang" w:hAnsiTheme="minorHAnsi" w:cstheme="minorHAnsi"/>
          <w:szCs w:val="24"/>
          <w:lang w:bidi="ur-PK"/>
        </w:rPr>
        <w:t xml:space="preserve"> is the second eigenvalue of the transition probability matrix </w:t>
      </w:r>
      <w:r w:rsidRPr="00353650">
        <w:rPr>
          <w:rFonts w:asciiTheme="minorHAnsi" w:eastAsia="Batang" w:hAnsiTheme="minorHAnsi" w:cstheme="minorHAnsi"/>
          <w:i/>
          <w:szCs w:val="24"/>
          <w:lang w:bidi="ur-PK"/>
        </w:rPr>
        <w:t>P</w:t>
      </w:r>
      <w:r w:rsidRPr="00353650">
        <w:rPr>
          <w:rFonts w:asciiTheme="minorHAnsi" w:eastAsia="Batang" w:hAnsiTheme="minorHAnsi" w:cstheme="minorHAnsi"/>
          <w:szCs w:val="24"/>
          <w:lang w:bidi="ur-PK"/>
        </w:rPr>
        <w:t>.</w:t>
      </w:r>
      <w:r w:rsidR="005A3087">
        <w:rPr>
          <w:rFonts w:asciiTheme="minorHAnsi" w:eastAsia="Batang" w:hAnsiTheme="minorHAnsi" w:cstheme="minorHAnsi"/>
          <w:szCs w:val="24"/>
          <w:lang w:bidi="ur-PK"/>
        </w:rPr>
        <w:t xml:space="preserve"> The statistic measures the number of periods (years) it takes for the distribution to move half of the distance between its initial position and the position found in the steady-state.  </w:t>
      </w:r>
    </w:p>
    <w:p w:rsidR="00832A37" w:rsidRPr="00353650" w:rsidRDefault="000533C2" w:rsidP="00FA3F88">
      <w:pPr>
        <w:spacing w:before="120" w:after="120" w:line="360" w:lineRule="auto"/>
        <w:rPr>
          <w:rFonts w:asciiTheme="minorHAnsi" w:hAnsiTheme="minorHAnsi" w:cstheme="minorHAnsi"/>
          <w:szCs w:val="24"/>
          <w:lang w:val="en-US"/>
        </w:rPr>
      </w:pPr>
      <w:r w:rsidRPr="00353650">
        <w:rPr>
          <w:rFonts w:asciiTheme="minorHAnsi" w:eastAsia="Batang" w:hAnsiTheme="minorHAnsi" w:cstheme="minorHAnsi"/>
          <w:szCs w:val="24"/>
          <w:lang w:bidi="ur-PK"/>
        </w:rPr>
        <w:t xml:space="preserve">Calculating the ergodic </w:t>
      </w:r>
      <w:r w:rsidR="00A92028" w:rsidRPr="00353650">
        <w:rPr>
          <w:rFonts w:asciiTheme="minorHAnsi" w:eastAsia="Batang" w:hAnsiTheme="minorHAnsi" w:cstheme="minorHAnsi"/>
          <w:szCs w:val="24"/>
          <w:lang w:bidi="ur-PK"/>
        </w:rPr>
        <w:t xml:space="preserve">(steady-state) distribution </w:t>
      </w:r>
      <w:r w:rsidRPr="00353650">
        <w:rPr>
          <w:rFonts w:asciiTheme="minorHAnsi" w:eastAsia="Batang" w:hAnsiTheme="minorHAnsi" w:cstheme="minorHAnsi"/>
          <w:szCs w:val="24"/>
          <w:lang w:bidi="ur-PK"/>
        </w:rPr>
        <w:t xml:space="preserve">for each transition event (i.e., between any two periods) </w:t>
      </w:r>
      <w:r w:rsidR="00A92028" w:rsidRPr="00353650">
        <w:rPr>
          <w:rFonts w:asciiTheme="minorHAnsi" w:eastAsia="Batang" w:hAnsiTheme="minorHAnsi" w:cstheme="minorHAnsi"/>
          <w:szCs w:val="24"/>
          <w:lang w:bidi="ur-PK"/>
        </w:rPr>
        <w:t xml:space="preserve">and every country </w:t>
      </w:r>
      <w:r w:rsidRPr="00353650">
        <w:rPr>
          <w:rFonts w:asciiTheme="minorHAnsi" w:eastAsia="Batang" w:hAnsiTheme="minorHAnsi" w:cstheme="minorHAnsi"/>
          <w:szCs w:val="24"/>
          <w:lang w:bidi="ur-PK"/>
        </w:rPr>
        <w:t xml:space="preserve">allows us to examine how the long-run dynamics implied by the observed transition probabilities </w:t>
      </w:r>
      <w:r w:rsidR="00825FB9" w:rsidRPr="00353650">
        <w:rPr>
          <w:rFonts w:asciiTheme="minorHAnsi" w:eastAsia="Batang" w:hAnsiTheme="minorHAnsi" w:cstheme="minorHAnsi"/>
          <w:szCs w:val="24"/>
          <w:lang w:bidi="ur-PK"/>
        </w:rPr>
        <w:t xml:space="preserve">vary </w:t>
      </w:r>
      <w:r w:rsidRPr="00353650">
        <w:rPr>
          <w:rFonts w:asciiTheme="minorHAnsi" w:eastAsia="Batang" w:hAnsiTheme="minorHAnsi" w:cstheme="minorHAnsi"/>
          <w:szCs w:val="24"/>
          <w:lang w:bidi="ur-PK"/>
        </w:rPr>
        <w:t xml:space="preserve">over time and across countries </w:t>
      </w:r>
      <w:r w:rsidR="00825FB9" w:rsidRPr="00353650">
        <w:rPr>
          <w:rFonts w:asciiTheme="minorHAnsi" w:eastAsia="Batang" w:hAnsiTheme="minorHAnsi" w:cstheme="minorHAnsi"/>
          <w:szCs w:val="24"/>
          <w:lang w:bidi="ur-PK"/>
        </w:rPr>
        <w:t>(</w:t>
      </w:r>
      <w:r w:rsidRPr="00353650">
        <w:rPr>
          <w:rFonts w:asciiTheme="minorHAnsi" w:eastAsia="Batang" w:hAnsiTheme="minorHAnsi" w:cstheme="minorHAnsi"/>
          <w:szCs w:val="24"/>
          <w:lang w:bidi="ur-PK"/>
        </w:rPr>
        <w:t>or country-groups</w:t>
      </w:r>
      <w:r w:rsidR="00825FB9" w:rsidRPr="00353650">
        <w:rPr>
          <w:rFonts w:asciiTheme="minorHAnsi" w:eastAsia="Batang" w:hAnsiTheme="minorHAnsi" w:cstheme="minorHAnsi"/>
          <w:szCs w:val="24"/>
          <w:lang w:bidi="ur-PK"/>
        </w:rPr>
        <w:t>)</w:t>
      </w:r>
      <w:r w:rsidRPr="00353650">
        <w:rPr>
          <w:rFonts w:asciiTheme="minorHAnsi" w:eastAsia="Batang" w:hAnsiTheme="minorHAnsi" w:cstheme="minorHAnsi"/>
          <w:szCs w:val="24"/>
          <w:lang w:bidi="ur-PK"/>
        </w:rPr>
        <w:t xml:space="preserve">. </w:t>
      </w:r>
      <w:r w:rsidR="00825FB9" w:rsidRPr="00353650">
        <w:rPr>
          <w:rFonts w:asciiTheme="minorHAnsi" w:eastAsia="Batang" w:hAnsiTheme="minorHAnsi" w:cstheme="minorHAnsi"/>
          <w:szCs w:val="24"/>
          <w:lang w:bidi="ur-PK"/>
        </w:rPr>
        <w:t xml:space="preserve">In addition, if further allows us to </w:t>
      </w:r>
      <w:r w:rsidR="00347E7E" w:rsidRPr="00353650">
        <w:rPr>
          <w:rFonts w:asciiTheme="minorHAnsi" w:hAnsiTheme="minorHAnsi" w:cstheme="minorHAnsi"/>
          <w:szCs w:val="24"/>
          <w:lang w:val="en-US"/>
        </w:rPr>
        <w:t xml:space="preserve">implement </w:t>
      </w:r>
      <w:r w:rsidR="00825FB9" w:rsidRPr="00353650">
        <w:rPr>
          <w:rFonts w:asciiTheme="minorHAnsi" w:hAnsiTheme="minorHAnsi" w:cstheme="minorHAnsi"/>
          <w:szCs w:val="24"/>
          <w:lang w:val="en-US"/>
        </w:rPr>
        <w:t xml:space="preserve">a </w:t>
      </w:r>
      <w:r w:rsidR="00347E7E" w:rsidRPr="00353650">
        <w:rPr>
          <w:rFonts w:asciiTheme="minorHAnsi" w:hAnsiTheme="minorHAnsi" w:cstheme="minorHAnsi"/>
          <w:szCs w:val="24"/>
          <w:lang w:val="en-US"/>
        </w:rPr>
        <w:t xml:space="preserve">counterfactual analysis </w:t>
      </w:r>
      <w:r w:rsidR="00825FB9" w:rsidRPr="00353650">
        <w:rPr>
          <w:rFonts w:asciiTheme="minorHAnsi" w:hAnsiTheme="minorHAnsi" w:cstheme="minorHAnsi"/>
          <w:szCs w:val="24"/>
          <w:lang w:val="en-US"/>
        </w:rPr>
        <w:t xml:space="preserve">in order to examine </w:t>
      </w:r>
      <w:r w:rsidR="00347E7E" w:rsidRPr="00353650">
        <w:rPr>
          <w:rFonts w:asciiTheme="minorHAnsi" w:hAnsiTheme="minorHAnsi" w:cstheme="minorHAnsi"/>
          <w:szCs w:val="24"/>
          <w:lang w:val="en-US"/>
        </w:rPr>
        <w:t xml:space="preserve">how the transition dynamics of each country affect their long-run equilibrium. </w:t>
      </w:r>
      <w:r w:rsidR="00825FB9" w:rsidRPr="00353650">
        <w:rPr>
          <w:rFonts w:asciiTheme="minorHAnsi" w:hAnsiTheme="minorHAnsi" w:cstheme="minorHAnsi"/>
          <w:szCs w:val="24"/>
          <w:lang w:val="en-US"/>
        </w:rPr>
        <w:t>Specifically, u</w:t>
      </w:r>
      <w:r w:rsidR="00347E7E" w:rsidRPr="00353650">
        <w:rPr>
          <w:rFonts w:asciiTheme="minorHAnsi" w:hAnsiTheme="minorHAnsi" w:cstheme="minorHAnsi"/>
          <w:szCs w:val="24"/>
          <w:lang w:val="en-US"/>
        </w:rPr>
        <w:t xml:space="preserve">sing the transition dynamics observed in </w:t>
      </w:r>
      <w:r w:rsidR="00825FB9" w:rsidRPr="00353650">
        <w:rPr>
          <w:rFonts w:asciiTheme="minorHAnsi" w:hAnsiTheme="minorHAnsi" w:cstheme="minorHAnsi"/>
          <w:szCs w:val="24"/>
          <w:lang w:val="en-US"/>
        </w:rPr>
        <w:t>a selected ’benchmark’ case</w:t>
      </w:r>
      <w:r w:rsidR="00347E7E" w:rsidRPr="00353650">
        <w:rPr>
          <w:rFonts w:asciiTheme="minorHAnsi" w:hAnsiTheme="minorHAnsi" w:cstheme="minorHAnsi"/>
          <w:szCs w:val="24"/>
          <w:lang w:val="en-US"/>
        </w:rPr>
        <w:t xml:space="preserve">, </w:t>
      </w:r>
      <w:r w:rsidR="00825FB9" w:rsidRPr="00353650">
        <w:rPr>
          <w:rFonts w:asciiTheme="minorHAnsi" w:hAnsiTheme="minorHAnsi" w:cstheme="minorHAnsi"/>
          <w:szCs w:val="24"/>
          <w:lang w:val="en-US"/>
        </w:rPr>
        <w:t xml:space="preserve">one can </w:t>
      </w:r>
      <w:r w:rsidR="00347E7E" w:rsidRPr="00353650">
        <w:rPr>
          <w:rFonts w:asciiTheme="minorHAnsi" w:hAnsiTheme="minorHAnsi" w:cstheme="minorHAnsi"/>
          <w:szCs w:val="24"/>
          <w:lang w:val="en-US"/>
        </w:rPr>
        <w:t xml:space="preserve">calculate a </w:t>
      </w:r>
      <w:r w:rsidR="00825FB9" w:rsidRPr="00353650">
        <w:rPr>
          <w:rFonts w:asciiTheme="minorHAnsi" w:hAnsiTheme="minorHAnsi" w:cstheme="minorHAnsi"/>
          <w:szCs w:val="24"/>
          <w:lang w:val="en-US"/>
        </w:rPr>
        <w:t>counterfactual</w:t>
      </w:r>
      <w:r w:rsidR="00347E7E" w:rsidRPr="00353650">
        <w:rPr>
          <w:rFonts w:asciiTheme="minorHAnsi" w:hAnsiTheme="minorHAnsi" w:cstheme="minorHAnsi"/>
          <w:szCs w:val="24"/>
          <w:lang w:val="en-US"/>
        </w:rPr>
        <w:t xml:space="preserve"> equilibrium for </w:t>
      </w:r>
      <w:r w:rsidR="00825FB9" w:rsidRPr="00353650">
        <w:rPr>
          <w:rFonts w:asciiTheme="minorHAnsi" w:hAnsiTheme="minorHAnsi" w:cstheme="minorHAnsi"/>
          <w:szCs w:val="24"/>
          <w:lang w:val="en-US"/>
        </w:rPr>
        <w:t xml:space="preserve">any one </w:t>
      </w:r>
      <w:r w:rsidR="00347E7E" w:rsidRPr="00353650">
        <w:rPr>
          <w:rFonts w:asciiTheme="minorHAnsi" w:hAnsiTheme="minorHAnsi" w:cstheme="minorHAnsi"/>
          <w:szCs w:val="24"/>
          <w:lang w:val="en-US"/>
        </w:rPr>
        <w:t>country</w:t>
      </w:r>
      <w:r w:rsidR="00825FB9" w:rsidRPr="00353650">
        <w:rPr>
          <w:rFonts w:asciiTheme="minorHAnsi" w:hAnsiTheme="minorHAnsi" w:cstheme="minorHAnsi"/>
          <w:szCs w:val="24"/>
          <w:lang w:val="en-US"/>
        </w:rPr>
        <w:t>,</w:t>
      </w:r>
      <w:r w:rsidR="00347E7E" w:rsidRPr="00353650">
        <w:rPr>
          <w:rFonts w:asciiTheme="minorHAnsi" w:hAnsiTheme="minorHAnsi" w:cstheme="minorHAnsi"/>
          <w:szCs w:val="24"/>
          <w:lang w:val="en-US"/>
        </w:rPr>
        <w:t xml:space="preserve"> </w:t>
      </w:r>
      <w:r w:rsidR="00825FB9" w:rsidRPr="00353650">
        <w:rPr>
          <w:rFonts w:asciiTheme="minorHAnsi" w:hAnsiTheme="minorHAnsi" w:cstheme="minorHAnsi"/>
          <w:szCs w:val="24"/>
          <w:lang w:val="en-US"/>
        </w:rPr>
        <w:t xml:space="preserve">which would have </w:t>
      </w:r>
      <w:r w:rsidR="00E94F64" w:rsidRPr="00353650">
        <w:rPr>
          <w:rFonts w:asciiTheme="minorHAnsi" w:hAnsiTheme="minorHAnsi" w:cstheme="minorHAnsi"/>
          <w:szCs w:val="24"/>
          <w:lang w:val="en-US"/>
        </w:rPr>
        <w:t>occurred</w:t>
      </w:r>
      <w:r w:rsidR="00347E7E" w:rsidRPr="00353650">
        <w:rPr>
          <w:rFonts w:asciiTheme="minorHAnsi" w:hAnsiTheme="minorHAnsi" w:cstheme="minorHAnsi"/>
          <w:szCs w:val="24"/>
          <w:lang w:val="en-US"/>
        </w:rPr>
        <w:t xml:space="preserve"> if the transition dynamics of the ‘benchmark’ case were applied on </w:t>
      </w:r>
      <w:r w:rsidR="00825FB9" w:rsidRPr="00353650">
        <w:rPr>
          <w:rFonts w:asciiTheme="minorHAnsi" w:hAnsiTheme="minorHAnsi" w:cstheme="minorHAnsi"/>
          <w:szCs w:val="24"/>
          <w:lang w:val="en-US"/>
        </w:rPr>
        <w:t xml:space="preserve">the </w:t>
      </w:r>
      <w:r w:rsidR="00347E7E" w:rsidRPr="00353650">
        <w:rPr>
          <w:rFonts w:asciiTheme="minorHAnsi" w:hAnsiTheme="minorHAnsi" w:cstheme="minorHAnsi"/>
          <w:szCs w:val="24"/>
          <w:lang w:val="en-US"/>
        </w:rPr>
        <w:t xml:space="preserve">actual (observed) initial </w:t>
      </w:r>
      <w:proofErr w:type="spellStart"/>
      <w:r w:rsidR="00347E7E" w:rsidRPr="00353650">
        <w:rPr>
          <w:rFonts w:asciiTheme="minorHAnsi" w:hAnsiTheme="minorHAnsi" w:cstheme="minorHAnsi"/>
          <w:szCs w:val="24"/>
          <w:lang w:val="en-US"/>
        </w:rPr>
        <w:t>labour</w:t>
      </w:r>
      <w:proofErr w:type="spellEnd"/>
      <w:r w:rsidR="00347E7E" w:rsidRPr="00353650">
        <w:rPr>
          <w:rFonts w:asciiTheme="minorHAnsi" w:hAnsiTheme="minorHAnsi" w:cstheme="minorHAnsi"/>
          <w:szCs w:val="24"/>
          <w:lang w:val="en-US"/>
        </w:rPr>
        <w:t xml:space="preserve"> market state of </w:t>
      </w:r>
      <w:r w:rsidR="00825FB9" w:rsidRPr="00353650">
        <w:rPr>
          <w:rFonts w:asciiTheme="minorHAnsi" w:hAnsiTheme="minorHAnsi" w:cstheme="minorHAnsi"/>
          <w:szCs w:val="24"/>
          <w:lang w:val="en-US"/>
        </w:rPr>
        <w:t xml:space="preserve">that </w:t>
      </w:r>
      <w:r w:rsidR="00347E7E" w:rsidRPr="00353650">
        <w:rPr>
          <w:rFonts w:asciiTheme="minorHAnsi" w:hAnsiTheme="minorHAnsi" w:cstheme="minorHAnsi"/>
          <w:szCs w:val="24"/>
          <w:lang w:val="en-US"/>
        </w:rPr>
        <w:t xml:space="preserve">country. </w:t>
      </w:r>
      <w:r w:rsidR="00825FB9" w:rsidRPr="00353650">
        <w:rPr>
          <w:rFonts w:asciiTheme="minorHAnsi" w:hAnsiTheme="minorHAnsi" w:cstheme="minorHAnsi"/>
          <w:szCs w:val="24"/>
          <w:lang w:val="en-US"/>
        </w:rPr>
        <w:t>T</w:t>
      </w:r>
      <w:r w:rsidR="00347E7E" w:rsidRPr="00353650">
        <w:rPr>
          <w:rFonts w:asciiTheme="minorHAnsi" w:hAnsiTheme="minorHAnsi" w:cstheme="minorHAnsi"/>
          <w:szCs w:val="24"/>
          <w:lang w:val="en-US"/>
        </w:rPr>
        <w:t xml:space="preserve">he difference between ‘actual’ and ‘counterfactual’ equilibrium provides us </w:t>
      </w:r>
      <w:r w:rsidR="00825FB9" w:rsidRPr="00353650">
        <w:rPr>
          <w:rFonts w:asciiTheme="minorHAnsi" w:hAnsiTheme="minorHAnsi" w:cstheme="minorHAnsi"/>
          <w:szCs w:val="24"/>
          <w:lang w:val="en-US"/>
        </w:rPr>
        <w:t xml:space="preserve">then </w:t>
      </w:r>
      <w:r w:rsidR="00347E7E" w:rsidRPr="00353650">
        <w:rPr>
          <w:rFonts w:asciiTheme="minorHAnsi" w:hAnsiTheme="minorHAnsi" w:cstheme="minorHAnsi"/>
          <w:szCs w:val="24"/>
          <w:lang w:val="en-US"/>
        </w:rPr>
        <w:t>with an assessment of the difference in equilibrium employment, unemployment and inactivity in each country that is uniquely attributable to the distance between the transition dynamics of this country and the transition dynamics observed in the reference country</w:t>
      </w:r>
      <w:r w:rsidR="00825FB9" w:rsidRPr="00353650">
        <w:rPr>
          <w:rFonts w:asciiTheme="minorHAnsi" w:hAnsiTheme="minorHAnsi" w:cstheme="minorHAnsi"/>
          <w:szCs w:val="24"/>
          <w:lang w:val="en-US"/>
        </w:rPr>
        <w:t xml:space="preserve">. </w:t>
      </w:r>
      <w:r w:rsidR="00F366E4" w:rsidRPr="00353650">
        <w:rPr>
          <w:rFonts w:asciiTheme="minorHAnsi" w:hAnsiTheme="minorHAnsi" w:cstheme="minorHAnsi"/>
          <w:szCs w:val="24"/>
          <w:lang w:val="en-US"/>
        </w:rPr>
        <w:t>We implement this analysis using some characteristic ‘benchmarks’ (Greece, Sweden and the group of Nordic countries)</w:t>
      </w:r>
      <w:r w:rsidR="005A3087">
        <w:rPr>
          <w:rFonts w:asciiTheme="minorHAnsi" w:hAnsiTheme="minorHAnsi" w:cstheme="minorHAnsi"/>
          <w:szCs w:val="24"/>
          <w:lang w:val="en-US"/>
        </w:rPr>
        <w:t xml:space="preserve">. Our choice of benchmarks is informed of course by wider discussions in the literature and in policy (EC, 2007), </w:t>
      </w:r>
      <w:r w:rsidR="003F220D">
        <w:rPr>
          <w:rFonts w:asciiTheme="minorHAnsi" w:hAnsiTheme="minorHAnsi" w:cstheme="minorHAnsi"/>
          <w:szCs w:val="24"/>
          <w:lang w:val="en-US"/>
        </w:rPr>
        <w:t xml:space="preserve">both </w:t>
      </w:r>
      <w:r w:rsidR="005A3087">
        <w:rPr>
          <w:rFonts w:asciiTheme="minorHAnsi" w:hAnsiTheme="minorHAnsi" w:cstheme="minorHAnsi"/>
          <w:szCs w:val="24"/>
          <w:lang w:val="en-US"/>
        </w:rPr>
        <w:t xml:space="preserve">about the </w:t>
      </w:r>
      <w:r w:rsidR="003F220D">
        <w:rPr>
          <w:rFonts w:asciiTheme="minorHAnsi" w:hAnsiTheme="minorHAnsi" w:cstheme="minorHAnsi"/>
          <w:szCs w:val="24"/>
          <w:lang w:val="en-US"/>
        </w:rPr>
        <w:t xml:space="preserve">effectiveness of </w:t>
      </w:r>
      <w:r w:rsidR="005A3087">
        <w:rPr>
          <w:rFonts w:asciiTheme="minorHAnsi" w:hAnsiTheme="minorHAnsi" w:cstheme="minorHAnsi"/>
          <w:szCs w:val="24"/>
          <w:lang w:val="en-US"/>
        </w:rPr>
        <w:t xml:space="preserve">particular ‘models’ (such as the Nordic or flexicurity model) </w:t>
      </w:r>
      <w:r w:rsidR="003F220D">
        <w:rPr>
          <w:rFonts w:asciiTheme="minorHAnsi" w:hAnsiTheme="minorHAnsi" w:cstheme="minorHAnsi"/>
          <w:szCs w:val="24"/>
          <w:lang w:val="en-US"/>
        </w:rPr>
        <w:t xml:space="preserve">for </w:t>
      </w:r>
      <w:r w:rsidR="005A3087">
        <w:rPr>
          <w:rFonts w:asciiTheme="minorHAnsi" w:hAnsiTheme="minorHAnsi" w:cstheme="minorHAnsi"/>
          <w:szCs w:val="24"/>
          <w:lang w:val="en-US"/>
        </w:rPr>
        <w:t xml:space="preserve">delivering good </w:t>
      </w:r>
      <w:proofErr w:type="spellStart"/>
      <w:r w:rsidR="005A3087">
        <w:rPr>
          <w:rFonts w:asciiTheme="minorHAnsi" w:hAnsiTheme="minorHAnsi" w:cstheme="minorHAnsi"/>
          <w:szCs w:val="24"/>
          <w:lang w:val="en-US"/>
        </w:rPr>
        <w:t>labour</w:t>
      </w:r>
      <w:proofErr w:type="spellEnd"/>
      <w:r w:rsidR="005A3087">
        <w:rPr>
          <w:rFonts w:asciiTheme="minorHAnsi" w:hAnsiTheme="minorHAnsi" w:cstheme="minorHAnsi"/>
          <w:szCs w:val="24"/>
          <w:lang w:val="en-US"/>
        </w:rPr>
        <w:t xml:space="preserve"> market outcomes (low unemployment) without compromising on the fluidity of the </w:t>
      </w:r>
      <w:proofErr w:type="spellStart"/>
      <w:r w:rsidR="005A3087">
        <w:rPr>
          <w:rFonts w:asciiTheme="minorHAnsi" w:hAnsiTheme="minorHAnsi" w:cstheme="minorHAnsi"/>
          <w:szCs w:val="24"/>
          <w:lang w:val="en-US"/>
        </w:rPr>
        <w:t>labour</w:t>
      </w:r>
      <w:proofErr w:type="spellEnd"/>
      <w:r w:rsidR="005A3087">
        <w:rPr>
          <w:rFonts w:asciiTheme="minorHAnsi" w:hAnsiTheme="minorHAnsi" w:cstheme="minorHAnsi"/>
          <w:szCs w:val="24"/>
          <w:lang w:val="en-US"/>
        </w:rPr>
        <w:t xml:space="preserve"> market</w:t>
      </w:r>
      <w:r w:rsidR="003F220D">
        <w:rPr>
          <w:rFonts w:asciiTheme="minorHAnsi" w:hAnsiTheme="minorHAnsi" w:cstheme="minorHAnsi"/>
          <w:szCs w:val="24"/>
          <w:lang w:val="en-US"/>
        </w:rPr>
        <w:t xml:space="preserve">, and about the range of national performances with regard to this (see, inter alia, </w:t>
      </w:r>
      <w:proofErr w:type="spellStart"/>
      <w:r w:rsidR="003F220D" w:rsidRPr="003F220D">
        <w:rPr>
          <w:rFonts w:asciiTheme="minorHAnsi" w:hAnsiTheme="minorHAnsi" w:cstheme="minorHAnsi"/>
          <w:szCs w:val="24"/>
          <w:lang w:val="en-US"/>
        </w:rPr>
        <w:t>Grönlund</w:t>
      </w:r>
      <w:proofErr w:type="spellEnd"/>
      <w:r w:rsidR="003F220D">
        <w:rPr>
          <w:rFonts w:asciiTheme="minorHAnsi" w:hAnsiTheme="minorHAnsi" w:cstheme="minorHAnsi"/>
          <w:szCs w:val="24"/>
          <w:lang w:val="en-US"/>
        </w:rPr>
        <w:t xml:space="preserve"> et al, 2017, and </w:t>
      </w:r>
      <w:proofErr w:type="spellStart"/>
      <w:r w:rsidR="003F220D">
        <w:rPr>
          <w:rFonts w:asciiTheme="minorHAnsi" w:hAnsiTheme="minorHAnsi" w:cstheme="minorHAnsi"/>
          <w:szCs w:val="24"/>
          <w:lang w:val="en-US"/>
        </w:rPr>
        <w:t>Christopoulou</w:t>
      </w:r>
      <w:proofErr w:type="spellEnd"/>
      <w:r w:rsidR="003F220D">
        <w:rPr>
          <w:rFonts w:asciiTheme="minorHAnsi" w:hAnsiTheme="minorHAnsi" w:cstheme="minorHAnsi"/>
          <w:szCs w:val="24"/>
          <w:lang w:val="en-US"/>
        </w:rPr>
        <w:t xml:space="preserve"> and Monastiriotis, 2018). But the choice also serves a presentational purpose, as it allows us to make a strong contrast between the </w:t>
      </w:r>
      <w:r w:rsidR="003F220D">
        <w:rPr>
          <w:rFonts w:asciiTheme="minorHAnsi" w:hAnsiTheme="minorHAnsi" w:cstheme="minorHAnsi"/>
          <w:szCs w:val="24"/>
          <w:lang w:val="en-US"/>
        </w:rPr>
        <w:lastRenderedPageBreak/>
        <w:t>derived results across cases</w:t>
      </w:r>
      <w:r w:rsidR="00F366E4" w:rsidRPr="00353650">
        <w:rPr>
          <w:rFonts w:asciiTheme="minorHAnsi" w:hAnsiTheme="minorHAnsi" w:cstheme="minorHAnsi"/>
          <w:szCs w:val="24"/>
          <w:lang w:val="en-US"/>
        </w:rPr>
        <w:t xml:space="preserve">. </w:t>
      </w:r>
      <w:r w:rsidR="008765AE">
        <w:rPr>
          <w:rFonts w:asciiTheme="minorHAnsi" w:hAnsiTheme="minorHAnsi" w:cstheme="minorHAnsi"/>
          <w:szCs w:val="24"/>
          <w:lang w:val="en-US"/>
        </w:rPr>
        <w:t xml:space="preserve">We select Sweden and Greece as the two country benchmarks as these exhibit transition dynamics which produce the best and poorest simulated results overall (lowest and highest counterfactual equilibrium unemployment, respectively); and the Nordic group as the one being most closely linked to the policy model </w:t>
      </w:r>
      <w:proofErr w:type="spellStart"/>
      <w:r w:rsidR="008765AE">
        <w:rPr>
          <w:rFonts w:asciiTheme="minorHAnsi" w:hAnsiTheme="minorHAnsi" w:cstheme="minorHAnsi"/>
          <w:szCs w:val="24"/>
          <w:lang w:val="en-US"/>
        </w:rPr>
        <w:t>favoured</w:t>
      </w:r>
      <w:proofErr w:type="spellEnd"/>
      <w:r w:rsidR="008765AE">
        <w:rPr>
          <w:rFonts w:asciiTheme="minorHAnsi" w:hAnsiTheme="minorHAnsi" w:cstheme="minorHAnsi"/>
          <w:szCs w:val="24"/>
          <w:lang w:val="en-US"/>
        </w:rPr>
        <w:t xml:space="preserve"> by the EU (EC, 2007).   </w:t>
      </w:r>
    </w:p>
    <w:p w:rsidR="009A5198" w:rsidRDefault="009A5198" w:rsidP="00FA3F88">
      <w:pPr>
        <w:spacing w:before="120" w:after="120" w:line="360" w:lineRule="auto"/>
        <w:rPr>
          <w:rFonts w:asciiTheme="minorHAnsi" w:hAnsiTheme="minorHAnsi" w:cstheme="minorHAnsi"/>
          <w:szCs w:val="24"/>
          <w:lang w:val="en-US"/>
        </w:rPr>
      </w:pPr>
    </w:p>
    <w:p w:rsidR="00FA3F88" w:rsidRPr="00FA3F88" w:rsidRDefault="00FA3F88" w:rsidP="00FA3F88">
      <w:pPr>
        <w:spacing w:before="120" w:after="120" w:line="360" w:lineRule="auto"/>
        <w:rPr>
          <w:rFonts w:asciiTheme="minorHAnsi" w:hAnsiTheme="minorHAnsi" w:cstheme="minorHAnsi"/>
          <w:szCs w:val="24"/>
          <w:lang w:val="en-US"/>
        </w:rPr>
      </w:pPr>
    </w:p>
    <w:p w:rsidR="00F06A0E" w:rsidRPr="00353650" w:rsidRDefault="00091A82" w:rsidP="00FA3F88">
      <w:pPr>
        <w:pStyle w:val="Heading"/>
        <w:numPr>
          <w:ilvl w:val="0"/>
          <w:numId w:val="26"/>
        </w:numPr>
        <w:spacing w:after="120" w:line="360" w:lineRule="auto"/>
        <w:jc w:val="both"/>
        <w:rPr>
          <w:rFonts w:asciiTheme="minorHAnsi" w:hAnsiTheme="minorHAnsi" w:cstheme="minorHAnsi"/>
          <w:sz w:val="24"/>
          <w:szCs w:val="24"/>
          <w:u w:val="none"/>
        </w:rPr>
      </w:pPr>
      <w:bookmarkStart w:id="1" w:name="_Headings_and_subheadings"/>
      <w:bookmarkStart w:id="2" w:name="_Toc263859409"/>
      <w:bookmarkStart w:id="3" w:name="_Toc271882172"/>
      <w:bookmarkEnd w:id="1"/>
      <w:r w:rsidRPr="00353650">
        <w:rPr>
          <w:rFonts w:asciiTheme="minorHAnsi" w:hAnsiTheme="minorHAnsi" w:cstheme="minorHAnsi"/>
          <w:caps w:val="0"/>
          <w:sz w:val="24"/>
          <w:szCs w:val="24"/>
          <w:u w:val="none"/>
        </w:rPr>
        <w:t>Distributional dynamics: l</w:t>
      </w:r>
      <w:r w:rsidR="007E055B" w:rsidRPr="00353650">
        <w:rPr>
          <w:rFonts w:asciiTheme="minorHAnsi" w:hAnsiTheme="minorHAnsi" w:cstheme="minorHAnsi"/>
          <w:caps w:val="0"/>
          <w:sz w:val="24"/>
          <w:szCs w:val="24"/>
          <w:u w:val="none"/>
        </w:rPr>
        <w:t>abour market transitions</w:t>
      </w:r>
      <w:r w:rsidRPr="00353650">
        <w:rPr>
          <w:rFonts w:asciiTheme="minorHAnsi" w:hAnsiTheme="minorHAnsi" w:cstheme="minorHAnsi"/>
          <w:caps w:val="0"/>
          <w:sz w:val="24"/>
          <w:szCs w:val="24"/>
          <w:u w:val="none"/>
        </w:rPr>
        <w:t xml:space="preserve"> and stability</w:t>
      </w:r>
    </w:p>
    <w:p w:rsidR="00DF5922" w:rsidRPr="00353650" w:rsidRDefault="00E94F64" w:rsidP="00FA3F88">
      <w:pPr>
        <w:spacing w:before="120" w:after="120" w:line="360" w:lineRule="auto"/>
        <w:rPr>
          <w:rFonts w:asciiTheme="minorHAnsi" w:hAnsiTheme="minorHAnsi" w:cstheme="minorHAnsi"/>
          <w:szCs w:val="24"/>
        </w:rPr>
      </w:pPr>
      <w:r w:rsidRPr="00353650">
        <w:rPr>
          <w:rFonts w:asciiTheme="minorHAnsi" w:hAnsiTheme="minorHAnsi" w:cstheme="minorHAnsi"/>
          <w:szCs w:val="24"/>
        </w:rPr>
        <w:t>Our analysis of labour market transitions covers a large number of countries (25) over a long time-period (12 years), thus producing overall 300 3x3 transition matrices (a total of 2,700 transition probabilities). It is of course impossible to present, or comment upon, all these year-to-year country</w:t>
      </w:r>
      <w:r w:rsidR="00264CA0" w:rsidRPr="00353650">
        <w:rPr>
          <w:rFonts w:asciiTheme="minorHAnsi" w:hAnsiTheme="minorHAnsi" w:cstheme="minorHAnsi"/>
          <w:szCs w:val="24"/>
        </w:rPr>
        <w:t>-specific</w:t>
      </w:r>
      <w:r w:rsidRPr="00353650">
        <w:rPr>
          <w:rFonts w:asciiTheme="minorHAnsi" w:hAnsiTheme="minorHAnsi" w:cstheme="minorHAnsi"/>
          <w:szCs w:val="24"/>
        </w:rPr>
        <w:t xml:space="preserve"> transitions. </w:t>
      </w:r>
      <w:r w:rsidR="00417FF4" w:rsidRPr="00353650">
        <w:rPr>
          <w:rFonts w:asciiTheme="minorHAnsi" w:hAnsiTheme="minorHAnsi" w:cstheme="minorHAnsi"/>
          <w:szCs w:val="24"/>
        </w:rPr>
        <w:t>We thus present our results in aggregate form, highlighting selectively the patterns that are of interest.</w:t>
      </w:r>
      <w:r w:rsidR="00417FF4" w:rsidRPr="00353650">
        <w:rPr>
          <w:rStyle w:val="FootnoteReference"/>
          <w:rFonts w:asciiTheme="minorHAnsi" w:hAnsiTheme="minorHAnsi" w:cstheme="minorHAnsi"/>
          <w:szCs w:val="24"/>
        </w:rPr>
        <w:footnoteReference w:id="7"/>
      </w:r>
      <w:r w:rsidR="00417FF4" w:rsidRPr="00353650">
        <w:rPr>
          <w:rFonts w:asciiTheme="minorHAnsi" w:hAnsiTheme="minorHAnsi" w:cstheme="minorHAnsi"/>
          <w:szCs w:val="24"/>
        </w:rPr>
        <w:t xml:space="preserve"> Specifically, the transition dynamics across the three states are presented here for the four country groups (without country-specific detail) for the three key sub-periods in our analysis (pre-crisis: 2004-2008; crisis: 2009-2013;</w:t>
      </w:r>
      <w:r w:rsidR="000B34C4" w:rsidRPr="00353650">
        <w:rPr>
          <w:rFonts w:asciiTheme="minorHAnsi" w:hAnsiTheme="minorHAnsi" w:cstheme="minorHAnsi"/>
          <w:szCs w:val="24"/>
        </w:rPr>
        <w:t xml:space="preserve"> </w:t>
      </w:r>
      <w:r w:rsidR="00417FF4" w:rsidRPr="00353650">
        <w:rPr>
          <w:rFonts w:asciiTheme="minorHAnsi" w:hAnsiTheme="minorHAnsi" w:cstheme="minorHAnsi"/>
          <w:szCs w:val="24"/>
        </w:rPr>
        <w:t>and post-crisis: 2014-2016)</w:t>
      </w:r>
      <w:r w:rsidR="00DF5922" w:rsidRPr="00353650">
        <w:rPr>
          <w:rFonts w:asciiTheme="minorHAnsi" w:hAnsiTheme="minorHAnsi" w:cstheme="minorHAnsi"/>
          <w:szCs w:val="24"/>
        </w:rPr>
        <w:t xml:space="preserve">; while the summary indexes of mobility, successful labour market entries </w:t>
      </w:r>
      <w:r w:rsidR="00264CA0" w:rsidRPr="00353650">
        <w:rPr>
          <w:rFonts w:asciiTheme="minorHAnsi" w:hAnsiTheme="minorHAnsi" w:cstheme="minorHAnsi"/>
          <w:szCs w:val="24"/>
        </w:rPr>
        <w:t xml:space="preserve">(SL) </w:t>
      </w:r>
      <w:r w:rsidR="00DF5922" w:rsidRPr="00353650">
        <w:rPr>
          <w:rFonts w:asciiTheme="minorHAnsi" w:hAnsiTheme="minorHAnsi" w:cstheme="minorHAnsi"/>
          <w:szCs w:val="24"/>
        </w:rPr>
        <w:t xml:space="preserve">and unsuccessful unemployment exits </w:t>
      </w:r>
      <w:r w:rsidR="00264CA0" w:rsidRPr="00353650">
        <w:rPr>
          <w:rFonts w:asciiTheme="minorHAnsi" w:hAnsiTheme="minorHAnsi" w:cstheme="minorHAnsi"/>
          <w:szCs w:val="24"/>
        </w:rPr>
        <w:t xml:space="preserve">(FL) </w:t>
      </w:r>
      <w:r w:rsidR="00DF5922" w:rsidRPr="00353650">
        <w:rPr>
          <w:rFonts w:asciiTheme="minorHAnsi" w:hAnsiTheme="minorHAnsi" w:cstheme="minorHAnsi"/>
          <w:szCs w:val="24"/>
        </w:rPr>
        <w:t>are presented for each of the countries covered by our analysis</w:t>
      </w:r>
      <w:r w:rsidR="00264CA0" w:rsidRPr="00353650">
        <w:rPr>
          <w:rFonts w:asciiTheme="minorHAnsi" w:hAnsiTheme="minorHAnsi" w:cstheme="minorHAnsi"/>
          <w:szCs w:val="24"/>
        </w:rPr>
        <w:t xml:space="preserve"> albeit still aggregated at the</w:t>
      </w:r>
      <w:r w:rsidR="00DF5922" w:rsidRPr="00353650">
        <w:rPr>
          <w:rFonts w:asciiTheme="minorHAnsi" w:hAnsiTheme="minorHAnsi" w:cstheme="minorHAnsi"/>
          <w:szCs w:val="24"/>
        </w:rPr>
        <w:t xml:space="preserve"> sub-period level. </w:t>
      </w:r>
    </w:p>
    <w:p w:rsidR="00417FF4" w:rsidRDefault="00417FF4" w:rsidP="00FA3F88">
      <w:pPr>
        <w:spacing w:before="120" w:after="120" w:line="360" w:lineRule="auto"/>
        <w:rPr>
          <w:rFonts w:asciiTheme="minorHAnsi" w:hAnsiTheme="minorHAnsi" w:cstheme="minorHAnsi"/>
          <w:szCs w:val="24"/>
        </w:rPr>
      </w:pPr>
    </w:p>
    <w:p w:rsidR="00367CF5" w:rsidRDefault="00367CF5" w:rsidP="00FA3F88">
      <w:pPr>
        <w:spacing w:before="120" w:after="120" w:line="360" w:lineRule="auto"/>
        <w:rPr>
          <w:rFonts w:asciiTheme="minorHAnsi" w:hAnsiTheme="minorHAnsi" w:cstheme="minorHAnsi"/>
          <w:szCs w:val="24"/>
        </w:rPr>
      </w:pPr>
      <w:r>
        <w:rPr>
          <w:rFonts w:asciiTheme="minorHAnsi" w:hAnsiTheme="minorHAnsi" w:cstheme="minorHAnsi"/>
          <w:szCs w:val="24"/>
        </w:rPr>
        <w:t>[TABLE 1 AROUND HERE]</w:t>
      </w:r>
    </w:p>
    <w:p w:rsidR="00417FF4" w:rsidRPr="00353650" w:rsidRDefault="00417FF4" w:rsidP="00417FF4">
      <w:pPr>
        <w:spacing w:before="120" w:after="120" w:line="360" w:lineRule="auto"/>
        <w:rPr>
          <w:rFonts w:asciiTheme="minorHAnsi" w:hAnsiTheme="minorHAnsi" w:cstheme="minorHAnsi"/>
          <w:szCs w:val="24"/>
        </w:rPr>
      </w:pPr>
    </w:p>
    <w:p w:rsidR="00417FF4" w:rsidRPr="00353650" w:rsidRDefault="00DF5922" w:rsidP="00DF5922">
      <w:pPr>
        <w:spacing w:before="120" w:after="120" w:line="360" w:lineRule="auto"/>
        <w:rPr>
          <w:rFonts w:asciiTheme="minorHAnsi" w:hAnsiTheme="minorHAnsi" w:cstheme="minorHAnsi"/>
          <w:szCs w:val="24"/>
        </w:rPr>
      </w:pPr>
      <w:r w:rsidRPr="00353650">
        <w:rPr>
          <w:rFonts w:asciiTheme="minorHAnsi" w:hAnsiTheme="minorHAnsi" w:cstheme="minorHAnsi"/>
          <w:szCs w:val="24"/>
        </w:rPr>
        <w:t>Starting with the transition dynamics across the three states (Table 1), we observe that in all country groups and for all periods – as should be expected</w:t>
      </w:r>
      <w:r w:rsidR="00417FF4" w:rsidRPr="00353650">
        <w:rPr>
          <w:rFonts w:asciiTheme="minorHAnsi" w:hAnsiTheme="minorHAnsi" w:cstheme="minorHAnsi"/>
          <w:szCs w:val="24"/>
        </w:rPr>
        <w:t xml:space="preserve"> </w:t>
      </w:r>
      <w:r w:rsidRPr="00353650">
        <w:rPr>
          <w:rFonts w:asciiTheme="minorHAnsi" w:hAnsiTheme="minorHAnsi" w:cstheme="minorHAnsi"/>
          <w:szCs w:val="24"/>
        </w:rPr>
        <w:t xml:space="preserve">– stability </w:t>
      </w:r>
      <w:r w:rsidR="00417FF4" w:rsidRPr="00353650">
        <w:rPr>
          <w:rFonts w:asciiTheme="minorHAnsi" w:hAnsiTheme="minorHAnsi" w:cstheme="minorHAnsi"/>
          <w:szCs w:val="24"/>
        </w:rPr>
        <w:t>is greatest in the cases of employment</w:t>
      </w:r>
      <w:r w:rsidR="00417FF4" w:rsidRPr="00353650">
        <w:rPr>
          <w:rStyle w:val="FootnoteReference"/>
          <w:rFonts w:asciiTheme="minorHAnsi" w:hAnsiTheme="minorHAnsi" w:cstheme="minorHAnsi"/>
          <w:szCs w:val="24"/>
        </w:rPr>
        <w:footnoteReference w:id="8"/>
      </w:r>
      <w:r w:rsidR="00417FF4" w:rsidRPr="00353650">
        <w:rPr>
          <w:rFonts w:asciiTheme="minorHAnsi" w:hAnsiTheme="minorHAnsi" w:cstheme="minorHAnsi"/>
          <w:szCs w:val="24"/>
        </w:rPr>
        <w:t xml:space="preserve"> and inactivity and lowest for the case of unemployment. In all groups, entries from employment into unemployment increased with the crisis (e.g., from 2.8% to 3.7% in the </w:t>
      </w:r>
      <w:r w:rsidR="00417FF4" w:rsidRPr="00353650">
        <w:rPr>
          <w:rFonts w:asciiTheme="minorHAnsi" w:hAnsiTheme="minorHAnsi" w:cstheme="minorHAnsi"/>
          <w:szCs w:val="24"/>
        </w:rPr>
        <w:lastRenderedPageBreak/>
        <w:t>Central Eastern group), while unemployment exits (into employment) declined (e.g., from 28.2% to 25.2% in the same group), with the exception of the Nordic group where successful exits from unemployment seem to have increased sizeably during the crisis.</w:t>
      </w:r>
      <w:r w:rsidR="00417FF4" w:rsidRPr="00353650">
        <w:rPr>
          <w:rStyle w:val="FootnoteReference"/>
          <w:rFonts w:asciiTheme="minorHAnsi" w:hAnsiTheme="minorHAnsi" w:cstheme="minorHAnsi"/>
          <w:szCs w:val="24"/>
        </w:rPr>
        <w:footnoteReference w:id="9"/>
      </w:r>
      <w:r w:rsidR="00417FF4" w:rsidRPr="00353650">
        <w:rPr>
          <w:rFonts w:asciiTheme="minorHAnsi" w:hAnsiTheme="minorHAnsi" w:cstheme="minorHAnsi"/>
          <w:szCs w:val="24"/>
        </w:rPr>
        <w:t xml:space="preserve"> Trends in the recovery period are however more diverse. In the Central Eastern and Mediterranean groups employment-to-unemployment transitions declined post-crisis (by about 1 percentage point); but in the Nordic and (less so) Continental groups such transitions intensified further. Similarly, unemployment persistence (the middle cell in each sub-matrix) increased during the crisis and declined only marginally post-crisis in the Central Eastern group; increased sizeably with the crisis and continued to increase post-crisis in the Nordic and Mediterranean groups; and rose noticeably only in the recovery period for countries in the Continental group. While to some extent this reflects country differences in the timing of the crisis and in the unemployment trajectories followed subsequently (Monastiriotis, 2018), it also reflects differences in the fluidity of the different labour markets and in their extent of unemployment adjustment – with such adjustments appearing most favourable in the Central </w:t>
      </w:r>
      <w:r w:rsidR="00794334">
        <w:rPr>
          <w:rFonts w:asciiTheme="minorHAnsi" w:hAnsiTheme="minorHAnsi" w:cstheme="minorHAnsi"/>
          <w:szCs w:val="24"/>
        </w:rPr>
        <w:t>E</w:t>
      </w:r>
      <w:r w:rsidR="00794334" w:rsidRPr="00353650">
        <w:rPr>
          <w:rFonts w:asciiTheme="minorHAnsi" w:hAnsiTheme="minorHAnsi" w:cstheme="minorHAnsi"/>
          <w:szCs w:val="24"/>
        </w:rPr>
        <w:t xml:space="preserve">astern </w:t>
      </w:r>
      <w:r w:rsidR="00417FF4" w:rsidRPr="00353650">
        <w:rPr>
          <w:rFonts w:asciiTheme="minorHAnsi" w:hAnsiTheme="minorHAnsi" w:cstheme="minorHAnsi"/>
          <w:szCs w:val="24"/>
        </w:rPr>
        <w:t xml:space="preserve">group.  </w:t>
      </w:r>
    </w:p>
    <w:p w:rsidR="00012596" w:rsidRPr="00353650" w:rsidRDefault="00C201C8" w:rsidP="00417FF4">
      <w:pPr>
        <w:spacing w:before="120" w:after="120" w:line="360" w:lineRule="auto"/>
        <w:rPr>
          <w:rFonts w:asciiTheme="minorHAnsi" w:hAnsiTheme="minorHAnsi" w:cstheme="minorHAnsi"/>
          <w:szCs w:val="24"/>
        </w:rPr>
      </w:pPr>
      <w:r w:rsidRPr="00353650">
        <w:rPr>
          <w:rFonts w:asciiTheme="minorHAnsi" w:hAnsiTheme="minorHAnsi" w:cstheme="minorHAnsi"/>
          <w:szCs w:val="24"/>
        </w:rPr>
        <w:t xml:space="preserve">Figure </w:t>
      </w:r>
      <w:r w:rsidR="00645652" w:rsidRPr="00353650">
        <w:rPr>
          <w:rFonts w:asciiTheme="minorHAnsi" w:hAnsiTheme="minorHAnsi" w:cstheme="minorHAnsi"/>
          <w:szCs w:val="24"/>
        </w:rPr>
        <w:t>3</w:t>
      </w:r>
      <w:r w:rsidRPr="00353650">
        <w:rPr>
          <w:rFonts w:asciiTheme="minorHAnsi" w:hAnsiTheme="minorHAnsi" w:cstheme="minorHAnsi"/>
          <w:szCs w:val="24"/>
        </w:rPr>
        <w:t xml:space="preserve"> presents the country detail in the </w:t>
      </w:r>
      <w:r w:rsidR="00064037" w:rsidRPr="00353650">
        <w:rPr>
          <w:rFonts w:asciiTheme="minorHAnsi" w:hAnsiTheme="minorHAnsi" w:cstheme="minorHAnsi"/>
          <w:szCs w:val="24"/>
        </w:rPr>
        <w:t xml:space="preserve">overall </w:t>
      </w:r>
      <w:r w:rsidRPr="00353650">
        <w:rPr>
          <w:rFonts w:asciiTheme="minorHAnsi" w:hAnsiTheme="minorHAnsi" w:cstheme="minorHAnsi"/>
          <w:szCs w:val="24"/>
        </w:rPr>
        <w:t xml:space="preserve">stability </w:t>
      </w:r>
      <w:r w:rsidR="00064037" w:rsidRPr="00353650">
        <w:rPr>
          <w:rFonts w:asciiTheme="minorHAnsi" w:hAnsiTheme="minorHAnsi" w:cstheme="minorHAnsi"/>
          <w:szCs w:val="24"/>
        </w:rPr>
        <w:t>of labour market states (stability index) across the three periods. As can be seen, in the Mediterranean countries (Cyprus, Spain, Greece, Italy and Portugal) stability increases over time, being highest in the recovery period and lowest p</w:t>
      </w:r>
      <w:r w:rsidR="00333D28">
        <w:rPr>
          <w:rFonts w:asciiTheme="minorHAnsi" w:hAnsiTheme="minorHAnsi" w:cstheme="minorHAnsi"/>
          <w:szCs w:val="24"/>
        </w:rPr>
        <w:t>re</w:t>
      </w:r>
      <w:r w:rsidR="00064037" w:rsidRPr="00353650">
        <w:rPr>
          <w:rFonts w:asciiTheme="minorHAnsi" w:hAnsiTheme="minorHAnsi" w:cstheme="minorHAnsi"/>
          <w:szCs w:val="24"/>
        </w:rPr>
        <w:t>-crisis</w:t>
      </w:r>
      <w:r w:rsidR="00012596" w:rsidRPr="00353650">
        <w:rPr>
          <w:rFonts w:asciiTheme="minorHAnsi" w:hAnsiTheme="minorHAnsi" w:cstheme="minorHAnsi"/>
          <w:szCs w:val="24"/>
        </w:rPr>
        <w:t>; while in the Central Eastern group most countries follow a hump-shaped pattern, with stability increasing during the crisis but declining, often significantly thereafter. Exceptions to these are Malta in the Mediterranean group, where the stability index changes little; Bulgaria and Romania, where stability increases across all periods; and Latvia, where stability</w:t>
      </w:r>
      <w:r w:rsidR="000B34C4" w:rsidRPr="00353650">
        <w:rPr>
          <w:rFonts w:asciiTheme="minorHAnsi" w:hAnsiTheme="minorHAnsi" w:cstheme="minorHAnsi"/>
          <w:szCs w:val="24"/>
        </w:rPr>
        <w:t xml:space="preserve"> declines across periods. </w:t>
      </w:r>
      <w:r w:rsidR="00064037" w:rsidRPr="00353650">
        <w:rPr>
          <w:rFonts w:asciiTheme="minorHAnsi" w:hAnsiTheme="minorHAnsi" w:cstheme="minorHAnsi"/>
          <w:szCs w:val="24"/>
        </w:rPr>
        <w:t xml:space="preserve">In the Nordic and Continental groups there is more heterogeneity, with Denmark and the Netherlands (Nordics) as well as </w:t>
      </w:r>
      <w:r w:rsidR="00012596" w:rsidRPr="00353650">
        <w:rPr>
          <w:rFonts w:asciiTheme="minorHAnsi" w:hAnsiTheme="minorHAnsi" w:cstheme="minorHAnsi"/>
          <w:szCs w:val="24"/>
        </w:rPr>
        <w:t xml:space="preserve">Austria (Continental) </w:t>
      </w:r>
      <w:r w:rsidR="00064037" w:rsidRPr="00353650">
        <w:rPr>
          <w:rFonts w:asciiTheme="minorHAnsi" w:hAnsiTheme="minorHAnsi" w:cstheme="minorHAnsi"/>
          <w:szCs w:val="24"/>
        </w:rPr>
        <w:t>following the trend found in the Mediterranean; Belgium and Luxemburg (Continental) showing a decrease in the stability index over time</w:t>
      </w:r>
      <w:r w:rsidR="00012596" w:rsidRPr="00353650">
        <w:rPr>
          <w:rFonts w:asciiTheme="minorHAnsi" w:hAnsiTheme="minorHAnsi" w:cstheme="minorHAnsi"/>
          <w:szCs w:val="24"/>
        </w:rPr>
        <w:t>; Finland (Nordic) and France (Continental) exhibiting decline with the crisis and increase during the recovery period; and finally Sweden (Nordic) exhibiting the reverse pattern.</w:t>
      </w:r>
      <w:r w:rsidR="00264CA0" w:rsidRPr="00353650">
        <w:rPr>
          <w:rFonts w:asciiTheme="minorHAnsi" w:hAnsiTheme="minorHAnsi" w:cstheme="minorHAnsi"/>
          <w:szCs w:val="24"/>
        </w:rPr>
        <w:t xml:space="preserve"> On the whole, stability appears highest in southern, eastern and </w:t>
      </w:r>
      <w:proofErr w:type="spellStart"/>
      <w:r w:rsidR="00264CA0" w:rsidRPr="00353650">
        <w:rPr>
          <w:rFonts w:asciiTheme="minorHAnsi" w:hAnsiTheme="minorHAnsi" w:cstheme="minorHAnsi"/>
          <w:szCs w:val="24"/>
        </w:rPr>
        <w:t>southeastern</w:t>
      </w:r>
      <w:proofErr w:type="spellEnd"/>
      <w:r w:rsidR="00264CA0" w:rsidRPr="00353650">
        <w:rPr>
          <w:rFonts w:asciiTheme="minorHAnsi" w:hAnsiTheme="minorHAnsi" w:cstheme="minorHAnsi"/>
          <w:szCs w:val="24"/>
        </w:rPr>
        <w:t xml:space="preserve"> countries (Greece, Italy, Bulgaria, Romania, Croatia, Slovenia, Slovakia and Poland); and lowest in the countries of the Nordic group (Sweden, </w:t>
      </w:r>
      <w:r w:rsidR="00264CA0" w:rsidRPr="00353650">
        <w:rPr>
          <w:rFonts w:asciiTheme="minorHAnsi" w:hAnsiTheme="minorHAnsi" w:cstheme="minorHAnsi"/>
          <w:szCs w:val="24"/>
        </w:rPr>
        <w:lastRenderedPageBreak/>
        <w:t xml:space="preserve">Denmark and the Netherlands) and in Luxemburg. Tentatively, this seems to be related to the labour market models of these countries: lower stability in countries that are closer to the ‘flexicurity’ model and higher stability with countries with more rigid regulations </w:t>
      </w:r>
      <w:r w:rsidR="00345096" w:rsidRPr="00353650">
        <w:rPr>
          <w:rFonts w:asciiTheme="minorHAnsi" w:hAnsiTheme="minorHAnsi" w:cstheme="minorHAnsi"/>
          <w:szCs w:val="24"/>
        </w:rPr>
        <w:t xml:space="preserve">and less coordinated industrial relations systems. </w:t>
      </w:r>
    </w:p>
    <w:p w:rsidR="006839AC" w:rsidRDefault="006839AC" w:rsidP="008D603A">
      <w:pPr>
        <w:spacing w:before="120" w:after="120" w:line="360" w:lineRule="auto"/>
        <w:rPr>
          <w:rFonts w:asciiTheme="minorHAnsi" w:hAnsiTheme="minorHAnsi" w:cstheme="minorHAnsi"/>
          <w:szCs w:val="24"/>
        </w:rPr>
      </w:pPr>
    </w:p>
    <w:p w:rsidR="00367CF5" w:rsidRPr="00353650" w:rsidRDefault="00367CF5" w:rsidP="008D603A">
      <w:pPr>
        <w:spacing w:before="120" w:after="120" w:line="360" w:lineRule="auto"/>
        <w:rPr>
          <w:rFonts w:asciiTheme="minorHAnsi" w:hAnsiTheme="minorHAnsi" w:cstheme="minorHAnsi"/>
          <w:szCs w:val="24"/>
        </w:rPr>
      </w:pPr>
      <w:r>
        <w:rPr>
          <w:rFonts w:asciiTheme="minorHAnsi" w:hAnsiTheme="minorHAnsi" w:cstheme="minorHAnsi"/>
          <w:szCs w:val="24"/>
        </w:rPr>
        <w:t>[FIGURE 3 AROUND HERE]</w:t>
      </w:r>
    </w:p>
    <w:p w:rsidR="006839AC" w:rsidRPr="00353650" w:rsidRDefault="006839AC" w:rsidP="008D603A">
      <w:pPr>
        <w:spacing w:before="120" w:after="120" w:line="360" w:lineRule="auto"/>
        <w:rPr>
          <w:rFonts w:asciiTheme="minorHAnsi" w:hAnsiTheme="minorHAnsi" w:cstheme="minorHAnsi"/>
          <w:szCs w:val="24"/>
        </w:rPr>
      </w:pPr>
    </w:p>
    <w:p w:rsidR="00AC1738" w:rsidRPr="00353650" w:rsidRDefault="00AC1738" w:rsidP="00AC1738">
      <w:pPr>
        <w:spacing w:before="120" w:after="120" w:line="360" w:lineRule="auto"/>
        <w:rPr>
          <w:rFonts w:asciiTheme="minorHAnsi" w:hAnsiTheme="minorHAnsi" w:cstheme="minorHAnsi"/>
          <w:szCs w:val="24"/>
        </w:rPr>
      </w:pPr>
      <w:r w:rsidRPr="00353650">
        <w:rPr>
          <w:rFonts w:asciiTheme="minorHAnsi" w:hAnsiTheme="minorHAnsi" w:cstheme="minorHAnsi"/>
          <w:szCs w:val="24"/>
        </w:rPr>
        <w:t xml:space="preserve">The extent of successful labour market entries and unsuccessful unemployment exits, and its variation over time and across countries, is presented in Figures 4 and 5. As can be seen, successful labour market entries had been higher in the pre-crisis period (averaging 70% across countries and ranging between 45% in Croatia and 95% in the Netherlands), but their decline during the crisis period was been rather modest in most countries (average of 62.7% across countries, with a range between 35% and 88%) while the ranking of countries on this measure changed very little (Spearman rank correlation coefficient of 0.867). The situation changed little also in the recovery period (cross-country average of 64%, rank correlation coefficient of 0.835). </w:t>
      </w:r>
    </w:p>
    <w:p w:rsidR="00A605CD" w:rsidRDefault="00A605CD" w:rsidP="008D603A">
      <w:pPr>
        <w:spacing w:before="120" w:after="120" w:line="360" w:lineRule="auto"/>
        <w:rPr>
          <w:rFonts w:asciiTheme="minorHAnsi" w:hAnsiTheme="minorHAnsi" w:cstheme="minorHAnsi"/>
          <w:szCs w:val="24"/>
        </w:rPr>
      </w:pPr>
    </w:p>
    <w:p w:rsidR="00A605CD" w:rsidRDefault="00A605CD" w:rsidP="008D603A">
      <w:pPr>
        <w:spacing w:before="120" w:after="120" w:line="360" w:lineRule="auto"/>
        <w:rPr>
          <w:rFonts w:asciiTheme="minorHAnsi" w:hAnsiTheme="minorHAnsi" w:cstheme="minorHAnsi"/>
          <w:szCs w:val="24"/>
        </w:rPr>
      </w:pPr>
    </w:p>
    <w:p w:rsidR="00367CF5" w:rsidRPr="00353650" w:rsidRDefault="00367CF5" w:rsidP="00367CF5">
      <w:pPr>
        <w:spacing w:before="120" w:after="120" w:line="360" w:lineRule="auto"/>
        <w:rPr>
          <w:rFonts w:asciiTheme="minorHAnsi" w:hAnsiTheme="minorHAnsi" w:cstheme="minorHAnsi"/>
          <w:szCs w:val="24"/>
        </w:rPr>
      </w:pPr>
      <w:r>
        <w:rPr>
          <w:rFonts w:asciiTheme="minorHAnsi" w:hAnsiTheme="minorHAnsi" w:cstheme="minorHAnsi"/>
          <w:szCs w:val="24"/>
        </w:rPr>
        <w:t>[FIGURE 4 AROUND HERE]</w:t>
      </w:r>
    </w:p>
    <w:p w:rsidR="00367CF5" w:rsidRDefault="00367CF5" w:rsidP="008D603A">
      <w:pPr>
        <w:spacing w:before="120" w:after="120" w:line="360" w:lineRule="auto"/>
        <w:rPr>
          <w:rFonts w:asciiTheme="minorHAnsi" w:hAnsiTheme="minorHAnsi" w:cstheme="minorHAnsi"/>
          <w:szCs w:val="24"/>
        </w:rPr>
      </w:pPr>
    </w:p>
    <w:p w:rsidR="00367CF5" w:rsidRPr="00353650" w:rsidRDefault="00367CF5" w:rsidP="00367CF5">
      <w:pPr>
        <w:spacing w:before="120" w:after="120" w:line="360" w:lineRule="auto"/>
        <w:rPr>
          <w:rFonts w:asciiTheme="minorHAnsi" w:hAnsiTheme="minorHAnsi" w:cstheme="minorHAnsi"/>
          <w:szCs w:val="24"/>
        </w:rPr>
      </w:pPr>
      <w:r>
        <w:rPr>
          <w:rFonts w:asciiTheme="minorHAnsi" w:hAnsiTheme="minorHAnsi" w:cstheme="minorHAnsi"/>
          <w:szCs w:val="24"/>
        </w:rPr>
        <w:t>[FIGURE 5 AROUND HERE]</w:t>
      </w:r>
    </w:p>
    <w:p w:rsidR="00367CF5" w:rsidRPr="00353650" w:rsidRDefault="00367CF5" w:rsidP="008D603A">
      <w:pPr>
        <w:spacing w:before="120" w:after="120" w:line="360" w:lineRule="auto"/>
        <w:rPr>
          <w:rFonts w:asciiTheme="minorHAnsi" w:hAnsiTheme="minorHAnsi" w:cstheme="minorHAnsi"/>
          <w:szCs w:val="24"/>
        </w:rPr>
      </w:pPr>
    </w:p>
    <w:p w:rsidR="006839AC" w:rsidRPr="00353650" w:rsidRDefault="006839AC" w:rsidP="00FA3F88">
      <w:pPr>
        <w:spacing w:before="120" w:after="120" w:line="360" w:lineRule="auto"/>
        <w:rPr>
          <w:rFonts w:asciiTheme="minorHAnsi" w:hAnsiTheme="minorHAnsi" w:cstheme="minorHAnsi"/>
          <w:szCs w:val="24"/>
        </w:rPr>
      </w:pPr>
    </w:p>
    <w:p w:rsidR="00A605CD" w:rsidRPr="00353650" w:rsidRDefault="00A605CD" w:rsidP="00A605CD">
      <w:pPr>
        <w:spacing w:before="120" w:after="120" w:line="360" w:lineRule="auto"/>
        <w:rPr>
          <w:rFonts w:asciiTheme="minorHAnsi" w:hAnsiTheme="minorHAnsi" w:cstheme="minorHAnsi"/>
          <w:szCs w:val="24"/>
        </w:rPr>
      </w:pPr>
      <w:r w:rsidRPr="00353650">
        <w:rPr>
          <w:rFonts w:asciiTheme="minorHAnsi" w:hAnsiTheme="minorHAnsi" w:cstheme="minorHAnsi"/>
          <w:szCs w:val="24"/>
        </w:rPr>
        <w:t xml:space="preserve">Cross-country variation in unsuccessful unemployment exits is much greater. For example, in the ‘recovery’ period this varied from around 5% in the Czech Republic and little over 10% in Hungary, Slovenia, Slovakia, Romania and Croatia (all countries belonging to the Central Eastern group), to over 40% in Finland, Luxemburg, and the Netherlands, followed closely by Sweden (analytically more closely to the Nordic group). As with the successful labour market </w:t>
      </w:r>
      <w:r w:rsidRPr="00353650">
        <w:rPr>
          <w:rFonts w:asciiTheme="minorHAnsi" w:hAnsiTheme="minorHAnsi" w:cstheme="minorHAnsi"/>
          <w:szCs w:val="24"/>
        </w:rPr>
        <w:lastRenderedPageBreak/>
        <w:t xml:space="preserve">entries, the picture seen in the recovery period is very similar to that observed in the ‘crisis’ period; but this time the picture is drastically different in the pre-crisis period, where some Central Eastern countries exhibited much higher rates of unsuccessful unemployment exits (e.g., Romania at near 40%) whereas other Nordic and Continental countries had much lower rates, often below 20%. </w:t>
      </w:r>
    </w:p>
    <w:p w:rsidR="00537AED" w:rsidRPr="00353650" w:rsidRDefault="000B34C4" w:rsidP="00FA3F88">
      <w:pPr>
        <w:spacing w:before="120" w:after="120" w:line="360" w:lineRule="auto"/>
        <w:rPr>
          <w:rFonts w:asciiTheme="minorHAnsi" w:hAnsiTheme="minorHAnsi" w:cstheme="minorHAnsi"/>
          <w:szCs w:val="24"/>
        </w:rPr>
      </w:pPr>
      <w:r w:rsidRPr="00353650">
        <w:rPr>
          <w:rFonts w:asciiTheme="minorHAnsi" w:hAnsiTheme="minorHAnsi" w:cstheme="minorHAnsi"/>
          <w:szCs w:val="24"/>
        </w:rPr>
        <w:t xml:space="preserve">All in all, the transition probabilities summarised here present quite a diverse picture of labour market adjustments both across space and over time. Underneath this diversity, however, some patterns can be identified. In countries not greatly affected by the crisis (Nordics, Continental), the rate of transitions from employment to unemployment increased only modestly with the crisis but continued to increase well into 2016. Instead, in countries more directly exposed (Central Eastern and especially Mediterranean), the recovery period shows clearly a reduction of such ‘unsuccessful’ labour market transitions. In the Mediterranean group this translated into an overall trend of increasing stability in labour market states (including higher unemployment persistence), whereas in the Central Eastern group stability declined post-crisis and, with it, unemployment persistence also went down. Although a systematic exploration of the </w:t>
      </w:r>
      <w:r w:rsidR="00B36A46" w:rsidRPr="00353650">
        <w:rPr>
          <w:rFonts w:asciiTheme="minorHAnsi" w:hAnsiTheme="minorHAnsi" w:cstheme="minorHAnsi"/>
          <w:szCs w:val="24"/>
        </w:rPr>
        <w:t>drivers of these patterns is well outside the scope of this paper, we note that these patterns do not seem to be particularly at odds with common intuition concerning the dynamics of the crisis in the different parts of the EU</w:t>
      </w:r>
      <w:r w:rsidR="00333D28">
        <w:rPr>
          <w:rFonts w:asciiTheme="minorHAnsi" w:hAnsiTheme="minorHAnsi" w:cstheme="minorHAnsi"/>
          <w:szCs w:val="24"/>
        </w:rPr>
        <w:t xml:space="preserve"> (see Monastiriotis, 2018, for a fuller discussion of this). </w:t>
      </w:r>
    </w:p>
    <w:p w:rsidR="005D37A2" w:rsidRPr="00353650" w:rsidRDefault="005D37A2" w:rsidP="00FA3F88">
      <w:pPr>
        <w:spacing w:before="120" w:after="120" w:line="360" w:lineRule="auto"/>
        <w:rPr>
          <w:rFonts w:asciiTheme="minorHAnsi" w:hAnsiTheme="minorHAnsi" w:cstheme="minorHAnsi"/>
          <w:szCs w:val="24"/>
        </w:rPr>
      </w:pPr>
    </w:p>
    <w:p w:rsidR="00645652" w:rsidRPr="00353650" w:rsidRDefault="00645652" w:rsidP="00FA3F88">
      <w:pPr>
        <w:spacing w:before="120" w:after="120" w:line="360" w:lineRule="auto"/>
        <w:rPr>
          <w:rFonts w:asciiTheme="minorHAnsi" w:hAnsiTheme="minorHAnsi" w:cstheme="minorHAnsi"/>
          <w:szCs w:val="24"/>
        </w:rPr>
      </w:pPr>
    </w:p>
    <w:p w:rsidR="008D603A" w:rsidRPr="00353650" w:rsidRDefault="00091A82" w:rsidP="00FA3F88">
      <w:pPr>
        <w:pStyle w:val="Heading"/>
        <w:numPr>
          <w:ilvl w:val="0"/>
          <w:numId w:val="26"/>
        </w:numPr>
        <w:spacing w:after="120" w:line="360" w:lineRule="auto"/>
        <w:rPr>
          <w:rFonts w:asciiTheme="minorHAnsi" w:hAnsiTheme="minorHAnsi" w:cstheme="minorHAnsi"/>
          <w:sz w:val="24"/>
          <w:szCs w:val="24"/>
          <w:u w:val="none"/>
        </w:rPr>
      </w:pPr>
      <w:r w:rsidRPr="00353650">
        <w:rPr>
          <w:rFonts w:asciiTheme="minorHAnsi" w:hAnsiTheme="minorHAnsi" w:cstheme="minorHAnsi"/>
          <w:caps w:val="0"/>
          <w:sz w:val="24"/>
          <w:szCs w:val="24"/>
          <w:u w:val="none"/>
        </w:rPr>
        <w:t>Steady-state equilibrium and counterfactual analysis</w:t>
      </w:r>
    </w:p>
    <w:p w:rsidR="00091A82" w:rsidRPr="00353650" w:rsidRDefault="00091A82" w:rsidP="00FA3F88">
      <w:pPr>
        <w:autoSpaceDE w:val="0"/>
        <w:autoSpaceDN w:val="0"/>
        <w:adjustRightInd w:val="0"/>
        <w:spacing w:before="120" w:after="120" w:line="360" w:lineRule="auto"/>
        <w:ind w:left="57"/>
        <w:rPr>
          <w:rFonts w:asciiTheme="minorHAnsi" w:hAnsiTheme="minorHAnsi" w:cstheme="minorHAnsi"/>
          <w:b/>
          <w:i/>
          <w:szCs w:val="24"/>
        </w:rPr>
      </w:pPr>
      <w:r w:rsidRPr="00353650">
        <w:rPr>
          <w:rFonts w:asciiTheme="minorHAnsi" w:hAnsiTheme="minorHAnsi" w:cstheme="minorHAnsi"/>
          <w:b/>
          <w:i/>
          <w:szCs w:val="24"/>
        </w:rPr>
        <w:t>4.1. Steady-state unemployment</w:t>
      </w:r>
    </w:p>
    <w:p w:rsidR="00645652" w:rsidRPr="00353650" w:rsidRDefault="000F2D3B" w:rsidP="00FA3F88">
      <w:pPr>
        <w:autoSpaceDE w:val="0"/>
        <w:autoSpaceDN w:val="0"/>
        <w:adjustRightInd w:val="0"/>
        <w:spacing w:before="120" w:after="120" w:line="360" w:lineRule="auto"/>
        <w:ind w:left="57"/>
        <w:rPr>
          <w:rFonts w:asciiTheme="minorHAnsi" w:hAnsiTheme="minorHAnsi" w:cstheme="minorHAnsi"/>
          <w:szCs w:val="24"/>
        </w:rPr>
      </w:pPr>
      <w:r w:rsidRPr="00353650">
        <w:rPr>
          <w:rFonts w:asciiTheme="minorHAnsi" w:hAnsiTheme="minorHAnsi" w:cstheme="minorHAnsi"/>
          <w:szCs w:val="24"/>
        </w:rPr>
        <w:t xml:space="preserve">The transitions and flows presented so far give a static picture </w:t>
      </w:r>
      <w:r w:rsidRPr="00353650">
        <w:rPr>
          <w:rFonts w:asciiTheme="minorHAnsi" w:hAnsiTheme="minorHAnsi" w:cstheme="minorHAnsi"/>
          <w:noProof/>
          <w:szCs w:val="24"/>
        </w:rPr>
        <w:t>of</w:t>
      </w:r>
      <w:r w:rsidRPr="00353650">
        <w:rPr>
          <w:rFonts w:asciiTheme="minorHAnsi" w:hAnsiTheme="minorHAnsi" w:cstheme="minorHAnsi"/>
          <w:szCs w:val="24"/>
        </w:rPr>
        <w:t xml:space="preserve"> the short-run (year-on-year) dynamics of the EU labour markets. </w:t>
      </w:r>
      <w:r w:rsidR="00645652" w:rsidRPr="00353650">
        <w:rPr>
          <w:rFonts w:asciiTheme="minorHAnsi" w:hAnsiTheme="minorHAnsi" w:cstheme="minorHAnsi"/>
          <w:szCs w:val="24"/>
        </w:rPr>
        <w:t xml:space="preserve">In this section we turn our attention to how these short run dynamics influence the long-run (steady-state) equilibrium of the different labour market states (employment, unemployment and inactivity). </w:t>
      </w:r>
      <w:r w:rsidRPr="00353650">
        <w:rPr>
          <w:rFonts w:asciiTheme="minorHAnsi" w:hAnsiTheme="minorHAnsi" w:cstheme="minorHAnsi"/>
          <w:szCs w:val="24"/>
        </w:rPr>
        <w:t xml:space="preserve">As was noted in </w:t>
      </w:r>
      <w:r w:rsidR="00645652" w:rsidRPr="00353650">
        <w:rPr>
          <w:rFonts w:asciiTheme="minorHAnsi" w:hAnsiTheme="minorHAnsi" w:cstheme="minorHAnsi"/>
          <w:szCs w:val="24"/>
        </w:rPr>
        <w:t xml:space="preserve">section 2.2, long-run dynamics are derived by calculating the ergodic distribution implied by the transition probabilities observed for each country at each point in time. </w:t>
      </w:r>
      <w:r w:rsidR="00091A82" w:rsidRPr="00353650">
        <w:rPr>
          <w:rFonts w:asciiTheme="minorHAnsi" w:hAnsiTheme="minorHAnsi" w:cstheme="minorHAnsi"/>
          <w:szCs w:val="24"/>
        </w:rPr>
        <w:t xml:space="preserve">By deriving these equilibrium values for each year in the data (i.e., based on the transition matrix observed in each year), </w:t>
      </w:r>
      <w:r w:rsidR="00091A82" w:rsidRPr="00353650">
        <w:rPr>
          <w:rFonts w:asciiTheme="minorHAnsi" w:hAnsiTheme="minorHAnsi" w:cstheme="minorHAnsi"/>
          <w:szCs w:val="24"/>
        </w:rPr>
        <w:lastRenderedPageBreak/>
        <w:t>we are able to observe how the equilibrium changes year-on-year on the basis of changes in the transition dynamics in each country under study.</w:t>
      </w:r>
    </w:p>
    <w:p w:rsidR="000F2D3B" w:rsidRPr="00353650" w:rsidRDefault="000F2D3B" w:rsidP="00FA3F88">
      <w:pPr>
        <w:autoSpaceDE w:val="0"/>
        <w:autoSpaceDN w:val="0"/>
        <w:adjustRightInd w:val="0"/>
        <w:spacing w:before="120" w:after="120" w:line="360" w:lineRule="auto"/>
        <w:ind w:left="57"/>
        <w:rPr>
          <w:rFonts w:asciiTheme="minorHAnsi" w:hAnsiTheme="minorHAnsi" w:cstheme="minorHAnsi"/>
          <w:szCs w:val="24"/>
        </w:rPr>
      </w:pPr>
      <w:r w:rsidRPr="00353650">
        <w:rPr>
          <w:rFonts w:asciiTheme="minorHAnsi" w:hAnsiTheme="minorHAnsi" w:cstheme="minorHAnsi"/>
          <w:szCs w:val="24"/>
        </w:rPr>
        <w:t xml:space="preserve">Figure </w:t>
      </w:r>
      <w:r w:rsidR="00645652" w:rsidRPr="00353650">
        <w:rPr>
          <w:rFonts w:asciiTheme="minorHAnsi" w:hAnsiTheme="minorHAnsi" w:cstheme="minorHAnsi"/>
          <w:szCs w:val="24"/>
        </w:rPr>
        <w:t>6</w:t>
      </w:r>
      <w:r w:rsidRPr="00353650">
        <w:rPr>
          <w:rFonts w:asciiTheme="minorHAnsi" w:hAnsiTheme="minorHAnsi" w:cstheme="minorHAnsi"/>
          <w:szCs w:val="24"/>
        </w:rPr>
        <w:t xml:space="preserve"> </w:t>
      </w:r>
      <w:r w:rsidR="004D7911" w:rsidRPr="00353650">
        <w:rPr>
          <w:rFonts w:asciiTheme="minorHAnsi" w:hAnsiTheme="minorHAnsi" w:cstheme="minorHAnsi"/>
          <w:szCs w:val="24"/>
        </w:rPr>
        <w:t>presents the derived equilibrium values for the case of unemployment, plotted against the actual unemployment rates observed in the data.</w:t>
      </w:r>
      <w:r w:rsidRPr="00353650">
        <w:rPr>
          <w:rFonts w:asciiTheme="minorHAnsi" w:hAnsiTheme="minorHAnsi" w:cstheme="minorHAnsi"/>
          <w:szCs w:val="24"/>
        </w:rPr>
        <w:t xml:space="preserve"> As can be seen, there are important country variations in all three aspects: the level of equilibrium (and actual) unemployment; the temporal evolution of equilibrium and actual unemployment; and the distance between equilibrium and actual unemployment. For countries such as Austria, Belgium, </w:t>
      </w:r>
      <w:r w:rsidRPr="00353650">
        <w:rPr>
          <w:rFonts w:asciiTheme="minorHAnsi" w:hAnsiTheme="minorHAnsi" w:cstheme="minorHAnsi"/>
          <w:noProof/>
          <w:szCs w:val="24"/>
        </w:rPr>
        <w:t>Cyprus</w:t>
      </w:r>
      <w:r w:rsidRPr="00353650">
        <w:rPr>
          <w:rFonts w:asciiTheme="minorHAnsi" w:hAnsiTheme="minorHAnsi" w:cstheme="minorHAnsi"/>
          <w:szCs w:val="24"/>
        </w:rPr>
        <w:t xml:space="preserve"> (until 2013), Greece (until 2012), Croatia, Hungary, Italy and perhaps Portugal (until 2009), equilibrium unemployment follows quite closely actual unemployment – suggesting that the actual level of unemployment in these countries is not due to (transitory) deviations for equilibrium but rather possibly due to structural factors. In contrast, for countries such as Bulgaria, the Czech Republic, Denmark, Estonia, Spain, Finland, France, Luxemburg, Malta and the Netherlands (as well as for a subset of other countries post-crisis), actual unemployment is above the equilibrium</w:t>
      </w:r>
      <w:r w:rsidR="00761AB6" w:rsidRPr="00353650">
        <w:rPr>
          <w:rFonts w:asciiTheme="minorHAnsi" w:hAnsiTheme="minorHAnsi" w:cstheme="minorHAnsi"/>
          <w:szCs w:val="24"/>
        </w:rPr>
        <w:t xml:space="preserve"> – sometimes, importantly so</w:t>
      </w:r>
      <w:r w:rsidRPr="00353650">
        <w:rPr>
          <w:rFonts w:asciiTheme="minorHAnsi" w:hAnsiTheme="minorHAnsi" w:cstheme="minorHAnsi"/>
          <w:szCs w:val="24"/>
        </w:rPr>
        <w:t xml:space="preserve">. </w:t>
      </w:r>
    </w:p>
    <w:p w:rsidR="000F2D3B" w:rsidRPr="00353650" w:rsidRDefault="000F2D3B" w:rsidP="001D6366">
      <w:pPr>
        <w:autoSpaceDE w:val="0"/>
        <w:autoSpaceDN w:val="0"/>
        <w:adjustRightInd w:val="0"/>
        <w:spacing w:before="120" w:after="120" w:line="360" w:lineRule="auto"/>
        <w:ind w:left="57"/>
        <w:rPr>
          <w:rFonts w:asciiTheme="minorHAnsi" w:hAnsiTheme="minorHAnsi" w:cstheme="minorHAnsi"/>
          <w:szCs w:val="24"/>
        </w:rPr>
      </w:pPr>
      <w:r w:rsidRPr="00353650">
        <w:rPr>
          <w:rFonts w:asciiTheme="minorHAnsi" w:hAnsiTheme="minorHAnsi" w:cstheme="minorHAnsi"/>
          <w:szCs w:val="24"/>
        </w:rPr>
        <w:t>For these countries, the evidence suggests that adjustment dynamics inside the labou</w:t>
      </w:r>
      <w:r w:rsidR="00091A82" w:rsidRPr="00353650">
        <w:rPr>
          <w:rFonts w:asciiTheme="minorHAnsi" w:hAnsiTheme="minorHAnsi" w:cstheme="minorHAnsi"/>
          <w:szCs w:val="24"/>
        </w:rPr>
        <w:t>r market (mobility across stat</w:t>
      </w:r>
      <w:r w:rsidRPr="00353650">
        <w:rPr>
          <w:rFonts w:asciiTheme="minorHAnsi" w:hAnsiTheme="minorHAnsi" w:cstheme="minorHAnsi"/>
          <w:szCs w:val="24"/>
        </w:rPr>
        <w:t xml:space="preserve">es) play, at least in part, some role in accounting for the </w:t>
      </w:r>
      <w:r w:rsidR="00091A82" w:rsidRPr="00353650">
        <w:rPr>
          <w:rFonts w:asciiTheme="minorHAnsi" w:hAnsiTheme="minorHAnsi" w:cstheme="minorHAnsi"/>
          <w:szCs w:val="24"/>
        </w:rPr>
        <w:t xml:space="preserve">observed </w:t>
      </w:r>
      <w:r w:rsidRPr="00353650">
        <w:rPr>
          <w:rFonts w:asciiTheme="minorHAnsi" w:hAnsiTheme="minorHAnsi" w:cstheme="minorHAnsi"/>
          <w:szCs w:val="24"/>
        </w:rPr>
        <w:t xml:space="preserve">level of unemployment. It is worth noting also the case of Slovenia (and Italy), where actual unemployment appears to have been for a prolonged period </w:t>
      </w:r>
      <w:r w:rsidRPr="00353650">
        <w:rPr>
          <w:rFonts w:asciiTheme="minorHAnsi" w:hAnsiTheme="minorHAnsi" w:cstheme="minorHAnsi"/>
          <w:i/>
          <w:szCs w:val="24"/>
        </w:rPr>
        <w:t>below</w:t>
      </w:r>
      <w:r w:rsidRPr="00353650">
        <w:rPr>
          <w:rFonts w:asciiTheme="minorHAnsi" w:hAnsiTheme="minorHAnsi" w:cstheme="minorHAnsi"/>
          <w:szCs w:val="24"/>
        </w:rPr>
        <w:t xml:space="preserve"> its equilibrium level – indicating </w:t>
      </w:r>
      <w:r w:rsidR="00807DEF">
        <w:rPr>
          <w:rFonts w:asciiTheme="minorHAnsi" w:hAnsiTheme="minorHAnsi" w:cstheme="minorHAnsi"/>
          <w:szCs w:val="24"/>
        </w:rPr>
        <w:t>cyclical</w:t>
      </w:r>
      <w:r w:rsidR="00807DEF" w:rsidRPr="00353650">
        <w:rPr>
          <w:rFonts w:asciiTheme="minorHAnsi" w:hAnsiTheme="minorHAnsi" w:cstheme="minorHAnsi"/>
          <w:szCs w:val="24"/>
        </w:rPr>
        <w:t xml:space="preserve"> </w:t>
      </w:r>
      <w:r w:rsidRPr="00353650">
        <w:rPr>
          <w:rFonts w:asciiTheme="minorHAnsi" w:hAnsiTheme="minorHAnsi" w:cstheme="minorHAnsi"/>
          <w:szCs w:val="24"/>
        </w:rPr>
        <w:t xml:space="preserve">conditions in the labour market which contributed to dampening unemployment. It is also interesting to note that deviations from </w:t>
      </w:r>
      <w:r w:rsidRPr="00353650">
        <w:rPr>
          <w:rFonts w:asciiTheme="minorHAnsi" w:hAnsiTheme="minorHAnsi" w:cstheme="minorHAnsi"/>
          <w:noProof/>
          <w:szCs w:val="24"/>
        </w:rPr>
        <w:t>equilibrium</w:t>
      </w:r>
      <w:r w:rsidRPr="00353650">
        <w:rPr>
          <w:rFonts w:asciiTheme="minorHAnsi" w:hAnsiTheme="minorHAnsi" w:cstheme="minorHAnsi"/>
          <w:szCs w:val="24"/>
        </w:rPr>
        <w:t xml:space="preserve"> (of the adverse form) are not systematically higher in countries known for their relatively poor labour market performance (e.g., such as Greece or Spain): in fact, pre-crisis, countries such as Luxemburg, the Netherlands and Sweden had larger deviations than those observed in any of the Mediterranean countries (Portugal, Italy, Greece and Spain, in particular). </w:t>
      </w:r>
    </w:p>
    <w:p w:rsidR="00367CF5" w:rsidRDefault="00367CF5" w:rsidP="001D6366">
      <w:pPr>
        <w:autoSpaceDE w:val="0"/>
        <w:autoSpaceDN w:val="0"/>
        <w:adjustRightInd w:val="0"/>
        <w:spacing w:before="120" w:after="120" w:line="360" w:lineRule="auto"/>
        <w:ind w:left="57"/>
        <w:rPr>
          <w:rFonts w:asciiTheme="minorHAnsi" w:hAnsiTheme="minorHAnsi" w:cstheme="minorHAnsi"/>
          <w:szCs w:val="24"/>
        </w:rPr>
      </w:pPr>
    </w:p>
    <w:p w:rsidR="001D6366" w:rsidRDefault="00367CF5" w:rsidP="001D6366">
      <w:pPr>
        <w:autoSpaceDE w:val="0"/>
        <w:autoSpaceDN w:val="0"/>
        <w:adjustRightInd w:val="0"/>
        <w:spacing w:before="120" w:after="120" w:line="360" w:lineRule="auto"/>
        <w:ind w:left="57"/>
        <w:rPr>
          <w:rFonts w:asciiTheme="minorHAnsi" w:hAnsiTheme="minorHAnsi" w:cstheme="minorHAnsi"/>
          <w:szCs w:val="24"/>
        </w:rPr>
      </w:pPr>
      <w:r>
        <w:rPr>
          <w:rFonts w:asciiTheme="minorHAnsi" w:hAnsiTheme="minorHAnsi" w:cstheme="minorHAnsi"/>
          <w:szCs w:val="24"/>
        </w:rPr>
        <w:t>[FIGURE 6 AROUND HERE]</w:t>
      </w:r>
    </w:p>
    <w:p w:rsidR="001D6366" w:rsidRDefault="001D6366" w:rsidP="001D6366">
      <w:pPr>
        <w:autoSpaceDE w:val="0"/>
        <w:autoSpaceDN w:val="0"/>
        <w:adjustRightInd w:val="0"/>
        <w:spacing w:before="120" w:after="120" w:line="360" w:lineRule="auto"/>
        <w:ind w:left="57"/>
        <w:rPr>
          <w:rFonts w:asciiTheme="minorHAnsi" w:hAnsiTheme="minorHAnsi" w:cstheme="minorHAnsi"/>
          <w:szCs w:val="24"/>
        </w:rPr>
      </w:pPr>
    </w:p>
    <w:p w:rsidR="00C657C2" w:rsidRPr="00353650" w:rsidRDefault="00C657C2" w:rsidP="001D6366">
      <w:pPr>
        <w:spacing w:before="120" w:after="120" w:line="360" w:lineRule="auto"/>
        <w:rPr>
          <w:rFonts w:asciiTheme="minorHAnsi" w:hAnsiTheme="minorHAnsi" w:cstheme="minorHAnsi"/>
          <w:szCs w:val="24"/>
        </w:rPr>
      </w:pPr>
      <w:r w:rsidRPr="00353650">
        <w:rPr>
          <w:rFonts w:asciiTheme="minorHAnsi" w:hAnsiTheme="minorHAnsi" w:cstheme="minorHAnsi"/>
          <w:szCs w:val="24"/>
        </w:rPr>
        <w:t xml:space="preserve">Sizeable country differences also exist with regard to the speed by which transitions lead to a steady-state of labour market outcomes (as measured by the half-life of convergence measure), suggesting important differences in the fluidity of labour markets across the EU </w:t>
      </w:r>
      <w:r w:rsidRPr="00353650">
        <w:rPr>
          <w:rFonts w:asciiTheme="minorHAnsi" w:hAnsiTheme="minorHAnsi" w:cstheme="minorHAnsi"/>
          <w:szCs w:val="24"/>
        </w:rPr>
        <w:lastRenderedPageBreak/>
        <w:t>(</w:t>
      </w:r>
      <w:r w:rsidR="00091A82" w:rsidRPr="00353650">
        <w:rPr>
          <w:rFonts w:asciiTheme="minorHAnsi" w:hAnsiTheme="minorHAnsi" w:cstheme="minorHAnsi"/>
          <w:szCs w:val="24"/>
        </w:rPr>
        <w:t xml:space="preserve">full </w:t>
      </w:r>
      <w:r w:rsidRPr="00353650">
        <w:rPr>
          <w:rFonts w:asciiTheme="minorHAnsi" w:hAnsiTheme="minorHAnsi" w:cstheme="minorHAnsi"/>
          <w:szCs w:val="24"/>
        </w:rPr>
        <w:t>results not shown, but available upon request). Pre-crisis, this varied between 2.7 years (in Denmark) and 10.9 years (in Italy). The crisis period saw an increase in the time to convergence, with the minimum rising only marginally (2.8 years, again in Denmark) and the maximum rising somewhat more markedly (11.4 years, in Bulgaria). Post-crisis we observe instead more differentiation, with the minimum falling to 2.6 years (Sweden) and the maximum rising further to 14.1 years (Bulgaria).</w:t>
      </w:r>
    </w:p>
    <w:p w:rsidR="00C657C2" w:rsidRPr="00353650" w:rsidRDefault="00C657C2" w:rsidP="001D6366">
      <w:pPr>
        <w:spacing w:before="120" w:after="120" w:line="360" w:lineRule="auto"/>
        <w:ind w:left="57"/>
        <w:rPr>
          <w:rFonts w:asciiTheme="minorHAnsi" w:hAnsiTheme="minorHAnsi" w:cstheme="minorHAnsi"/>
          <w:szCs w:val="24"/>
        </w:rPr>
      </w:pPr>
    </w:p>
    <w:p w:rsidR="00091A82" w:rsidRPr="00353650" w:rsidRDefault="00091A82" w:rsidP="001D6366">
      <w:pPr>
        <w:spacing w:before="120" w:after="120" w:line="360" w:lineRule="auto"/>
        <w:ind w:left="57"/>
        <w:rPr>
          <w:rFonts w:asciiTheme="minorHAnsi" w:hAnsiTheme="minorHAnsi" w:cstheme="minorHAnsi"/>
          <w:b/>
          <w:i/>
          <w:szCs w:val="24"/>
        </w:rPr>
      </w:pPr>
      <w:r w:rsidRPr="00353650">
        <w:rPr>
          <w:rFonts w:asciiTheme="minorHAnsi" w:hAnsiTheme="minorHAnsi" w:cstheme="minorHAnsi"/>
          <w:b/>
          <w:i/>
          <w:szCs w:val="24"/>
        </w:rPr>
        <w:t>4.2. Counterfactual analysis</w:t>
      </w:r>
    </w:p>
    <w:p w:rsidR="000F2D3B" w:rsidRDefault="000F2D3B" w:rsidP="001D6366">
      <w:pPr>
        <w:autoSpaceDE w:val="0"/>
        <w:autoSpaceDN w:val="0"/>
        <w:adjustRightInd w:val="0"/>
        <w:spacing w:before="120" w:after="120" w:line="360" w:lineRule="auto"/>
        <w:ind w:left="57"/>
        <w:rPr>
          <w:rFonts w:asciiTheme="minorHAnsi" w:hAnsiTheme="minorHAnsi" w:cstheme="minorHAnsi"/>
          <w:szCs w:val="24"/>
        </w:rPr>
      </w:pPr>
      <w:r w:rsidRPr="00353650">
        <w:rPr>
          <w:rFonts w:asciiTheme="minorHAnsi" w:hAnsiTheme="minorHAnsi" w:cstheme="minorHAnsi"/>
          <w:szCs w:val="24"/>
        </w:rPr>
        <w:t xml:space="preserve">To examine further how transition dynamics contribute to the </w:t>
      </w:r>
      <w:r w:rsidR="00D80AD7" w:rsidRPr="00353650">
        <w:rPr>
          <w:rFonts w:asciiTheme="minorHAnsi" w:hAnsiTheme="minorHAnsi" w:cstheme="minorHAnsi"/>
          <w:szCs w:val="24"/>
        </w:rPr>
        <w:t xml:space="preserve">obtained equilibrium values for </w:t>
      </w:r>
      <w:r w:rsidRPr="00353650">
        <w:rPr>
          <w:rFonts w:asciiTheme="minorHAnsi" w:hAnsiTheme="minorHAnsi" w:cstheme="minorHAnsi"/>
          <w:szCs w:val="24"/>
        </w:rPr>
        <w:t>unemployment</w:t>
      </w:r>
      <w:r w:rsidR="00D80AD7" w:rsidRPr="00353650">
        <w:rPr>
          <w:rFonts w:asciiTheme="minorHAnsi" w:hAnsiTheme="minorHAnsi" w:cstheme="minorHAnsi"/>
          <w:szCs w:val="24"/>
        </w:rPr>
        <w:t xml:space="preserve"> (as well as of the other labour market states), </w:t>
      </w:r>
      <w:r w:rsidRPr="00353650">
        <w:rPr>
          <w:rFonts w:asciiTheme="minorHAnsi" w:hAnsiTheme="minorHAnsi" w:cstheme="minorHAnsi"/>
          <w:szCs w:val="24"/>
        </w:rPr>
        <w:t xml:space="preserve">we </w:t>
      </w:r>
      <w:r w:rsidR="00D80AD7" w:rsidRPr="00353650">
        <w:rPr>
          <w:rFonts w:asciiTheme="minorHAnsi" w:hAnsiTheme="minorHAnsi" w:cstheme="minorHAnsi"/>
          <w:szCs w:val="24"/>
        </w:rPr>
        <w:t xml:space="preserve">proceed here to implement </w:t>
      </w:r>
      <w:r w:rsidRPr="00353650">
        <w:rPr>
          <w:rFonts w:asciiTheme="minorHAnsi" w:hAnsiTheme="minorHAnsi" w:cstheme="minorHAnsi"/>
          <w:szCs w:val="24"/>
        </w:rPr>
        <w:t xml:space="preserve">a counterfactual exercise, </w:t>
      </w:r>
      <w:r w:rsidR="00D80AD7" w:rsidRPr="00353650">
        <w:rPr>
          <w:rFonts w:asciiTheme="minorHAnsi" w:hAnsiTheme="minorHAnsi" w:cstheme="minorHAnsi"/>
          <w:szCs w:val="24"/>
        </w:rPr>
        <w:t xml:space="preserve">as discussed in section 2.2. </w:t>
      </w:r>
      <w:r w:rsidRPr="00353650">
        <w:rPr>
          <w:rFonts w:asciiTheme="minorHAnsi" w:hAnsiTheme="minorHAnsi" w:cstheme="minorHAnsi"/>
          <w:szCs w:val="24"/>
        </w:rPr>
        <w:t>The exercise relies on constructing a hypothetical unemployment distribution towards the steady-state path for e</w:t>
      </w:r>
      <w:r w:rsidR="00D80AD7" w:rsidRPr="00353650">
        <w:rPr>
          <w:rFonts w:asciiTheme="minorHAnsi" w:hAnsiTheme="minorHAnsi" w:cstheme="minorHAnsi"/>
          <w:szCs w:val="24"/>
        </w:rPr>
        <w:t>ach country (or country group</w:t>
      </w:r>
      <w:r w:rsidRPr="00353650">
        <w:rPr>
          <w:rFonts w:asciiTheme="minorHAnsi" w:hAnsiTheme="minorHAnsi" w:cstheme="minorHAnsi"/>
          <w:szCs w:val="24"/>
        </w:rPr>
        <w:t xml:space="preserve">), on the basis of the transition dynamics observed in a selected reference country, and then calculating the distance between the actual and hypothetical distributions. Specifically, as a first </w:t>
      </w:r>
      <w:r w:rsidRPr="00353650">
        <w:rPr>
          <w:rFonts w:asciiTheme="minorHAnsi" w:hAnsiTheme="minorHAnsi" w:cstheme="minorHAnsi"/>
          <w:noProof/>
          <w:szCs w:val="24"/>
        </w:rPr>
        <w:t>step,</w:t>
      </w:r>
      <w:r w:rsidRPr="00353650">
        <w:rPr>
          <w:rFonts w:asciiTheme="minorHAnsi" w:hAnsiTheme="minorHAnsi" w:cstheme="minorHAnsi"/>
          <w:szCs w:val="24"/>
        </w:rPr>
        <w:t xml:space="preserve"> we apply iteratively over five years the transition dynamics of the reference country to the actual distribution of labour market statuses of each of our countries, so as to derive the counterfactual distribution of labour market</w:t>
      </w:r>
      <w:r w:rsidR="00D80AD7" w:rsidRPr="00353650">
        <w:rPr>
          <w:rFonts w:asciiTheme="minorHAnsi" w:hAnsiTheme="minorHAnsi" w:cstheme="minorHAnsi"/>
          <w:szCs w:val="24"/>
        </w:rPr>
        <w:t xml:space="preserve"> stat</w:t>
      </w:r>
      <w:r w:rsidRPr="00353650">
        <w:rPr>
          <w:rFonts w:asciiTheme="minorHAnsi" w:hAnsiTheme="minorHAnsi" w:cstheme="minorHAnsi"/>
          <w:szCs w:val="24"/>
        </w:rPr>
        <w:t xml:space="preserve">es in </w:t>
      </w:r>
      <w:r w:rsidRPr="00353650">
        <w:rPr>
          <w:rFonts w:asciiTheme="minorHAnsi" w:hAnsiTheme="minorHAnsi" w:cstheme="minorHAnsi"/>
          <w:i/>
          <w:szCs w:val="24"/>
        </w:rPr>
        <w:t>t+5</w:t>
      </w:r>
      <w:r w:rsidRPr="00353650">
        <w:rPr>
          <w:rFonts w:asciiTheme="minorHAnsi" w:hAnsiTheme="minorHAnsi" w:cstheme="minorHAnsi"/>
          <w:szCs w:val="24"/>
        </w:rPr>
        <w:t xml:space="preserve">. Then, we calculate the same distribution (in </w:t>
      </w:r>
      <w:r w:rsidRPr="00353650">
        <w:rPr>
          <w:rFonts w:asciiTheme="minorHAnsi" w:hAnsiTheme="minorHAnsi" w:cstheme="minorHAnsi"/>
          <w:i/>
          <w:szCs w:val="24"/>
        </w:rPr>
        <w:t>t+5</w:t>
      </w:r>
      <w:r w:rsidRPr="00353650">
        <w:rPr>
          <w:rFonts w:asciiTheme="minorHAnsi" w:hAnsiTheme="minorHAnsi" w:cstheme="minorHAnsi"/>
          <w:szCs w:val="24"/>
        </w:rPr>
        <w:t xml:space="preserve">) using the same initial distribution but </w:t>
      </w:r>
      <w:r w:rsidR="004D11C6">
        <w:rPr>
          <w:rFonts w:asciiTheme="minorHAnsi" w:hAnsiTheme="minorHAnsi" w:cstheme="minorHAnsi"/>
          <w:szCs w:val="24"/>
        </w:rPr>
        <w:t xml:space="preserve">applying this time </w:t>
      </w:r>
      <w:r w:rsidRPr="00353650">
        <w:rPr>
          <w:rFonts w:asciiTheme="minorHAnsi" w:hAnsiTheme="minorHAnsi" w:cstheme="minorHAnsi"/>
          <w:szCs w:val="24"/>
        </w:rPr>
        <w:t xml:space="preserve">the country specific (actual) transition dynamic. Our last step is to calculate the difference between the two distributions: this gives us the amounts of employment, unemployment and inactivity (in percentage points) that would have shifted in a 5-year period if each country had the transition dynamics of the reference country. </w:t>
      </w:r>
    </w:p>
    <w:p w:rsidR="003D102D" w:rsidRDefault="003D102D" w:rsidP="001D6366">
      <w:pPr>
        <w:autoSpaceDE w:val="0"/>
        <w:autoSpaceDN w:val="0"/>
        <w:adjustRightInd w:val="0"/>
        <w:spacing w:before="120" w:after="120" w:line="360" w:lineRule="auto"/>
        <w:ind w:left="57"/>
        <w:rPr>
          <w:rFonts w:asciiTheme="minorHAnsi" w:hAnsiTheme="minorHAnsi" w:cstheme="minorHAnsi"/>
          <w:szCs w:val="24"/>
        </w:rPr>
      </w:pPr>
      <w:r w:rsidRPr="00353650">
        <w:rPr>
          <w:rFonts w:asciiTheme="minorHAnsi" w:hAnsiTheme="minorHAnsi" w:cstheme="minorHAnsi"/>
          <w:szCs w:val="24"/>
        </w:rPr>
        <w:t xml:space="preserve">Figure 7 reports the result from two such exercises, one using the transition dynamics of Sweden as the reference point (left panel) and one using the transition dynamics of Greece (right panel), focusing exclusively on the post-crisis period. In turn, in Figure 8 we use the transition dynamics of the Nordic group and apply them to the actual distributions of the other country groups, this time for both the crisis and post-crisis periods. As can be seen in Figure 7, transition dynamics play a very important role </w:t>
      </w:r>
      <w:r w:rsidRPr="00353650">
        <w:rPr>
          <w:rFonts w:asciiTheme="minorHAnsi" w:hAnsiTheme="minorHAnsi" w:cstheme="minorHAnsi"/>
          <w:noProof/>
          <w:szCs w:val="24"/>
        </w:rPr>
        <w:t>in</w:t>
      </w:r>
      <w:r w:rsidRPr="00353650">
        <w:rPr>
          <w:rFonts w:asciiTheme="minorHAnsi" w:hAnsiTheme="minorHAnsi" w:cstheme="minorHAnsi"/>
          <w:szCs w:val="24"/>
        </w:rPr>
        <w:t xml:space="preserve"> equilibrium unemployment. With the exception of Hungary and Lithuania, if the EU countries had the transition dynamics exhibited by Sweden in the post-crisis period, they would have a much better employment performance (in equilibrium terms); while a large majority of countries would also have lower </w:t>
      </w:r>
      <w:r w:rsidRPr="00353650">
        <w:rPr>
          <w:rFonts w:asciiTheme="minorHAnsi" w:hAnsiTheme="minorHAnsi" w:cstheme="minorHAnsi"/>
          <w:szCs w:val="24"/>
        </w:rPr>
        <w:lastRenderedPageBreak/>
        <w:t xml:space="preserve">equilibrium unemployment (exceptions include the Czech Republic, Malta, Estonia and Luxemburg). At the extreme, in countries such as Greece, Croatia, Portugal and Slovenia, equilibrium employment could be higher by over 20 percentage points. As is evident from the graph, the main factor driving these results is the far superior performance of Sweden with regard to labour force participation (lower inactivity), implying much lower counterfactual inactivity rates in practically all countries (with Hungary and Latvia constituting marginal exceptions). In turn, when using Greece as the counterfactual the picture reverses almost fully. This time, with few exceptions, the transition dynamics of Greece produce more unemployment and inactivity and less employment. </w:t>
      </w:r>
    </w:p>
    <w:p w:rsidR="00FA3F88" w:rsidRDefault="00FA3F88" w:rsidP="001D6366">
      <w:pPr>
        <w:autoSpaceDE w:val="0"/>
        <w:autoSpaceDN w:val="0"/>
        <w:adjustRightInd w:val="0"/>
        <w:spacing w:before="120" w:after="120" w:line="360" w:lineRule="auto"/>
        <w:ind w:left="57"/>
        <w:rPr>
          <w:rFonts w:asciiTheme="minorHAnsi" w:hAnsiTheme="minorHAnsi" w:cstheme="minorHAnsi"/>
          <w:szCs w:val="24"/>
        </w:rPr>
      </w:pPr>
    </w:p>
    <w:p w:rsidR="00367CF5" w:rsidRDefault="00367CF5" w:rsidP="001D6366">
      <w:pPr>
        <w:autoSpaceDE w:val="0"/>
        <w:autoSpaceDN w:val="0"/>
        <w:adjustRightInd w:val="0"/>
        <w:spacing w:before="120" w:after="120" w:line="360" w:lineRule="auto"/>
        <w:ind w:left="57"/>
        <w:rPr>
          <w:rFonts w:asciiTheme="minorHAnsi" w:hAnsiTheme="minorHAnsi" w:cstheme="minorHAnsi"/>
          <w:szCs w:val="24"/>
        </w:rPr>
      </w:pPr>
      <w:r>
        <w:rPr>
          <w:rFonts w:asciiTheme="minorHAnsi" w:hAnsiTheme="minorHAnsi" w:cstheme="minorHAnsi"/>
          <w:szCs w:val="24"/>
        </w:rPr>
        <w:t>[FIGURE 7 AROUND HERE]</w:t>
      </w:r>
    </w:p>
    <w:p w:rsidR="00FA3F88" w:rsidRDefault="00FA3F88" w:rsidP="001D6366">
      <w:pPr>
        <w:autoSpaceDE w:val="0"/>
        <w:autoSpaceDN w:val="0"/>
        <w:adjustRightInd w:val="0"/>
        <w:spacing w:before="120" w:after="120" w:line="360" w:lineRule="auto"/>
        <w:ind w:left="57"/>
        <w:rPr>
          <w:rFonts w:asciiTheme="minorHAnsi" w:hAnsiTheme="minorHAnsi" w:cstheme="minorHAnsi"/>
          <w:szCs w:val="24"/>
        </w:rPr>
      </w:pPr>
    </w:p>
    <w:p w:rsidR="003D102D" w:rsidRPr="00353650" w:rsidRDefault="003D102D" w:rsidP="001D6366">
      <w:pPr>
        <w:autoSpaceDE w:val="0"/>
        <w:autoSpaceDN w:val="0"/>
        <w:adjustRightInd w:val="0"/>
        <w:spacing w:before="120" w:after="120" w:line="360" w:lineRule="auto"/>
        <w:ind w:left="57"/>
        <w:rPr>
          <w:rFonts w:asciiTheme="minorHAnsi" w:hAnsiTheme="minorHAnsi" w:cstheme="minorHAnsi"/>
          <w:szCs w:val="24"/>
        </w:rPr>
      </w:pPr>
      <w:r w:rsidRPr="00353650">
        <w:rPr>
          <w:rFonts w:asciiTheme="minorHAnsi" w:hAnsiTheme="minorHAnsi" w:cstheme="minorHAnsi"/>
          <w:szCs w:val="24"/>
        </w:rPr>
        <w:t xml:space="preserve">Similarly, in Figure 8 we see that the transition </w:t>
      </w:r>
      <w:r w:rsidRPr="00353650">
        <w:rPr>
          <w:rFonts w:asciiTheme="minorHAnsi" w:hAnsiTheme="minorHAnsi" w:cstheme="minorHAnsi"/>
          <w:noProof/>
          <w:szCs w:val="24"/>
        </w:rPr>
        <w:t>dynamics</w:t>
      </w:r>
      <w:r w:rsidRPr="00353650">
        <w:rPr>
          <w:rFonts w:asciiTheme="minorHAnsi" w:hAnsiTheme="minorHAnsi" w:cstheme="minorHAnsi"/>
          <w:szCs w:val="24"/>
        </w:rPr>
        <w:t xml:space="preserve"> observed for the Nordic countries also have the tendency to produce superior labour market outcomes in the rest of the EU, especially in the post-crisis period. For the crisis period, the counterfactual produces less </w:t>
      </w:r>
      <w:r w:rsidRPr="00353650">
        <w:rPr>
          <w:rFonts w:asciiTheme="minorHAnsi" w:hAnsiTheme="minorHAnsi" w:cstheme="minorHAnsi"/>
          <w:noProof/>
          <w:szCs w:val="24"/>
        </w:rPr>
        <w:t>unemployment</w:t>
      </w:r>
      <w:r w:rsidRPr="00353650">
        <w:rPr>
          <w:rFonts w:asciiTheme="minorHAnsi" w:hAnsiTheme="minorHAnsi" w:cstheme="minorHAnsi"/>
          <w:szCs w:val="24"/>
        </w:rPr>
        <w:t xml:space="preserve"> in all three country groups but it produces more employment only in the </w:t>
      </w:r>
      <w:r w:rsidRPr="00353650">
        <w:rPr>
          <w:rFonts w:asciiTheme="minorHAnsi" w:hAnsiTheme="minorHAnsi" w:cstheme="minorHAnsi"/>
          <w:noProof/>
          <w:szCs w:val="24"/>
        </w:rPr>
        <w:t>Mediterranean</w:t>
      </w:r>
      <w:r w:rsidRPr="00353650">
        <w:rPr>
          <w:rFonts w:asciiTheme="minorHAnsi" w:hAnsiTheme="minorHAnsi" w:cstheme="minorHAnsi"/>
          <w:szCs w:val="24"/>
        </w:rPr>
        <w:t xml:space="preserve"> and Central Eastern groups; for the Continental </w:t>
      </w:r>
      <w:r w:rsidRPr="00353650">
        <w:rPr>
          <w:rFonts w:asciiTheme="minorHAnsi" w:hAnsiTheme="minorHAnsi" w:cstheme="minorHAnsi"/>
          <w:noProof/>
          <w:szCs w:val="24"/>
        </w:rPr>
        <w:t>group,</w:t>
      </w:r>
      <w:r w:rsidRPr="00353650">
        <w:rPr>
          <w:rFonts w:asciiTheme="minorHAnsi" w:hAnsiTheme="minorHAnsi" w:cstheme="minorHAnsi"/>
          <w:szCs w:val="24"/>
        </w:rPr>
        <w:t xml:space="preserve"> the difference shows instead as increased inactivity. For the post-crisis period, instead, counterfactual employment outcomes are better everywhere, ranging between 3% in the Central Eastern group and 8% in the Mediterranean group, while inactivity appears universally lower by around 2.5-3.0 percentage points.  </w:t>
      </w:r>
    </w:p>
    <w:p w:rsidR="00FA3F88" w:rsidRDefault="00FA3F88" w:rsidP="001D6366">
      <w:pPr>
        <w:autoSpaceDE w:val="0"/>
        <w:autoSpaceDN w:val="0"/>
        <w:adjustRightInd w:val="0"/>
        <w:spacing w:before="120" w:after="120" w:line="360" w:lineRule="auto"/>
        <w:ind w:left="57"/>
        <w:rPr>
          <w:rFonts w:asciiTheme="minorHAnsi" w:hAnsiTheme="minorHAnsi" w:cstheme="minorHAnsi"/>
          <w:szCs w:val="24"/>
        </w:rPr>
      </w:pPr>
    </w:p>
    <w:p w:rsidR="00367CF5" w:rsidRPr="00353650" w:rsidRDefault="00367CF5" w:rsidP="001D6366">
      <w:pPr>
        <w:autoSpaceDE w:val="0"/>
        <w:autoSpaceDN w:val="0"/>
        <w:adjustRightInd w:val="0"/>
        <w:spacing w:before="120" w:after="120" w:line="360" w:lineRule="auto"/>
        <w:ind w:left="57"/>
        <w:rPr>
          <w:rFonts w:asciiTheme="minorHAnsi" w:hAnsiTheme="minorHAnsi" w:cstheme="minorHAnsi"/>
          <w:szCs w:val="24"/>
        </w:rPr>
      </w:pPr>
      <w:r>
        <w:rPr>
          <w:rFonts w:asciiTheme="minorHAnsi" w:hAnsiTheme="minorHAnsi" w:cstheme="minorHAnsi"/>
          <w:szCs w:val="24"/>
        </w:rPr>
        <w:t>[FIGURE 8 AROUND HERE]</w:t>
      </w:r>
    </w:p>
    <w:p w:rsidR="00FA3F88" w:rsidRDefault="00FA3F88" w:rsidP="001D6366">
      <w:pPr>
        <w:autoSpaceDE w:val="0"/>
        <w:autoSpaceDN w:val="0"/>
        <w:adjustRightInd w:val="0"/>
        <w:spacing w:before="120" w:after="120" w:line="360" w:lineRule="auto"/>
        <w:ind w:left="57"/>
        <w:rPr>
          <w:rFonts w:asciiTheme="minorHAnsi" w:hAnsiTheme="minorHAnsi" w:cstheme="minorHAnsi"/>
          <w:szCs w:val="24"/>
        </w:rPr>
      </w:pPr>
    </w:p>
    <w:p w:rsidR="000F2D3B" w:rsidRPr="00353650" w:rsidRDefault="00D80AD7" w:rsidP="001D6366">
      <w:pPr>
        <w:autoSpaceDE w:val="0"/>
        <w:autoSpaceDN w:val="0"/>
        <w:adjustRightInd w:val="0"/>
        <w:spacing w:before="120" w:after="120" w:line="360" w:lineRule="auto"/>
        <w:ind w:left="57"/>
        <w:rPr>
          <w:rFonts w:asciiTheme="minorHAnsi" w:hAnsiTheme="minorHAnsi" w:cstheme="minorHAnsi"/>
          <w:szCs w:val="24"/>
        </w:rPr>
      </w:pPr>
      <w:r w:rsidRPr="00353650">
        <w:rPr>
          <w:rFonts w:asciiTheme="minorHAnsi" w:hAnsiTheme="minorHAnsi" w:cstheme="minorHAnsi"/>
          <w:szCs w:val="24"/>
        </w:rPr>
        <w:t xml:space="preserve">Evidently, the results from these counterfactual analyses show that transition dynamics play a very important role for the determination of labour market outcomes across the EU. This suggests that, despite the observed structural differences across countries and their marked differences with regard to actual and equilibrium unemployment rates (e.g., as shown in Figure 6), </w:t>
      </w:r>
      <w:r w:rsidR="00380075" w:rsidRPr="00353650">
        <w:rPr>
          <w:rFonts w:asciiTheme="minorHAnsi" w:hAnsiTheme="minorHAnsi" w:cstheme="minorHAnsi"/>
          <w:szCs w:val="24"/>
        </w:rPr>
        <w:t xml:space="preserve">policies aiming at </w:t>
      </w:r>
      <w:r w:rsidRPr="00353650">
        <w:rPr>
          <w:rFonts w:asciiTheme="minorHAnsi" w:hAnsiTheme="minorHAnsi" w:cstheme="minorHAnsi"/>
          <w:szCs w:val="24"/>
        </w:rPr>
        <w:t>altering</w:t>
      </w:r>
      <w:r w:rsidR="00380075" w:rsidRPr="00353650">
        <w:rPr>
          <w:rFonts w:asciiTheme="minorHAnsi" w:hAnsiTheme="minorHAnsi" w:cstheme="minorHAnsi"/>
          <w:szCs w:val="24"/>
        </w:rPr>
        <w:t xml:space="preserve"> the transition dynamics governing the EU’s national </w:t>
      </w:r>
      <w:r w:rsidR="00380075" w:rsidRPr="00353650">
        <w:rPr>
          <w:rFonts w:asciiTheme="minorHAnsi" w:hAnsiTheme="minorHAnsi" w:cstheme="minorHAnsi"/>
          <w:szCs w:val="24"/>
        </w:rPr>
        <w:lastRenderedPageBreak/>
        <w:t xml:space="preserve">labour markets – presumably by increasing mobility </w:t>
      </w:r>
      <w:r w:rsidR="00160BD7" w:rsidRPr="00353650">
        <w:rPr>
          <w:rFonts w:asciiTheme="minorHAnsi" w:hAnsiTheme="minorHAnsi" w:cstheme="minorHAnsi"/>
          <w:szCs w:val="24"/>
        </w:rPr>
        <w:t xml:space="preserve">and the fluidity of transitions across states </w:t>
      </w:r>
      <w:r w:rsidR="00380075" w:rsidRPr="00353650">
        <w:rPr>
          <w:rFonts w:asciiTheme="minorHAnsi" w:hAnsiTheme="minorHAnsi" w:cstheme="minorHAnsi"/>
          <w:szCs w:val="24"/>
        </w:rPr>
        <w:t xml:space="preserve">(see vis. Figures </w:t>
      </w:r>
      <w:r w:rsidR="004D11C6">
        <w:rPr>
          <w:rFonts w:asciiTheme="minorHAnsi" w:hAnsiTheme="minorHAnsi" w:cstheme="minorHAnsi"/>
          <w:szCs w:val="24"/>
        </w:rPr>
        <w:t>3-5</w:t>
      </w:r>
      <w:r w:rsidR="00380075" w:rsidRPr="00353650">
        <w:rPr>
          <w:rFonts w:asciiTheme="minorHAnsi" w:hAnsiTheme="minorHAnsi" w:cstheme="minorHAnsi"/>
          <w:szCs w:val="24"/>
        </w:rPr>
        <w:t xml:space="preserve">) – can have a dramatic effect in reducing unemployment differentials and raising overall employment levels across the European space. We discuss the implications of this observation in the concluding section. </w:t>
      </w:r>
    </w:p>
    <w:p w:rsidR="000F2D3B" w:rsidRPr="00353650" w:rsidRDefault="000F2D3B" w:rsidP="001D6366">
      <w:pPr>
        <w:autoSpaceDE w:val="0"/>
        <w:autoSpaceDN w:val="0"/>
        <w:adjustRightInd w:val="0"/>
        <w:spacing w:before="120" w:after="120" w:line="360" w:lineRule="auto"/>
        <w:ind w:left="57"/>
        <w:rPr>
          <w:rFonts w:asciiTheme="minorHAnsi" w:hAnsiTheme="minorHAnsi" w:cstheme="minorHAnsi"/>
          <w:szCs w:val="24"/>
        </w:rPr>
      </w:pPr>
    </w:p>
    <w:p w:rsidR="000F2D3B" w:rsidRPr="00353650" w:rsidRDefault="000F2D3B" w:rsidP="001D6366">
      <w:pPr>
        <w:autoSpaceDE w:val="0"/>
        <w:autoSpaceDN w:val="0"/>
        <w:adjustRightInd w:val="0"/>
        <w:spacing w:before="120" w:after="120" w:line="360" w:lineRule="auto"/>
        <w:ind w:left="57"/>
        <w:rPr>
          <w:rFonts w:asciiTheme="minorHAnsi" w:hAnsiTheme="minorHAnsi" w:cstheme="minorHAnsi"/>
          <w:szCs w:val="24"/>
        </w:rPr>
      </w:pPr>
    </w:p>
    <w:p w:rsidR="000376A2" w:rsidRPr="00353650" w:rsidRDefault="00F525D5" w:rsidP="001D6366">
      <w:pPr>
        <w:pStyle w:val="Heading"/>
        <w:numPr>
          <w:ilvl w:val="0"/>
          <w:numId w:val="26"/>
        </w:numPr>
        <w:tabs>
          <w:tab w:val="clear" w:pos="8640"/>
        </w:tabs>
        <w:spacing w:after="120" w:line="360" w:lineRule="auto"/>
        <w:ind w:left="57" w:right="0" w:hanging="57"/>
        <w:rPr>
          <w:rFonts w:asciiTheme="minorHAnsi" w:hAnsiTheme="minorHAnsi" w:cstheme="minorHAnsi"/>
          <w:sz w:val="24"/>
          <w:szCs w:val="24"/>
          <w:u w:val="none"/>
        </w:rPr>
      </w:pPr>
      <w:r w:rsidRPr="00353650">
        <w:rPr>
          <w:rFonts w:asciiTheme="minorHAnsi" w:hAnsiTheme="minorHAnsi" w:cstheme="minorHAnsi"/>
          <w:caps w:val="0"/>
          <w:sz w:val="24"/>
          <w:szCs w:val="24"/>
          <w:u w:val="none"/>
        </w:rPr>
        <w:t>Conclusions</w:t>
      </w:r>
    </w:p>
    <w:p w:rsidR="004036AC" w:rsidRPr="00353650" w:rsidRDefault="00160BD7" w:rsidP="001D6366">
      <w:pPr>
        <w:autoSpaceDE w:val="0"/>
        <w:autoSpaceDN w:val="0"/>
        <w:adjustRightInd w:val="0"/>
        <w:spacing w:before="120" w:after="120" w:line="360" w:lineRule="auto"/>
        <w:ind w:left="57"/>
        <w:rPr>
          <w:rFonts w:asciiTheme="minorHAnsi" w:hAnsiTheme="minorHAnsi" w:cstheme="minorHAnsi"/>
          <w:szCs w:val="24"/>
        </w:rPr>
      </w:pPr>
      <w:r w:rsidRPr="00353650">
        <w:rPr>
          <w:rFonts w:asciiTheme="minorHAnsi" w:hAnsiTheme="minorHAnsi" w:cstheme="minorHAnsi"/>
          <w:szCs w:val="24"/>
        </w:rPr>
        <w:t>The last decade since 2008 has been a particularly turbulent period for the European economy and for many of the national economies within the EU. What started as a ‘toxic asset</w:t>
      </w:r>
      <w:r w:rsidR="00C43B8A" w:rsidRPr="00353650">
        <w:rPr>
          <w:rFonts w:asciiTheme="minorHAnsi" w:hAnsiTheme="minorHAnsi" w:cstheme="minorHAnsi"/>
          <w:szCs w:val="24"/>
        </w:rPr>
        <w:t>s</w:t>
      </w:r>
      <w:r w:rsidRPr="00353650">
        <w:rPr>
          <w:rFonts w:asciiTheme="minorHAnsi" w:hAnsiTheme="minorHAnsi" w:cstheme="minorHAnsi"/>
          <w:szCs w:val="24"/>
        </w:rPr>
        <w:t xml:space="preserve">’ crisis in the USA, was transmitted via a number of channels to the European continent with devastating consequences not only on the financial and fiscal sectors but also in the labour market – with unemployment at the EU level rising to double-digit figures and hitting in some countries historically unprecedented levels. While a number of studies have examined how labour markets in the EU have adjusted to this shock, evidence concerning labour market transitions, and their short- and long-run dynamics, remains limited. In this paper we have attempted to fill this gap, by providing an extensive analysis of labour market transitions across the national economies of the EU, examining not only how year-on-year transitions evolved during the course of the crisis but also how this affected </w:t>
      </w:r>
      <w:r w:rsidR="004036AC" w:rsidRPr="00353650">
        <w:rPr>
          <w:rFonts w:asciiTheme="minorHAnsi" w:hAnsiTheme="minorHAnsi" w:cstheme="minorHAnsi"/>
          <w:szCs w:val="24"/>
        </w:rPr>
        <w:t xml:space="preserve">the </w:t>
      </w:r>
      <w:r w:rsidRPr="00353650">
        <w:rPr>
          <w:rFonts w:asciiTheme="minorHAnsi" w:hAnsiTheme="minorHAnsi" w:cstheme="minorHAnsi"/>
          <w:szCs w:val="24"/>
        </w:rPr>
        <w:t>equilibrium (steady-state)</w:t>
      </w:r>
      <w:r w:rsidR="004036AC" w:rsidRPr="00353650">
        <w:rPr>
          <w:rFonts w:asciiTheme="minorHAnsi" w:hAnsiTheme="minorHAnsi" w:cstheme="minorHAnsi"/>
          <w:szCs w:val="24"/>
        </w:rPr>
        <w:t xml:space="preserve"> distribution of labour market outcomes (employment, unemployment and inactivity) across the EU. With the latter, we were also able to trace how the transition dynamics found in different parts of the EU may have influenced actual medium-term labour market outcomes. </w:t>
      </w:r>
    </w:p>
    <w:p w:rsidR="00A77960" w:rsidRPr="00353650" w:rsidRDefault="004036AC" w:rsidP="001D6366">
      <w:pPr>
        <w:autoSpaceDE w:val="0"/>
        <w:autoSpaceDN w:val="0"/>
        <w:adjustRightInd w:val="0"/>
        <w:spacing w:before="120" w:after="120" w:line="360" w:lineRule="auto"/>
        <w:ind w:left="57"/>
        <w:rPr>
          <w:rFonts w:asciiTheme="minorHAnsi" w:hAnsiTheme="minorHAnsi" w:cstheme="minorHAnsi"/>
          <w:szCs w:val="24"/>
        </w:rPr>
      </w:pPr>
      <w:r w:rsidRPr="00353650">
        <w:rPr>
          <w:rFonts w:asciiTheme="minorHAnsi" w:hAnsiTheme="minorHAnsi" w:cstheme="minorHAnsi"/>
          <w:szCs w:val="24"/>
        </w:rPr>
        <w:t xml:space="preserve">Our results sketch a </w:t>
      </w:r>
      <w:r w:rsidR="00C43B8A" w:rsidRPr="00353650">
        <w:rPr>
          <w:rFonts w:asciiTheme="minorHAnsi" w:hAnsiTheme="minorHAnsi" w:cstheme="minorHAnsi"/>
          <w:szCs w:val="24"/>
        </w:rPr>
        <w:t xml:space="preserve">mixed </w:t>
      </w:r>
      <w:r w:rsidRPr="00353650">
        <w:rPr>
          <w:rFonts w:asciiTheme="minorHAnsi" w:hAnsiTheme="minorHAnsi" w:cstheme="minorHAnsi"/>
          <w:szCs w:val="24"/>
        </w:rPr>
        <w:t xml:space="preserve">picture of </w:t>
      </w:r>
      <w:r w:rsidR="00C43B8A" w:rsidRPr="00353650">
        <w:rPr>
          <w:rFonts w:asciiTheme="minorHAnsi" w:hAnsiTheme="minorHAnsi" w:cstheme="minorHAnsi"/>
          <w:szCs w:val="24"/>
        </w:rPr>
        <w:t>some general EU-wide trends but also some notabl</w:t>
      </w:r>
      <w:r w:rsidR="00020077">
        <w:rPr>
          <w:rFonts w:asciiTheme="minorHAnsi" w:hAnsiTheme="minorHAnsi" w:cstheme="minorHAnsi"/>
          <w:szCs w:val="24"/>
        </w:rPr>
        <w:t>e</w:t>
      </w:r>
      <w:r w:rsidR="00C43B8A" w:rsidRPr="00353650">
        <w:rPr>
          <w:rFonts w:asciiTheme="minorHAnsi" w:hAnsiTheme="minorHAnsi" w:cstheme="minorHAnsi"/>
          <w:szCs w:val="24"/>
        </w:rPr>
        <w:t xml:space="preserve"> </w:t>
      </w:r>
      <w:r w:rsidRPr="00353650">
        <w:rPr>
          <w:rFonts w:asciiTheme="minorHAnsi" w:hAnsiTheme="minorHAnsi" w:cstheme="minorHAnsi"/>
          <w:szCs w:val="24"/>
        </w:rPr>
        <w:t xml:space="preserve">heterogeneity across countries </w:t>
      </w:r>
      <w:r w:rsidR="00020077">
        <w:rPr>
          <w:rFonts w:asciiTheme="minorHAnsi" w:hAnsiTheme="minorHAnsi" w:cstheme="minorHAnsi"/>
          <w:szCs w:val="24"/>
        </w:rPr>
        <w:t>(</w:t>
      </w:r>
      <w:r w:rsidR="00C43B8A" w:rsidRPr="00353650">
        <w:rPr>
          <w:rFonts w:asciiTheme="minorHAnsi" w:hAnsiTheme="minorHAnsi" w:cstheme="minorHAnsi"/>
          <w:szCs w:val="24"/>
        </w:rPr>
        <w:t xml:space="preserve">as well as </w:t>
      </w:r>
      <w:r w:rsidRPr="00353650">
        <w:rPr>
          <w:rFonts w:asciiTheme="minorHAnsi" w:hAnsiTheme="minorHAnsi" w:cstheme="minorHAnsi"/>
          <w:szCs w:val="24"/>
        </w:rPr>
        <w:t>country groups</w:t>
      </w:r>
      <w:r w:rsidR="00020077">
        <w:rPr>
          <w:rFonts w:asciiTheme="minorHAnsi" w:hAnsiTheme="minorHAnsi" w:cstheme="minorHAnsi"/>
          <w:szCs w:val="24"/>
        </w:rPr>
        <w:t>)</w:t>
      </w:r>
      <w:r w:rsidRPr="00353650">
        <w:rPr>
          <w:rFonts w:asciiTheme="minorHAnsi" w:hAnsiTheme="minorHAnsi" w:cstheme="minorHAnsi"/>
          <w:szCs w:val="24"/>
        </w:rPr>
        <w:t xml:space="preserve">. The crisis saw a substantial increase </w:t>
      </w:r>
      <w:r w:rsidR="007F6E02" w:rsidRPr="00353650">
        <w:rPr>
          <w:rFonts w:asciiTheme="minorHAnsi" w:hAnsiTheme="minorHAnsi" w:cstheme="minorHAnsi"/>
          <w:szCs w:val="24"/>
        </w:rPr>
        <w:t xml:space="preserve">in unemployment persistence </w:t>
      </w:r>
      <w:r w:rsidRPr="00353650">
        <w:rPr>
          <w:rFonts w:asciiTheme="minorHAnsi" w:hAnsiTheme="minorHAnsi" w:cstheme="minorHAnsi"/>
          <w:szCs w:val="24"/>
        </w:rPr>
        <w:t xml:space="preserve">in all but the Nordic countries and particularly so in the Mediterranean countries, which were </w:t>
      </w:r>
      <w:r w:rsidR="00C43B8A" w:rsidRPr="00353650">
        <w:rPr>
          <w:rFonts w:asciiTheme="minorHAnsi" w:hAnsiTheme="minorHAnsi" w:cstheme="minorHAnsi"/>
          <w:szCs w:val="24"/>
        </w:rPr>
        <w:t xml:space="preserve">of course </w:t>
      </w:r>
      <w:r w:rsidRPr="00353650">
        <w:rPr>
          <w:rFonts w:asciiTheme="minorHAnsi" w:hAnsiTheme="minorHAnsi" w:cstheme="minorHAnsi"/>
          <w:szCs w:val="24"/>
        </w:rPr>
        <w:t>worst hit by the crisis. Employment persistence (or, stability) went down for all groups; but within groups there was some significant variation in over</w:t>
      </w:r>
      <w:r w:rsidR="007F6E02" w:rsidRPr="00353650">
        <w:rPr>
          <w:rFonts w:asciiTheme="minorHAnsi" w:hAnsiTheme="minorHAnsi" w:cstheme="minorHAnsi"/>
          <w:szCs w:val="24"/>
        </w:rPr>
        <w:t>all</w:t>
      </w:r>
      <w:r w:rsidRPr="00353650">
        <w:rPr>
          <w:rFonts w:asciiTheme="minorHAnsi" w:hAnsiTheme="minorHAnsi" w:cstheme="minorHAnsi"/>
          <w:szCs w:val="24"/>
        </w:rPr>
        <w:t xml:space="preserve"> stability of labour market states as well as in the intensity of </w:t>
      </w:r>
      <w:r w:rsidR="00020077">
        <w:rPr>
          <w:rFonts w:asciiTheme="minorHAnsi" w:hAnsiTheme="minorHAnsi" w:cstheme="minorHAnsi"/>
          <w:szCs w:val="24"/>
        </w:rPr>
        <w:t>labour market re-attachment (</w:t>
      </w:r>
      <w:r w:rsidRPr="00353650">
        <w:rPr>
          <w:rFonts w:asciiTheme="minorHAnsi" w:hAnsiTheme="minorHAnsi" w:cstheme="minorHAnsi"/>
          <w:szCs w:val="24"/>
        </w:rPr>
        <w:t xml:space="preserve">successful entries into employment </w:t>
      </w:r>
      <w:r w:rsidR="00020077">
        <w:rPr>
          <w:rFonts w:asciiTheme="minorHAnsi" w:hAnsiTheme="minorHAnsi" w:cstheme="minorHAnsi"/>
          <w:szCs w:val="24"/>
        </w:rPr>
        <w:t xml:space="preserve">from inactivity) </w:t>
      </w:r>
      <w:r w:rsidRPr="00353650">
        <w:rPr>
          <w:rFonts w:asciiTheme="minorHAnsi" w:hAnsiTheme="minorHAnsi" w:cstheme="minorHAnsi"/>
          <w:szCs w:val="24"/>
        </w:rPr>
        <w:t xml:space="preserve">and </w:t>
      </w:r>
      <w:r w:rsidR="00020077">
        <w:rPr>
          <w:rFonts w:asciiTheme="minorHAnsi" w:hAnsiTheme="minorHAnsi" w:cstheme="minorHAnsi"/>
          <w:szCs w:val="24"/>
        </w:rPr>
        <w:t>de-attachment (</w:t>
      </w:r>
      <w:r w:rsidRPr="00353650">
        <w:rPr>
          <w:rFonts w:asciiTheme="minorHAnsi" w:hAnsiTheme="minorHAnsi" w:cstheme="minorHAnsi"/>
          <w:szCs w:val="24"/>
        </w:rPr>
        <w:t>unsuccessful exits from unemployment</w:t>
      </w:r>
      <w:r w:rsidR="00020077">
        <w:rPr>
          <w:rFonts w:asciiTheme="minorHAnsi" w:hAnsiTheme="minorHAnsi" w:cstheme="minorHAnsi"/>
          <w:szCs w:val="24"/>
        </w:rPr>
        <w:t xml:space="preserve"> into inactivity)</w:t>
      </w:r>
      <w:r w:rsidRPr="00353650">
        <w:rPr>
          <w:rFonts w:asciiTheme="minorHAnsi" w:hAnsiTheme="minorHAnsi" w:cstheme="minorHAnsi"/>
          <w:szCs w:val="24"/>
        </w:rPr>
        <w:t xml:space="preserve">. Post-crisis, </w:t>
      </w:r>
      <w:r w:rsidRPr="00353650">
        <w:rPr>
          <w:rFonts w:asciiTheme="minorHAnsi" w:hAnsiTheme="minorHAnsi" w:cstheme="minorHAnsi"/>
          <w:szCs w:val="24"/>
        </w:rPr>
        <w:lastRenderedPageBreak/>
        <w:t xml:space="preserve">unemployment persistence declined in the group of Central Eastern countries, but it continued increasing for countries in the Mediterranean and Continental groups while it rose quite dramatically – while staying however at significantly lower levels than </w:t>
      </w:r>
      <w:r w:rsidR="007F6E02" w:rsidRPr="00353650">
        <w:rPr>
          <w:rFonts w:asciiTheme="minorHAnsi" w:hAnsiTheme="minorHAnsi" w:cstheme="minorHAnsi"/>
          <w:szCs w:val="24"/>
        </w:rPr>
        <w:t xml:space="preserve">in </w:t>
      </w:r>
      <w:r w:rsidRPr="00353650">
        <w:rPr>
          <w:rFonts w:asciiTheme="minorHAnsi" w:hAnsiTheme="minorHAnsi" w:cstheme="minorHAnsi"/>
          <w:szCs w:val="24"/>
        </w:rPr>
        <w:t xml:space="preserve">the rest of Europe – in the case of the Nordic group. In the same period, flows from unemployment into employment remained highest for the Nordic group of countries, </w:t>
      </w:r>
      <w:r w:rsidR="00A77960" w:rsidRPr="00353650">
        <w:rPr>
          <w:rFonts w:asciiTheme="minorHAnsi" w:hAnsiTheme="minorHAnsi" w:cstheme="minorHAnsi"/>
          <w:szCs w:val="24"/>
        </w:rPr>
        <w:t>but followed a downward trend everywhere except for the group of Central Eastern countries. In some cases (Central Eastern and Mediterranean countries), exits from employment into unemployment contributed proportionately more to declining unemployment, as they fell quite substantially (by over 1 percentage point</w:t>
      </w:r>
      <w:r w:rsidR="007F6E02" w:rsidRPr="00353650">
        <w:rPr>
          <w:rFonts w:asciiTheme="minorHAnsi" w:hAnsiTheme="minorHAnsi" w:cstheme="minorHAnsi"/>
          <w:szCs w:val="24"/>
        </w:rPr>
        <w:t xml:space="preserve"> or some 20-30%</w:t>
      </w:r>
      <w:r w:rsidR="00A77960" w:rsidRPr="00353650">
        <w:rPr>
          <w:rFonts w:asciiTheme="minorHAnsi" w:hAnsiTheme="minorHAnsi" w:cstheme="minorHAnsi"/>
          <w:szCs w:val="24"/>
        </w:rPr>
        <w:t>). In this sense, economic recovery in the post-2013 period was quite varied across the EU space, leading to greater heterogeneity in national unemployment rates post-crisis compared to the pre-crisis period – as has also been documented elsewhere in th</w:t>
      </w:r>
      <w:r w:rsidR="007D53CA">
        <w:rPr>
          <w:rFonts w:asciiTheme="minorHAnsi" w:hAnsiTheme="minorHAnsi" w:cstheme="minorHAnsi"/>
          <w:szCs w:val="24"/>
        </w:rPr>
        <w:t>e literature (</w:t>
      </w:r>
      <w:proofErr w:type="spellStart"/>
      <w:r w:rsidR="007D53CA">
        <w:rPr>
          <w:rFonts w:asciiTheme="minorHAnsi" w:hAnsiTheme="minorHAnsi" w:cstheme="minorHAnsi"/>
          <w:szCs w:val="24"/>
        </w:rPr>
        <w:t>Boeri</w:t>
      </w:r>
      <w:proofErr w:type="spellEnd"/>
      <w:r w:rsidR="007D53CA">
        <w:rPr>
          <w:rFonts w:asciiTheme="minorHAnsi" w:hAnsiTheme="minorHAnsi" w:cstheme="minorHAnsi"/>
          <w:szCs w:val="24"/>
        </w:rPr>
        <w:t xml:space="preserve"> and </w:t>
      </w:r>
      <w:proofErr w:type="spellStart"/>
      <w:r w:rsidR="007D53CA">
        <w:rPr>
          <w:rFonts w:asciiTheme="minorHAnsi" w:hAnsiTheme="minorHAnsi" w:cstheme="minorHAnsi"/>
          <w:szCs w:val="24"/>
        </w:rPr>
        <w:t>Jimeno</w:t>
      </w:r>
      <w:proofErr w:type="spellEnd"/>
      <w:r w:rsidR="007D53CA">
        <w:rPr>
          <w:rFonts w:asciiTheme="minorHAnsi" w:hAnsiTheme="minorHAnsi" w:cstheme="minorHAnsi"/>
          <w:szCs w:val="24"/>
        </w:rPr>
        <w:t xml:space="preserve">, </w:t>
      </w:r>
      <w:r w:rsidR="00A77960" w:rsidRPr="00353650">
        <w:rPr>
          <w:rFonts w:asciiTheme="minorHAnsi" w:hAnsiTheme="minorHAnsi" w:cstheme="minorHAnsi"/>
          <w:szCs w:val="24"/>
        </w:rPr>
        <w:t xml:space="preserve">2016). </w:t>
      </w:r>
      <w:r w:rsidR="00D503BB" w:rsidRPr="00353650">
        <w:rPr>
          <w:rFonts w:asciiTheme="minorHAnsi" w:hAnsiTheme="minorHAnsi" w:cstheme="minorHAnsi"/>
          <w:szCs w:val="24"/>
        </w:rPr>
        <w:t xml:space="preserve">Particularly for the Mediterranean group, the 2014-16 period can hardly be dubbed as “recovery”, as successful and unsuccessful labour market </w:t>
      </w:r>
      <w:r w:rsidR="009C1BF2" w:rsidRPr="00353650">
        <w:rPr>
          <w:rFonts w:asciiTheme="minorHAnsi" w:hAnsiTheme="minorHAnsi" w:cstheme="minorHAnsi"/>
          <w:szCs w:val="24"/>
        </w:rPr>
        <w:t xml:space="preserve">transitions remained in this period well away from the levels </w:t>
      </w:r>
      <w:r w:rsidR="00D503BB" w:rsidRPr="00353650">
        <w:rPr>
          <w:rFonts w:asciiTheme="minorHAnsi" w:hAnsiTheme="minorHAnsi" w:cstheme="minorHAnsi"/>
          <w:szCs w:val="24"/>
        </w:rPr>
        <w:t>observed before the crisis</w:t>
      </w:r>
      <w:r w:rsidR="009C1BF2" w:rsidRPr="00353650">
        <w:rPr>
          <w:rFonts w:asciiTheme="minorHAnsi" w:hAnsiTheme="minorHAnsi" w:cstheme="minorHAnsi"/>
          <w:szCs w:val="24"/>
        </w:rPr>
        <w:t xml:space="preserve"> for this country group</w:t>
      </w:r>
      <w:r w:rsidR="00D503BB" w:rsidRPr="00353650">
        <w:rPr>
          <w:rFonts w:asciiTheme="minorHAnsi" w:hAnsiTheme="minorHAnsi" w:cstheme="minorHAnsi"/>
          <w:szCs w:val="24"/>
        </w:rPr>
        <w:t>.</w:t>
      </w:r>
    </w:p>
    <w:p w:rsidR="00D503BB" w:rsidRPr="00353650" w:rsidRDefault="00A77960" w:rsidP="001D6366">
      <w:pPr>
        <w:autoSpaceDE w:val="0"/>
        <w:autoSpaceDN w:val="0"/>
        <w:adjustRightInd w:val="0"/>
        <w:spacing w:before="120" w:after="120" w:line="360" w:lineRule="auto"/>
        <w:ind w:left="57"/>
        <w:rPr>
          <w:rFonts w:asciiTheme="minorHAnsi" w:hAnsiTheme="minorHAnsi" w:cstheme="minorHAnsi"/>
          <w:szCs w:val="24"/>
        </w:rPr>
      </w:pPr>
      <w:r w:rsidRPr="00353650">
        <w:rPr>
          <w:rFonts w:asciiTheme="minorHAnsi" w:hAnsiTheme="minorHAnsi" w:cstheme="minorHAnsi"/>
          <w:szCs w:val="24"/>
        </w:rPr>
        <w:t xml:space="preserve">Our analysis of long-run dynamics revealed that this heterogeneity concerns also the implied equilibrium distributions of labour market outcomes and in particular equilibrium (steady-state) unemployment. By 2016, observed (actual) unemployment rates have been above, or well-above, equilibrium in the vast majority of EU member states – and especially so in countries such as Greece, Spain, </w:t>
      </w:r>
      <w:r w:rsidR="0004357A" w:rsidRPr="00353650">
        <w:rPr>
          <w:rFonts w:asciiTheme="minorHAnsi" w:hAnsiTheme="minorHAnsi" w:cstheme="minorHAnsi"/>
          <w:szCs w:val="24"/>
        </w:rPr>
        <w:t xml:space="preserve">Malta, Luxemburg and Sweden. On the other hand, a number of countries (Slovenia, Italy, Hungary, France, </w:t>
      </w:r>
      <w:proofErr w:type="gramStart"/>
      <w:r w:rsidR="0004357A" w:rsidRPr="00353650">
        <w:rPr>
          <w:rFonts w:asciiTheme="minorHAnsi" w:hAnsiTheme="minorHAnsi" w:cstheme="minorHAnsi"/>
          <w:szCs w:val="24"/>
        </w:rPr>
        <w:t>Austria</w:t>
      </w:r>
      <w:proofErr w:type="gramEnd"/>
      <w:r w:rsidR="0004357A" w:rsidRPr="00353650">
        <w:rPr>
          <w:rFonts w:asciiTheme="minorHAnsi" w:hAnsiTheme="minorHAnsi" w:cstheme="minorHAnsi"/>
          <w:szCs w:val="24"/>
        </w:rPr>
        <w:t xml:space="preserve">) are exiting the crisis with unemployment rates close to the long-run equilibrium implied by their transition dynamics; while in no country is current unemployment below the imputed equilibrium. </w:t>
      </w:r>
      <w:r w:rsidR="00020077">
        <w:rPr>
          <w:rFonts w:asciiTheme="minorHAnsi" w:hAnsiTheme="minorHAnsi" w:cstheme="minorHAnsi"/>
          <w:szCs w:val="24"/>
        </w:rPr>
        <w:t>A large literature exists which seeks to explain the observed heterogeneity in unemployment rates across the EU, identifying a host of factors relating not only to labour market institutions but also to a host of other structural and policy-related factors (such as export orientation, industrial composition, proximity to markets; or wage/incomes policies, price stability, industrial policy interventions, etc). O</w:t>
      </w:r>
      <w:r w:rsidR="00E03D20" w:rsidRPr="00353650">
        <w:rPr>
          <w:rFonts w:asciiTheme="minorHAnsi" w:hAnsiTheme="minorHAnsi" w:cstheme="minorHAnsi"/>
          <w:szCs w:val="24"/>
        </w:rPr>
        <w:t xml:space="preserve">ur analysis </w:t>
      </w:r>
      <w:r w:rsidR="00020077">
        <w:rPr>
          <w:rFonts w:asciiTheme="minorHAnsi" w:hAnsiTheme="minorHAnsi" w:cstheme="minorHAnsi"/>
          <w:szCs w:val="24"/>
        </w:rPr>
        <w:t xml:space="preserve">contributes to this debate, by </w:t>
      </w:r>
      <w:r w:rsidR="00D503BB" w:rsidRPr="00353650">
        <w:rPr>
          <w:rFonts w:asciiTheme="minorHAnsi" w:hAnsiTheme="minorHAnsi" w:cstheme="minorHAnsi"/>
          <w:szCs w:val="24"/>
        </w:rPr>
        <w:t>reveal</w:t>
      </w:r>
      <w:r w:rsidR="00020077">
        <w:rPr>
          <w:rFonts w:asciiTheme="minorHAnsi" w:hAnsiTheme="minorHAnsi" w:cstheme="minorHAnsi"/>
          <w:szCs w:val="24"/>
        </w:rPr>
        <w:t>ing</w:t>
      </w:r>
      <w:r w:rsidR="00D503BB" w:rsidRPr="00353650">
        <w:rPr>
          <w:rFonts w:asciiTheme="minorHAnsi" w:hAnsiTheme="minorHAnsi" w:cstheme="minorHAnsi"/>
          <w:szCs w:val="24"/>
        </w:rPr>
        <w:t xml:space="preserve"> further </w:t>
      </w:r>
      <w:r w:rsidR="00E03D20" w:rsidRPr="00353650">
        <w:rPr>
          <w:rFonts w:asciiTheme="minorHAnsi" w:hAnsiTheme="minorHAnsi" w:cstheme="minorHAnsi"/>
          <w:szCs w:val="24"/>
        </w:rPr>
        <w:t xml:space="preserve">a significant role played also by distributional dynamics relating to the fluidity of transitions observed in different EU member states. </w:t>
      </w:r>
      <w:r w:rsidR="007F6E02" w:rsidRPr="00353650">
        <w:rPr>
          <w:rFonts w:asciiTheme="minorHAnsi" w:hAnsiTheme="minorHAnsi" w:cstheme="minorHAnsi"/>
          <w:szCs w:val="24"/>
        </w:rPr>
        <w:t xml:space="preserve">Drawing on a counterfactual analysis, which applied </w:t>
      </w:r>
      <w:r w:rsidR="00E03D20" w:rsidRPr="00353650">
        <w:rPr>
          <w:rFonts w:asciiTheme="minorHAnsi" w:hAnsiTheme="minorHAnsi" w:cstheme="minorHAnsi"/>
          <w:szCs w:val="24"/>
        </w:rPr>
        <w:t xml:space="preserve">the distributional dynamics observed in some exemplary cases to </w:t>
      </w:r>
      <w:r w:rsidR="007F6E02" w:rsidRPr="00353650">
        <w:rPr>
          <w:rFonts w:asciiTheme="minorHAnsi" w:hAnsiTheme="minorHAnsi" w:cstheme="minorHAnsi"/>
          <w:szCs w:val="24"/>
        </w:rPr>
        <w:t xml:space="preserve">predict the </w:t>
      </w:r>
      <w:r w:rsidR="007F6E02" w:rsidRPr="00353650">
        <w:rPr>
          <w:rFonts w:asciiTheme="minorHAnsi" w:hAnsiTheme="minorHAnsi" w:cstheme="minorHAnsi"/>
          <w:szCs w:val="24"/>
        </w:rPr>
        <w:lastRenderedPageBreak/>
        <w:t xml:space="preserve">resulting medium-term distribution of labour market outcomes in </w:t>
      </w:r>
      <w:r w:rsidR="00E03D20" w:rsidRPr="00353650">
        <w:rPr>
          <w:rFonts w:asciiTheme="minorHAnsi" w:hAnsiTheme="minorHAnsi" w:cstheme="minorHAnsi"/>
          <w:szCs w:val="24"/>
        </w:rPr>
        <w:t>the full population of EU member states</w:t>
      </w:r>
      <w:r w:rsidR="007F6E02" w:rsidRPr="00353650">
        <w:rPr>
          <w:rFonts w:asciiTheme="minorHAnsi" w:hAnsiTheme="minorHAnsi" w:cstheme="minorHAnsi"/>
          <w:szCs w:val="24"/>
        </w:rPr>
        <w:t>,</w:t>
      </w:r>
      <w:r w:rsidR="00E03D20" w:rsidRPr="00353650">
        <w:rPr>
          <w:rFonts w:asciiTheme="minorHAnsi" w:hAnsiTheme="minorHAnsi" w:cstheme="minorHAnsi"/>
          <w:szCs w:val="24"/>
        </w:rPr>
        <w:t xml:space="preserve"> </w:t>
      </w:r>
      <w:r w:rsidR="00D503BB" w:rsidRPr="00353650">
        <w:rPr>
          <w:rFonts w:asciiTheme="minorHAnsi" w:hAnsiTheme="minorHAnsi" w:cstheme="minorHAnsi"/>
          <w:szCs w:val="24"/>
        </w:rPr>
        <w:t xml:space="preserve">we were able to show that </w:t>
      </w:r>
      <w:r w:rsidR="00EA2F1D" w:rsidRPr="00353650">
        <w:rPr>
          <w:rFonts w:asciiTheme="minorHAnsi" w:hAnsiTheme="minorHAnsi" w:cstheme="minorHAnsi"/>
          <w:szCs w:val="24"/>
        </w:rPr>
        <w:t xml:space="preserve">favourable </w:t>
      </w:r>
      <w:r w:rsidR="00D503BB" w:rsidRPr="00353650">
        <w:rPr>
          <w:rFonts w:asciiTheme="minorHAnsi" w:hAnsiTheme="minorHAnsi" w:cstheme="minorHAnsi"/>
          <w:szCs w:val="24"/>
        </w:rPr>
        <w:t xml:space="preserve">distributional dynamics </w:t>
      </w:r>
      <w:r w:rsidR="00EA2F1D" w:rsidRPr="00353650">
        <w:rPr>
          <w:rFonts w:asciiTheme="minorHAnsi" w:hAnsiTheme="minorHAnsi" w:cstheme="minorHAnsi"/>
          <w:szCs w:val="24"/>
        </w:rPr>
        <w:t xml:space="preserve">(as those found in </w:t>
      </w:r>
      <w:r w:rsidR="00D503BB" w:rsidRPr="00353650">
        <w:rPr>
          <w:rFonts w:asciiTheme="minorHAnsi" w:hAnsiTheme="minorHAnsi" w:cstheme="minorHAnsi"/>
          <w:szCs w:val="24"/>
        </w:rPr>
        <w:t>Sweden</w:t>
      </w:r>
      <w:r w:rsidR="00EA2F1D" w:rsidRPr="00353650">
        <w:rPr>
          <w:rFonts w:asciiTheme="minorHAnsi" w:hAnsiTheme="minorHAnsi" w:cstheme="minorHAnsi"/>
          <w:szCs w:val="24"/>
        </w:rPr>
        <w:t>)</w:t>
      </w:r>
      <w:r w:rsidR="00D503BB" w:rsidRPr="00353650">
        <w:rPr>
          <w:rFonts w:asciiTheme="minorHAnsi" w:hAnsiTheme="minorHAnsi" w:cstheme="minorHAnsi"/>
          <w:szCs w:val="24"/>
        </w:rPr>
        <w:t xml:space="preserve"> </w:t>
      </w:r>
      <w:r w:rsidR="00EA2F1D" w:rsidRPr="00353650">
        <w:rPr>
          <w:rFonts w:asciiTheme="minorHAnsi" w:hAnsiTheme="minorHAnsi" w:cstheme="minorHAnsi"/>
          <w:szCs w:val="24"/>
        </w:rPr>
        <w:t xml:space="preserve">could </w:t>
      </w:r>
      <w:r w:rsidR="00D503BB" w:rsidRPr="00353650">
        <w:rPr>
          <w:rFonts w:asciiTheme="minorHAnsi" w:hAnsiTheme="minorHAnsi" w:cstheme="minorHAnsi"/>
          <w:szCs w:val="24"/>
        </w:rPr>
        <w:t xml:space="preserve">produce </w:t>
      </w:r>
      <w:r w:rsidR="00EA2F1D" w:rsidRPr="00353650">
        <w:rPr>
          <w:rFonts w:asciiTheme="minorHAnsi" w:hAnsiTheme="minorHAnsi" w:cstheme="minorHAnsi"/>
          <w:szCs w:val="24"/>
        </w:rPr>
        <w:t xml:space="preserve">within a five-year period </w:t>
      </w:r>
      <w:r w:rsidR="00D503BB" w:rsidRPr="00353650">
        <w:rPr>
          <w:rFonts w:asciiTheme="minorHAnsi" w:hAnsiTheme="minorHAnsi" w:cstheme="minorHAnsi"/>
          <w:szCs w:val="24"/>
        </w:rPr>
        <w:t>sizeably less unemployment and more employment in the vast number of cases</w:t>
      </w:r>
      <w:r w:rsidR="009C1BF2" w:rsidRPr="00353650">
        <w:rPr>
          <w:rFonts w:asciiTheme="minorHAnsi" w:hAnsiTheme="minorHAnsi" w:cstheme="minorHAnsi"/>
          <w:szCs w:val="24"/>
        </w:rPr>
        <w:t xml:space="preserve"> (with counterfactual employment probabilities being higher in countries such as Greece, Portugal and Slovenia by more than 20 percentage points)</w:t>
      </w:r>
      <w:r w:rsidR="00D503BB" w:rsidRPr="00353650">
        <w:rPr>
          <w:rFonts w:asciiTheme="minorHAnsi" w:hAnsiTheme="minorHAnsi" w:cstheme="minorHAnsi"/>
          <w:szCs w:val="24"/>
        </w:rPr>
        <w:t xml:space="preserve">; while the opposite was true for </w:t>
      </w:r>
      <w:r w:rsidR="00EA2F1D" w:rsidRPr="00353650">
        <w:rPr>
          <w:rFonts w:asciiTheme="minorHAnsi" w:hAnsiTheme="minorHAnsi" w:cstheme="minorHAnsi"/>
          <w:szCs w:val="24"/>
        </w:rPr>
        <w:t xml:space="preserve">more adverse </w:t>
      </w:r>
      <w:r w:rsidR="00D503BB" w:rsidRPr="00353650">
        <w:rPr>
          <w:rFonts w:asciiTheme="minorHAnsi" w:hAnsiTheme="minorHAnsi" w:cstheme="minorHAnsi"/>
          <w:szCs w:val="24"/>
        </w:rPr>
        <w:t xml:space="preserve">distributional dynamics </w:t>
      </w:r>
      <w:r w:rsidR="00EA2F1D" w:rsidRPr="00353650">
        <w:rPr>
          <w:rFonts w:asciiTheme="minorHAnsi" w:hAnsiTheme="minorHAnsi" w:cstheme="minorHAnsi"/>
          <w:szCs w:val="24"/>
        </w:rPr>
        <w:t>(</w:t>
      </w:r>
      <w:r w:rsidR="00D503BB" w:rsidRPr="00353650">
        <w:rPr>
          <w:rFonts w:asciiTheme="minorHAnsi" w:hAnsiTheme="minorHAnsi" w:cstheme="minorHAnsi"/>
          <w:szCs w:val="24"/>
        </w:rPr>
        <w:t xml:space="preserve">like </w:t>
      </w:r>
      <w:r w:rsidR="00EA2F1D" w:rsidRPr="00353650">
        <w:rPr>
          <w:rFonts w:asciiTheme="minorHAnsi" w:hAnsiTheme="minorHAnsi" w:cstheme="minorHAnsi"/>
          <w:szCs w:val="24"/>
        </w:rPr>
        <w:t xml:space="preserve">those found in </w:t>
      </w:r>
      <w:r w:rsidR="00D503BB" w:rsidRPr="00353650">
        <w:rPr>
          <w:rFonts w:asciiTheme="minorHAnsi" w:hAnsiTheme="minorHAnsi" w:cstheme="minorHAnsi"/>
          <w:szCs w:val="24"/>
        </w:rPr>
        <w:t>Greece</w:t>
      </w:r>
      <w:r w:rsidR="00EA2F1D" w:rsidRPr="00353650">
        <w:rPr>
          <w:rFonts w:asciiTheme="minorHAnsi" w:hAnsiTheme="minorHAnsi" w:cstheme="minorHAnsi"/>
          <w:szCs w:val="24"/>
        </w:rPr>
        <w:t>)</w:t>
      </w:r>
      <w:r w:rsidR="00D503BB" w:rsidRPr="00353650">
        <w:rPr>
          <w:rFonts w:asciiTheme="minorHAnsi" w:hAnsiTheme="minorHAnsi" w:cstheme="minorHAnsi"/>
          <w:szCs w:val="24"/>
        </w:rPr>
        <w:t xml:space="preserve">. At the country-group level, the distributional dynamics found in the Nordic countries </w:t>
      </w:r>
      <w:r w:rsidR="00EA2F1D" w:rsidRPr="00353650">
        <w:rPr>
          <w:rFonts w:asciiTheme="minorHAnsi" w:hAnsiTheme="minorHAnsi" w:cstheme="minorHAnsi"/>
          <w:szCs w:val="24"/>
        </w:rPr>
        <w:t xml:space="preserve">could have </w:t>
      </w:r>
      <w:r w:rsidR="00D503BB" w:rsidRPr="00353650">
        <w:rPr>
          <w:rFonts w:asciiTheme="minorHAnsi" w:hAnsiTheme="minorHAnsi" w:cstheme="minorHAnsi"/>
          <w:szCs w:val="24"/>
        </w:rPr>
        <w:t xml:space="preserve">produce unemployment rates that would be lower by as much as 8 percentage points if applied to the distribution of labour market outcomes seen in the Southern group. </w:t>
      </w:r>
    </w:p>
    <w:p w:rsidR="001C2398" w:rsidRPr="00353650" w:rsidRDefault="009C1BF2" w:rsidP="001D6366">
      <w:pPr>
        <w:autoSpaceDE w:val="0"/>
        <w:autoSpaceDN w:val="0"/>
        <w:adjustRightInd w:val="0"/>
        <w:spacing w:before="120" w:after="120" w:line="360" w:lineRule="auto"/>
        <w:ind w:left="57"/>
        <w:rPr>
          <w:rFonts w:asciiTheme="minorHAnsi" w:hAnsiTheme="minorHAnsi" w:cstheme="minorHAnsi"/>
          <w:szCs w:val="24"/>
        </w:rPr>
      </w:pPr>
      <w:r w:rsidRPr="00353650">
        <w:rPr>
          <w:rFonts w:asciiTheme="minorHAnsi" w:hAnsiTheme="minorHAnsi" w:cstheme="minorHAnsi"/>
          <w:szCs w:val="24"/>
        </w:rPr>
        <w:t xml:space="preserve">There is an important </w:t>
      </w:r>
      <w:r w:rsidR="000F2D3B" w:rsidRPr="00353650">
        <w:rPr>
          <w:rFonts w:asciiTheme="minorHAnsi" w:hAnsiTheme="minorHAnsi" w:cstheme="minorHAnsi"/>
          <w:szCs w:val="24"/>
        </w:rPr>
        <w:t xml:space="preserve">policy message emanating from </w:t>
      </w:r>
      <w:r w:rsidRPr="00353650">
        <w:rPr>
          <w:rFonts w:asciiTheme="minorHAnsi" w:hAnsiTheme="minorHAnsi" w:cstheme="minorHAnsi"/>
          <w:szCs w:val="24"/>
        </w:rPr>
        <w:t>these results. Despite the recent “recovery” seen across the labour markets of the EU, significant differences remain not only in labour market outcomes per se but also – and</w:t>
      </w:r>
      <w:r w:rsidR="00B4244A" w:rsidRPr="00353650">
        <w:rPr>
          <w:rFonts w:asciiTheme="minorHAnsi" w:hAnsiTheme="minorHAnsi" w:cstheme="minorHAnsi"/>
          <w:szCs w:val="24"/>
        </w:rPr>
        <w:t>, w</w:t>
      </w:r>
      <w:r w:rsidR="001C2398" w:rsidRPr="00353650">
        <w:rPr>
          <w:rFonts w:asciiTheme="minorHAnsi" w:hAnsiTheme="minorHAnsi" w:cstheme="minorHAnsi"/>
          <w:szCs w:val="24"/>
        </w:rPr>
        <w:t>e would argue,</w:t>
      </w:r>
      <w:r w:rsidRPr="00353650">
        <w:rPr>
          <w:rFonts w:asciiTheme="minorHAnsi" w:hAnsiTheme="minorHAnsi" w:cstheme="minorHAnsi"/>
          <w:szCs w:val="24"/>
        </w:rPr>
        <w:t xml:space="preserve"> more importantly – in the dynamics </w:t>
      </w:r>
      <w:r w:rsidR="00EA2F1D" w:rsidRPr="00353650">
        <w:rPr>
          <w:rFonts w:asciiTheme="minorHAnsi" w:hAnsiTheme="minorHAnsi" w:cstheme="minorHAnsi"/>
          <w:szCs w:val="24"/>
        </w:rPr>
        <w:t xml:space="preserve">underpinning labour market transitions across the </w:t>
      </w:r>
      <w:r w:rsidRPr="00353650">
        <w:rPr>
          <w:rFonts w:asciiTheme="minorHAnsi" w:hAnsiTheme="minorHAnsi" w:cstheme="minorHAnsi"/>
          <w:szCs w:val="24"/>
        </w:rPr>
        <w:t>national labour markets</w:t>
      </w:r>
      <w:r w:rsidR="00EA2F1D" w:rsidRPr="00353650">
        <w:rPr>
          <w:rFonts w:asciiTheme="minorHAnsi" w:hAnsiTheme="minorHAnsi" w:cstheme="minorHAnsi"/>
          <w:szCs w:val="24"/>
        </w:rPr>
        <w:t xml:space="preserve"> of the EU</w:t>
      </w:r>
      <w:r w:rsidRPr="00353650">
        <w:rPr>
          <w:rFonts w:asciiTheme="minorHAnsi" w:hAnsiTheme="minorHAnsi" w:cstheme="minorHAnsi"/>
          <w:szCs w:val="24"/>
        </w:rPr>
        <w:t xml:space="preserve">. </w:t>
      </w:r>
      <w:r w:rsidR="00416DDC" w:rsidRPr="00353650">
        <w:rPr>
          <w:rFonts w:asciiTheme="minorHAnsi" w:hAnsiTheme="minorHAnsi" w:cstheme="minorHAnsi"/>
          <w:szCs w:val="24"/>
        </w:rPr>
        <w:t>Indeed, cross-country variability in transition dynamics seems to account to a large extent for the observed country differences in employment, unemployment and inactivity rates. To us, this seems as a clear case suggesting that much more policy attention should be placed on understanding the factors driving each country’s transition dynamics</w:t>
      </w:r>
      <w:r w:rsidR="00D15697" w:rsidRPr="00353650">
        <w:rPr>
          <w:rFonts w:asciiTheme="minorHAnsi" w:hAnsiTheme="minorHAnsi" w:cstheme="minorHAnsi"/>
          <w:szCs w:val="24"/>
        </w:rPr>
        <w:t xml:space="preserve"> and on devising policies aiming at making these dynamics more favourable (in the sense of leading to higher employment and lower unemployment rates in the medium- and long-run). To some extent, of course, it should be expected that the intensity and directionality of transition dynamics could be related to the quality of labour market institutions and the extent of regulatory and other rigidities found in each country. Indeed, it is worth noting that </w:t>
      </w:r>
      <w:r w:rsidR="002D26BD" w:rsidRPr="00353650">
        <w:rPr>
          <w:rFonts w:asciiTheme="minorHAnsi" w:hAnsiTheme="minorHAnsi" w:cstheme="minorHAnsi"/>
          <w:szCs w:val="24"/>
        </w:rPr>
        <w:t xml:space="preserve">in our analysis </w:t>
      </w:r>
      <w:r w:rsidR="00D15697" w:rsidRPr="00353650">
        <w:rPr>
          <w:rFonts w:asciiTheme="minorHAnsi" w:hAnsiTheme="minorHAnsi" w:cstheme="minorHAnsi"/>
          <w:szCs w:val="24"/>
        </w:rPr>
        <w:t xml:space="preserve">the most adverse labour market dynamics were observed in those cases (the Mediterranean group and Greece in particular) where labour and product market rigidities are known to be particularly pervasive. </w:t>
      </w:r>
      <w:r w:rsidR="002D26BD" w:rsidRPr="00353650">
        <w:rPr>
          <w:rFonts w:asciiTheme="minorHAnsi" w:hAnsiTheme="minorHAnsi" w:cstheme="minorHAnsi"/>
          <w:szCs w:val="24"/>
        </w:rPr>
        <w:t xml:space="preserve">However, </w:t>
      </w:r>
      <w:r w:rsidR="0045360B" w:rsidRPr="00353650">
        <w:rPr>
          <w:rFonts w:asciiTheme="minorHAnsi" w:hAnsiTheme="minorHAnsi" w:cstheme="minorHAnsi"/>
          <w:szCs w:val="24"/>
        </w:rPr>
        <w:t xml:space="preserve">evidence of weak transition dynamics and </w:t>
      </w:r>
      <w:r w:rsidR="002D26BD" w:rsidRPr="00353650">
        <w:rPr>
          <w:rFonts w:asciiTheme="minorHAnsi" w:hAnsiTheme="minorHAnsi" w:cstheme="minorHAnsi"/>
          <w:szCs w:val="24"/>
        </w:rPr>
        <w:t xml:space="preserve">disequilibrium </w:t>
      </w:r>
      <w:r w:rsidR="0045360B" w:rsidRPr="00353650">
        <w:rPr>
          <w:rFonts w:asciiTheme="minorHAnsi" w:hAnsiTheme="minorHAnsi" w:cstheme="minorHAnsi"/>
          <w:szCs w:val="24"/>
        </w:rPr>
        <w:t xml:space="preserve">was </w:t>
      </w:r>
      <w:r w:rsidR="002D26BD" w:rsidRPr="00353650">
        <w:rPr>
          <w:rFonts w:asciiTheme="minorHAnsi" w:hAnsiTheme="minorHAnsi" w:cstheme="minorHAnsi"/>
          <w:szCs w:val="24"/>
        </w:rPr>
        <w:t xml:space="preserve">also </w:t>
      </w:r>
      <w:r w:rsidR="0045360B" w:rsidRPr="00353650">
        <w:rPr>
          <w:rFonts w:asciiTheme="minorHAnsi" w:hAnsiTheme="minorHAnsi" w:cstheme="minorHAnsi"/>
          <w:szCs w:val="24"/>
        </w:rPr>
        <w:t xml:space="preserve">unveiled for other countries, some of which have </w:t>
      </w:r>
      <w:r w:rsidR="002D26BD" w:rsidRPr="00353650">
        <w:rPr>
          <w:rFonts w:asciiTheme="minorHAnsi" w:hAnsiTheme="minorHAnsi" w:cstheme="minorHAnsi"/>
          <w:szCs w:val="24"/>
        </w:rPr>
        <w:t xml:space="preserve">lower unemployment rates </w:t>
      </w:r>
      <w:r w:rsidR="0045360B" w:rsidRPr="00353650">
        <w:rPr>
          <w:rFonts w:asciiTheme="minorHAnsi" w:hAnsiTheme="minorHAnsi" w:cstheme="minorHAnsi"/>
          <w:szCs w:val="24"/>
        </w:rPr>
        <w:t>overall and are generally though</w:t>
      </w:r>
      <w:r w:rsidR="00A4482E">
        <w:rPr>
          <w:rFonts w:asciiTheme="minorHAnsi" w:hAnsiTheme="minorHAnsi" w:cstheme="minorHAnsi"/>
          <w:szCs w:val="24"/>
        </w:rPr>
        <w:t>t</w:t>
      </w:r>
      <w:r w:rsidR="0045360B" w:rsidRPr="00353650">
        <w:rPr>
          <w:rFonts w:asciiTheme="minorHAnsi" w:hAnsiTheme="minorHAnsi" w:cstheme="minorHAnsi"/>
          <w:szCs w:val="24"/>
        </w:rPr>
        <w:t xml:space="preserve"> to have </w:t>
      </w:r>
      <w:r w:rsidR="002D26BD" w:rsidRPr="00353650">
        <w:rPr>
          <w:rFonts w:asciiTheme="minorHAnsi" w:hAnsiTheme="minorHAnsi" w:cstheme="minorHAnsi"/>
          <w:szCs w:val="24"/>
        </w:rPr>
        <w:t>less restrictive labour market institutions (such as the Czech Republic or Estonia)</w:t>
      </w:r>
      <w:r w:rsidR="00FA3F88">
        <w:rPr>
          <w:rFonts w:asciiTheme="minorHAnsi" w:hAnsiTheme="minorHAnsi" w:cstheme="minorHAnsi"/>
          <w:szCs w:val="24"/>
        </w:rPr>
        <w:t>; while the most favourable transition dynamics – albeit at a declining rate – are found for the Nordic group countries, which is generally associated with the model of ‘flexicurity’</w:t>
      </w:r>
      <w:r w:rsidR="002D26BD" w:rsidRPr="00353650">
        <w:rPr>
          <w:rFonts w:asciiTheme="minorHAnsi" w:hAnsiTheme="minorHAnsi" w:cstheme="minorHAnsi"/>
          <w:szCs w:val="24"/>
        </w:rPr>
        <w:t xml:space="preserve">. </w:t>
      </w:r>
      <w:r w:rsidR="0045360B" w:rsidRPr="00353650">
        <w:rPr>
          <w:rFonts w:asciiTheme="minorHAnsi" w:hAnsiTheme="minorHAnsi" w:cstheme="minorHAnsi"/>
          <w:szCs w:val="24"/>
        </w:rPr>
        <w:t>This emphas</w:t>
      </w:r>
      <w:r w:rsidR="004D11C6">
        <w:rPr>
          <w:rFonts w:asciiTheme="minorHAnsi" w:hAnsiTheme="minorHAnsi" w:cstheme="minorHAnsi"/>
          <w:szCs w:val="24"/>
        </w:rPr>
        <w:t>is</w:t>
      </w:r>
      <w:r w:rsidR="0045360B" w:rsidRPr="00353650">
        <w:rPr>
          <w:rFonts w:asciiTheme="minorHAnsi" w:hAnsiTheme="minorHAnsi" w:cstheme="minorHAnsi"/>
          <w:szCs w:val="24"/>
        </w:rPr>
        <w:t xml:space="preserve">es the need for policy </w:t>
      </w:r>
      <w:r w:rsidR="0045360B" w:rsidRPr="00353650">
        <w:rPr>
          <w:rFonts w:asciiTheme="minorHAnsi" w:hAnsiTheme="minorHAnsi" w:cstheme="minorHAnsi"/>
          <w:szCs w:val="24"/>
        </w:rPr>
        <w:lastRenderedPageBreak/>
        <w:t xml:space="preserve">efforts </w:t>
      </w:r>
      <w:r w:rsidR="00416F5F">
        <w:rPr>
          <w:rFonts w:asciiTheme="minorHAnsi" w:hAnsiTheme="minorHAnsi" w:cstheme="minorHAnsi"/>
          <w:szCs w:val="24"/>
        </w:rPr>
        <w:t xml:space="preserve">aiming at addressing </w:t>
      </w:r>
      <w:r w:rsidR="0045360B" w:rsidRPr="00353650">
        <w:rPr>
          <w:rFonts w:asciiTheme="minorHAnsi" w:hAnsiTheme="minorHAnsi" w:cstheme="minorHAnsi"/>
          <w:szCs w:val="24"/>
        </w:rPr>
        <w:t>the labour market problems of Europe</w:t>
      </w:r>
      <w:r w:rsidR="00416F5F">
        <w:rPr>
          <w:rFonts w:asciiTheme="minorHAnsi" w:hAnsiTheme="minorHAnsi" w:cstheme="minorHAnsi"/>
          <w:szCs w:val="24"/>
        </w:rPr>
        <w:t xml:space="preserve"> to move </w:t>
      </w:r>
      <w:r w:rsidR="0045360B" w:rsidRPr="00353650">
        <w:rPr>
          <w:rFonts w:asciiTheme="minorHAnsi" w:hAnsiTheme="minorHAnsi" w:cstheme="minorHAnsi"/>
          <w:szCs w:val="24"/>
        </w:rPr>
        <w:t xml:space="preserve">beyond </w:t>
      </w:r>
      <w:r w:rsidR="00416F5F">
        <w:rPr>
          <w:rFonts w:asciiTheme="minorHAnsi" w:hAnsiTheme="minorHAnsi" w:cstheme="minorHAnsi"/>
          <w:szCs w:val="24"/>
        </w:rPr>
        <w:t>the simple distinction between ‘</w:t>
      </w:r>
      <w:r w:rsidR="0045360B" w:rsidRPr="00353650">
        <w:rPr>
          <w:rFonts w:asciiTheme="minorHAnsi" w:hAnsiTheme="minorHAnsi" w:cstheme="minorHAnsi"/>
          <w:szCs w:val="24"/>
        </w:rPr>
        <w:t>rigidity</w:t>
      </w:r>
      <w:r w:rsidR="00416F5F">
        <w:rPr>
          <w:rFonts w:asciiTheme="minorHAnsi" w:hAnsiTheme="minorHAnsi" w:cstheme="minorHAnsi"/>
          <w:szCs w:val="24"/>
        </w:rPr>
        <w:t>’</w:t>
      </w:r>
      <w:r w:rsidR="0045360B" w:rsidRPr="00353650">
        <w:rPr>
          <w:rFonts w:asciiTheme="minorHAnsi" w:hAnsiTheme="minorHAnsi" w:cstheme="minorHAnsi"/>
          <w:szCs w:val="24"/>
        </w:rPr>
        <w:t xml:space="preserve"> and </w:t>
      </w:r>
      <w:r w:rsidR="00416F5F">
        <w:rPr>
          <w:rFonts w:asciiTheme="minorHAnsi" w:hAnsiTheme="minorHAnsi" w:cstheme="minorHAnsi"/>
          <w:szCs w:val="24"/>
        </w:rPr>
        <w:t>‘</w:t>
      </w:r>
      <w:r w:rsidR="0045360B" w:rsidRPr="00353650">
        <w:rPr>
          <w:rFonts w:asciiTheme="minorHAnsi" w:hAnsiTheme="minorHAnsi" w:cstheme="minorHAnsi"/>
          <w:szCs w:val="24"/>
        </w:rPr>
        <w:t>flexibility</w:t>
      </w:r>
      <w:r w:rsidR="00416F5F">
        <w:rPr>
          <w:rFonts w:asciiTheme="minorHAnsi" w:hAnsiTheme="minorHAnsi" w:cstheme="minorHAnsi"/>
          <w:szCs w:val="24"/>
        </w:rPr>
        <w:t xml:space="preserve">’ and focus instead on the most appropriate forms of labour market ‘recalibration’ (Picot and </w:t>
      </w:r>
      <w:proofErr w:type="spellStart"/>
      <w:r w:rsidR="00416F5F">
        <w:rPr>
          <w:rFonts w:asciiTheme="minorHAnsi" w:hAnsiTheme="minorHAnsi" w:cstheme="minorHAnsi"/>
          <w:szCs w:val="24"/>
        </w:rPr>
        <w:t>Tassinari</w:t>
      </w:r>
      <w:proofErr w:type="spellEnd"/>
      <w:r w:rsidR="00416F5F">
        <w:rPr>
          <w:rFonts w:asciiTheme="minorHAnsi" w:hAnsiTheme="minorHAnsi" w:cstheme="minorHAnsi"/>
          <w:szCs w:val="24"/>
        </w:rPr>
        <w:t>, 2014) suitable in each national context</w:t>
      </w:r>
      <w:r w:rsidR="0045360B" w:rsidRPr="00353650">
        <w:rPr>
          <w:rFonts w:asciiTheme="minorHAnsi" w:hAnsiTheme="minorHAnsi" w:cstheme="minorHAnsi"/>
          <w:szCs w:val="24"/>
        </w:rPr>
        <w:t xml:space="preserve">. </w:t>
      </w:r>
      <w:r w:rsidR="00416F5F">
        <w:rPr>
          <w:rFonts w:asciiTheme="minorHAnsi" w:hAnsiTheme="minorHAnsi" w:cstheme="minorHAnsi"/>
          <w:szCs w:val="24"/>
        </w:rPr>
        <w:t>Although such an analysis of the links between different forms of institutional calibration and the prevailing transition dynamics in the labour market has been outside the scope of this paper</w:t>
      </w:r>
      <w:r w:rsidR="00416F5F" w:rsidRPr="00353650">
        <w:rPr>
          <w:rFonts w:asciiTheme="minorHAnsi" w:hAnsiTheme="minorHAnsi" w:cstheme="minorHAnsi"/>
          <w:szCs w:val="24"/>
        </w:rPr>
        <w:t xml:space="preserve">, we hope that our analysis has contributed in </w:t>
      </w:r>
      <w:r w:rsidR="006B39CD">
        <w:rPr>
          <w:rFonts w:asciiTheme="minorHAnsi" w:hAnsiTheme="minorHAnsi" w:cstheme="minorHAnsi"/>
          <w:szCs w:val="24"/>
        </w:rPr>
        <w:t>directing policy and future academic research in this direction</w:t>
      </w:r>
      <w:r w:rsidR="0045360B" w:rsidRPr="00353650">
        <w:rPr>
          <w:rFonts w:asciiTheme="minorHAnsi" w:hAnsiTheme="minorHAnsi" w:cstheme="minorHAnsi"/>
          <w:szCs w:val="24"/>
        </w:rPr>
        <w:t xml:space="preserve">. </w:t>
      </w:r>
    </w:p>
    <w:p w:rsidR="001C2398" w:rsidRPr="00353650" w:rsidRDefault="001C2398" w:rsidP="001D6366">
      <w:pPr>
        <w:spacing w:before="120" w:after="120" w:line="360" w:lineRule="auto"/>
        <w:ind w:left="57"/>
        <w:jc w:val="left"/>
        <w:rPr>
          <w:rFonts w:asciiTheme="minorHAnsi" w:hAnsiTheme="minorHAnsi" w:cstheme="minorHAnsi"/>
          <w:szCs w:val="24"/>
        </w:rPr>
      </w:pPr>
    </w:p>
    <w:p w:rsidR="008C4AFD" w:rsidRPr="00353650" w:rsidRDefault="008C4AFD" w:rsidP="001D6366">
      <w:pPr>
        <w:spacing w:before="120" w:after="120" w:line="360" w:lineRule="auto"/>
        <w:ind w:left="57"/>
        <w:jc w:val="left"/>
        <w:rPr>
          <w:rFonts w:asciiTheme="minorHAnsi" w:hAnsiTheme="minorHAnsi" w:cstheme="minorHAnsi"/>
          <w:b/>
          <w:caps/>
          <w:szCs w:val="24"/>
        </w:rPr>
      </w:pPr>
      <w:r w:rsidRPr="00353650">
        <w:rPr>
          <w:rFonts w:asciiTheme="minorHAnsi" w:hAnsiTheme="minorHAnsi" w:cstheme="minorHAnsi"/>
          <w:szCs w:val="24"/>
        </w:rPr>
        <w:br w:type="page"/>
      </w:r>
    </w:p>
    <w:p w:rsidR="008C4AFD" w:rsidRPr="00353650" w:rsidRDefault="00F525D5" w:rsidP="00FA3F88">
      <w:pPr>
        <w:pStyle w:val="Heading"/>
        <w:spacing w:before="0"/>
        <w:rPr>
          <w:rFonts w:asciiTheme="minorHAnsi" w:hAnsiTheme="minorHAnsi" w:cstheme="minorHAnsi"/>
          <w:sz w:val="24"/>
          <w:szCs w:val="24"/>
          <w:u w:val="none"/>
          <w:lang w:val="it-IT"/>
        </w:rPr>
      </w:pPr>
      <w:r w:rsidRPr="00353650">
        <w:rPr>
          <w:rFonts w:asciiTheme="minorHAnsi" w:hAnsiTheme="minorHAnsi" w:cstheme="minorHAnsi"/>
          <w:caps w:val="0"/>
          <w:sz w:val="24"/>
          <w:szCs w:val="24"/>
          <w:u w:val="none"/>
          <w:lang w:val="it-IT"/>
        </w:rPr>
        <w:lastRenderedPageBreak/>
        <w:t>References</w:t>
      </w:r>
    </w:p>
    <w:p w:rsidR="003C5213" w:rsidRPr="00353650" w:rsidRDefault="003C5213" w:rsidP="00FA3F88">
      <w:pPr>
        <w:autoSpaceDE w:val="0"/>
        <w:autoSpaceDN w:val="0"/>
        <w:adjustRightInd w:val="0"/>
        <w:spacing w:after="0"/>
        <w:rPr>
          <w:rFonts w:asciiTheme="minorHAnsi" w:hAnsiTheme="minorHAnsi" w:cstheme="minorHAnsi"/>
          <w:iCs/>
          <w:szCs w:val="24"/>
          <w:lang w:val="it-IT"/>
        </w:rPr>
      </w:pPr>
    </w:p>
    <w:bookmarkEnd w:id="2"/>
    <w:bookmarkEnd w:id="3"/>
    <w:p w:rsidR="008E1B26" w:rsidRPr="00353650" w:rsidRDefault="008E1B26" w:rsidP="00FA3F88">
      <w:pPr>
        <w:autoSpaceDE w:val="0"/>
        <w:autoSpaceDN w:val="0"/>
        <w:adjustRightInd w:val="0"/>
        <w:spacing w:after="0"/>
        <w:ind w:left="284" w:hanging="284"/>
        <w:rPr>
          <w:rFonts w:asciiTheme="minorHAnsi" w:hAnsiTheme="minorHAnsi" w:cstheme="minorHAnsi"/>
          <w:iCs/>
          <w:szCs w:val="24"/>
        </w:rPr>
      </w:pPr>
      <w:proofErr w:type="spellStart"/>
      <w:r w:rsidRPr="00353650">
        <w:rPr>
          <w:rFonts w:asciiTheme="minorHAnsi" w:hAnsiTheme="minorHAnsi" w:cstheme="minorHAnsi"/>
          <w:iCs/>
          <w:szCs w:val="24"/>
        </w:rPr>
        <w:t>Bentolila</w:t>
      </w:r>
      <w:proofErr w:type="spellEnd"/>
      <w:r w:rsidRPr="00353650">
        <w:rPr>
          <w:rFonts w:asciiTheme="minorHAnsi" w:hAnsiTheme="minorHAnsi" w:cstheme="minorHAnsi"/>
          <w:iCs/>
          <w:szCs w:val="24"/>
        </w:rPr>
        <w:t xml:space="preserve">, S., &amp; </w:t>
      </w:r>
      <w:proofErr w:type="spellStart"/>
      <w:r w:rsidRPr="00353650">
        <w:rPr>
          <w:rFonts w:asciiTheme="minorHAnsi" w:hAnsiTheme="minorHAnsi" w:cstheme="minorHAnsi"/>
          <w:iCs/>
          <w:szCs w:val="24"/>
        </w:rPr>
        <w:t>Bertola</w:t>
      </w:r>
      <w:proofErr w:type="spellEnd"/>
      <w:r w:rsidRPr="00353650">
        <w:rPr>
          <w:rFonts w:asciiTheme="minorHAnsi" w:hAnsiTheme="minorHAnsi" w:cstheme="minorHAnsi"/>
          <w:iCs/>
          <w:szCs w:val="24"/>
        </w:rPr>
        <w:t xml:space="preserve">, G. (1990). Firing costs and labour demand: how bad is </w:t>
      </w:r>
      <w:proofErr w:type="spellStart"/>
      <w:r w:rsidRPr="00353650">
        <w:rPr>
          <w:rFonts w:asciiTheme="minorHAnsi" w:hAnsiTheme="minorHAnsi" w:cstheme="minorHAnsi"/>
          <w:iCs/>
          <w:szCs w:val="24"/>
        </w:rPr>
        <w:t>eurosclerosis</w:t>
      </w:r>
      <w:proofErr w:type="spellEnd"/>
      <w:proofErr w:type="gramStart"/>
      <w:r w:rsidRPr="00353650">
        <w:rPr>
          <w:rFonts w:asciiTheme="minorHAnsi" w:hAnsiTheme="minorHAnsi" w:cstheme="minorHAnsi"/>
          <w:iCs/>
          <w:szCs w:val="24"/>
        </w:rPr>
        <w:t>?.</w:t>
      </w:r>
      <w:proofErr w:type="gramEnd"/>
      <w:r w:rsidRPr="00353650">
        <w:rPr>
          <w:rFonts w:asciiTheme="minorHAnsi" w:hAnsiTheme="minorHAnsi" w:cstheme="minorHAnsi"/>
          <w:iCs/>
          <w:szCs w:val="24"/>
        </w:rPr>
        <w:t xml:space="preserve"> The Review of Economic Studies, 57(3), 381-402.</w:t>
      </w:r>
    </w:p>
    <w:p w:rsidR="008E1B26" w:rsidRDefault="008E1B26" w:rsidP="00A4482E">
      <w:pPr>
        <w:autoSpaceDE w:val="0"/>
        <w:autoSpaceDN w:val="0"/>
        <w:adjustRightInd w:val="0"/>
        <w:spacing w:after="0"/>
        <w:ind w:left="284" w:hanging="284"/>
        <w:rPr>
          <w:rFonts w:asciiTheme="minorHAnsi" w:hAnsiTheme="minorHAnsi" w:cstheme="minorHAnsi"/>
          <w:iCs/>
          <w:szCs w:val="24"/>
        </w:rPr>
      </w:pPr>
      <w:r w:rsidRPr="007D53CA">
        <w:rPr>
          <w:rFonts w:asciiTheme="minorHAnsi" w:hAnsiTheme="minorHAnsi" w:cstheme="minorHAnsi"/>
          <w:iCs/>
          <w:szCs w:val="24"/>
        </w:rPr>
        <w:t>Boeri, T. (2002). Who's Afraid of the Big Enlargement</w:t>
      </w:r>
      <w:proofErr w:type="gramStart"/>
      <w:r w:rsidRPr="007D53CA">
        <w:rPr>
          <w:rFonts w:asciiTheme="minorHAnsi" w:hAnsiTheme="minorHAnsi" w:cstheme="minorHAnsi"/>
          <w:iCs/>
          <w:szCs w:val="24"/>
        </w:rPr>
        <w:t>?:</w:t>
      </w:r>
      <w:proofErr w:type="gramEnd"/>
      <w:r w:rsidRPr="007D53CA">
        <w:rPr>
          <w:rFonts w:asciiTheme="minorHAnsi" w:hAnsiTheme="minorHAnsi" w:cstheme="minorHAnsi"/>
          <w:iCs/>
          <w:szCs w:val="24"/>
        </w:rPr>
        <w:t xml:space="preserve"> Economic and Social Implications of the European Union's Prospective Eastern Expansion (No. 7). Centre for Economic Policy Research.</w:t>
      </w:r>
    </w:p>
    <w:p w:rsidR="008E1B26" w:rsidRPr="00A4482E" w:rsidRDefault="008E1B26" w:rsidP="00A4482E">
      <w:pPr>
        <w:autoSpaceDE w:val="0"/>
        <w:autoSpaceDN w:val="0"/>
        <w:adjustRightInd w:val="0"/>
        <w:spacing w:after="0"/>
        <w:ind w:left="284" w:hanging="284"/>
        <w:rPr>
          <w:rFonts w:asciiTheme="minorHAnsi" w:hAnsiTheme="minorHAnsi" w:cstheme="minorHAnsi"/>
          <w:iCs/>
          <w:szCs w:val="24"/>
        </w:rPr>
      </w:pPr>
      <w:r w:rsidRPr="00FA72D9">
        <w:rPr>
          <w:rFonts w:asciiTheme="minorHAnsi" w:hAnsiTheme="minorHAnsi" w:cstheme="minorHAnsi"/>
          <w:iCs/>
          <w:szCs w:val="24"/>
          <w:lang w:val="it-IT"/>
        </w:rPr>
        <w:t xml:space="preserve">Boeri, T., &amp; Jimeno, J. F. (2016). </w:t>
      </w:r>
      <w:r w:rsidRPr="007D53CA">
        <w:rPr>
          <w:rFonts w:asciiTheme="minorHAnsi" w:hAnsiTheme="minorHAnsi" w:cstheme="minorHAnsi"/>
          <w:iCs/>
          <w:szCs w:val="24"/>
        </w:rPr>
        <w:t>Learning from the Great Divergence in unemployment in Europe during the crisis. Labour Economics, 41, 32-46.</w:t>
      </w:r>
    </w:p>
    <w:p w:rsidR="002B5706" w:rsidRDefault="002B5706" w:rsidP="00A4482E">
      <w:pPr>
        <w:autoSpaceDE w:val="0"/>
        <w:autoSpaceDN w:val="0"/>
        <w:adjustRightInd w:val="0"/>
        <w:spacing w:after="0"/>
        <w:ind w:left="284" w:hanging="284"/>
        <w:rPr>
          <w:rFonts w:asciiTheme="minorHAnsi" w:hAnsiTheme="minorHAnsi" w:cstheme="minorHAnsi"/>
          <w:iCs/>
          <w:szCs w:val="24"/>
        </w:rPr>
      </w:pPr>
      <w:r w:rsidRPr="002B5706">
        <w:rPr>
          <w:rFonts w:asciiTheme="minorHAnsi" w:hAnsiTheme="minorHAnsi" w:cstheme="minorHAnsi"/>
          <w:iCs/>
          <w:szCs w:val="24"/>
        </w:rPr>
        <w:t xml:space="preserve">Boeri, T., &amp; Van Ours, J. (2013). The economics of imperfect </w:t>
      </w:r>
      <w:proofErr w:type="spellStart"/>
      <w:r w:rsidRPr="002B5706">
        <w:rPr>
          <w:rFonts w:asciiTheme="minorHAnsi" w:hAnsiTheme="minorHAnsi" w:cstheme="minorHAnsi"/>
          <w:iCs/>
          <w:szCs w:val="24"/>
        </w:rPr>
        <w:t>labor</w:t>
      </w:r>
      <w:proofErr w:type="spellEnd"/>
      <w:r w:rsidRPr="002B5706">
        <w:rPr>
          <w:rFonts w:asciiTheme="minorHAnsi" w:hAnsiTheme="minorHAnsi" w:cstheme="minorHAnsi"/>
          <w:iCs/>
          <w:szCs w:val="24"/>
        </w:rPr>
        <w:t xml:space="preserve"> markets. Princeton University Press.</w:t>
      </w:r>
    </w:p>
    <w:p w:rsidR="008E1B26" w:rsidRPr="00A4482E" w:rsidRDefault="008E1B26" w:rsidP="00A4482E">
      <w:pPr>
        <w:autoSpaceDE w:val="0"/>
        <w:autoSpaceDN w:val="0"/>
        <w:adjustRightInd w:val="0"/>
        <w:spacing w:after="0"/>
        <w:ind w:left="284" w:hanging="284"/>
        <w:rPr>
          <w:rFonts w:asciiTheme="minorHAnsi" w:hAnsiTheme="minorHAnsi" w:cstheme="minorHAnsi"/>
          <w:iCs/>
          <w:szCs w:val="24"/>
        </w:rPr>
      </w:pPr>
      <w:proofErr w:type="spellStart"/>
      <w:r w:rsidRPr="007D53CA">
        <w:rPr>
          <w:rFonts w:asciiTheme="minorHAnsi" w:hAnsiTheme="minorHAnsi" w:cstheme="minorHAnsi"/>
          <w:iCs/>
          <w:szCs w:val="24"/>
        </w:rPr>
        <w:t>Bulligan</w:t>
      </w:r>
      <w:proofErr w:type="spellEnd"/>
      <w:r w:rsidRPr="007D53CA">
        <w:rPr>
          <w:rFonts w:asciiTheme="minorHAnsi" w:hAnsiTheme="minorHAnsi" w:cstheme="minorHAnsi"/>
          <w:iCs/>
          <w:szCs w:val="24"/>
        </w:rPr>
        <w:t xml:space="preserve">, G., &amp; </w:t>
      </w:r>
      <w:proofErr w:type="spellStart"/>
      <w:r w:rsidRPr="007D53CA">
        <w:rPr>
          <w:rFonts w:asciiTheme="minorHAnsi" w:hAnsiTheme="minorHAnsi" w:cstheme="minorHAnsi"/>
          <w:iCs/>
          <w:szCs w:val="24"/>
        </w:rPr>
        <w:t>Viviano</w:t>
      </w:r>
      <w:proofErr w:type="spellEnd"/>
      <w:r w:rsidRPr="007D53CA">
        <w:rPr>
          <w:rFonts w:asciiTheme="minorHAnsi" w:hAnsiTheme="minorHAnsi" w:cstheme="minorHAnsi"/>
          <w:iCs/>
          <w:szCs w:val="24"/>
        </w:rPr>
        <w:t>, E. (2017). Has the wage Phillips curve changed in the euro area</w:t>
      </w:r>
      <w:proofErr w:type="gramStart"/>
      <w:r w:rsidRPr="007D53CA">
        <w:rPr>
          <w:rFonts w:asciiTheme="minorHAnsi" w:hAnsiTheme="minorHAnsi" w:cstheme="minorHAnsi"/>
          <w:iCs/>
          <w:szCs w:val="24"/>
        </w:rPr>
        <w:t>?.</w:t>
      </w:r>
      <w:proofErr w:type="gramEnd"/>
      <w:r w:rsidRPr="007D53CA">
        <w:rPr>
          <w:rFonts w:asciiTheme="minorHAnsi" w:hAnsiTheme="minorHAnsi" w:cstheme="minorHAnsi"/>
          <w:iCs/>
          <w:szCs w:val="24"/>
        </w:rPr>
        <w:t xml:space="preserve"> IZA Journal of </w:t>
      </w:r>
      <w:proofErr w:type="spellStart"/>
      <w:r w:rsidRPr="007D53CA">
        <w:rPr>
          <w:rFonts w:asciiTheme="minorHAnsi" w:hAnsiTheme="minorHAnsi" w:cstheme="minorHAnsi"/>
          <w:iCs/>
          <w:szCs w:val="24"/>
        </w:rPr>
        <w:t>Labor</w:t>
      </w:r>
      <w:proofErr w:type="spellEnd"/>
      <w:r w:rsidRPr="007D53CA">
        <w:rPr>
          <w:rFonts w:asciiTheme="minorHAnsi" w:hAnsiTheme="minorHAnsi" w:cstheme="minorHAnsi"/>
          <w:iCs/>
          <w:szCs w:val="24"/>
        </w:rPr>
        <w:t xml:space="preserve"> Policy, 6(1), 9.</w:t>
      </w:r>
    </w:p>
    <w:p w:rsidR="008E1B26" w:rsidRPr="00A4482E" w:rsidRDefault="008E1B26" w:rsidP="00A4482E">
      <w:pPr>
        <w:autoSpaceDE w:val="0"/>
        <w:autoSpaceDN w:val="0"/>
        <w:adjustRightInd w:val="0"/>
        <w:spacing w:after="0"/>
        <w:ind w:left="284" w:hanging="284"/>
        <w:rPr>
          <w:rFonts w:asciiTheme="minorHAnsi" w:hAnsiTheme="minorHAnsi" w:cstheme="minorHAnsi"/>
          <w:iCs/>
          <w:szCs w:val="24"/>
        </w:rPr>
      </w:pPr>
      <w:proofErr w:type="spellStart"/>
      <w:r w:rsidRPr="007D53CA">
        <w:rPr>
          <w:rFonts w:asciiTheme="minorHAnsi" w:hAnsiTheme="minorHAnsi" w:cstheme="minorHAnsi"/>
          <w:iCs/>
          <w:szCs w:val="24"/>
        </w:rPr>
        <w:t>Carcillo</w:t>
      </w:r>
      <w:proofErr w:type="spellEnd"/>
      <w:r w:rsidRPr="007D53CA">
        <w:rPr>
          <w:rFonts w:asciiTheme="minorHAnsi" w:hAnsiTheme="minorHAnsi" w:cstheme="minorHAnsi"/>
          <w:iCs/>
          <w:szCs w:val="24"/>
        </w:rPr>
        <w:t xml:space="preserve">, S., Fernández, R., </w:t>
      </w:r>
      <w:proofErr w:type="spellStart"/>
      <w:r w:rsidRPr="007D53CA">
        <w:rPr>
          <w:rFonts w:asciiTheme="minorHAnsi" w:hAnsiTheme="minorHAnsi" w:cstheme="minorHAnsi"/>
          <w:iCs/>
          <w:szCs w:val="24"/>
        </w:rPr>
        <w:t>Königs</w:t>
      </w:r>
      <w:proofErr w:type="spellEnd"/>
      <w:r w:rsidRPr="007D53CA">
        <w:rPr>
          <w:rFonts w:asciiTheme="minorHAnsi" w:hAnsiTheme="minorHAnsi" w:cstheme="minorHAnsi"/>
          <w:iCs/>
          <w:szCs w:val="24"/>
        </w:rPr>
        <w:t xml:space="preserve">, S., </w:t>
      </w:r>
      <w:proofErr w:type="spellStart"/>
      <w:r w:rsidRPr="007D53CA">
        <w:rPr>
          <w:rFonts w:asciiTheme="minorHAnsi" w:hAnsiTheme="minorHAnsi" w:cstheme="minorHAnsi"/>
          <w:iCs/>
          <w:szCs w:val="24"/>
        </w:rPr>
        <w:t>Minea</w:t>
      </w:r>
      <w:proofErr w:type="spellEnd"/>
      <w:r w:rsidRPr="007D53CA">
        <w:rPr>
          <w:rFonts w:asciiTheme="minorHAnsi" w:hAnsiTheme="minorHAnsi" w:cstheme="minorHAnsi"/>
          <w:iCs/>
          <w:szCs w:val="24"/>
        </w:rPr>
        <w:t>, A., (2013). “NEET Youth in the Aftermath of the Crisis: Challenges and Policies”, OECD Social, Employment and Migration Working Papers, No.</w:t>
      </w:r>
      <w:r>
        <w:rPr>
          <w:rFonts w:asciiTheme="minorHAnsi" w:hAnsiTheme="minorHAnsi" w:cstheme="minorHAnsi"/>
          <w:iCs/>
          <w:szCs w:val="24"/>
        </w:rPr>
        <w:t xml:space="preserve"> 164, OECD Publishing.</w:t>
      </w:r>
    </w:p>
    <w:p w:rsidR="008E1B26" w:rsidRPr="00A4482E" w:rsidRDefault="008E1B26" w:rsidP="00A4482E">
      <w:pPr>
        <w:autoSpaceDE w:val="0"/>
        <w:autoSpaceDN w:val="0"/>
        <w:adjustRightInd w:val="0"/>
        <w:spacing w:after="0"/>
        <w:ind w:left="284" w:hanging="284"/>
        <w:rPr>
          <w:rFonts w:asciiTheme="minorHAnsi" w:hAnsiTheme="minorHAnsi" w:cstheme="minorHAnsi"/>
          <w:iCs/>
          <w:szCs w:val="24"/>
        </w:rPr>
      </w:pPr>
      <w:r w:rsidRPr="00FA72D9">
        <w:rPr>
          <w:rFonts w:asciiTheme="minorHAnsi" w:hAnsiTheme="minorHAnsi" w:cstheme="minorHAnsi"/>
          <w:iCs/>
          <w:szCs w:val="24"/>
          <w:lang w:val="sv-SE"/>
        </w:rPr>
        <w:t xml:space="preserve">Cazes, S., Verick, S., &amp; Al Hussami, F. (2011). </w:t>
      </w:r>
      <w:r w:rsidRPr="00D201A8">
        <w:rPr>
          <w:rFonts w:asciiTheme="minorHAnsi" w:hAnsiTheme="minorHAnsi" w:cstheme="minorHAnsi"/>
          <w:iCs/>
          <w:szCs w:val="24"/>
        </w:rPr>
        <w:t>Diverging trends in unemployment in the United States and Europe: evidence from Okun's law and the global financial crisis (No. 994676293402676). International Labour Organization.</w:t>
      </w:r>
    </w:p>
    <w:p w:rsidR="008E1B26" w:rsidRPr="00A4482E" w:rsidRDefault="008E1B26" w:rsidP="00A4482E">
      <w:pPr>
        <w:autoSpaceDE w:val="0"/>
        <w:autoSpaceDN w:val="0"/>
        <w:adjustRightInd w:val="0"/>
        <w:spacing w:after="0"/>
        <w:ind w:left="284" w:hanging="284"/>
        <w:rPr>
          <w:rFonts w:asciiTheme="minorHAnsi" w:hAnsiTheme="minorHAnsi" w:cstheme="minorHAnsi"/>
          <w:iCs/>
          <w:szCs w:val="24"/>
        </w:rPr>
      </w:pPr>
      <w:proofErr w:type="spellStart"/>
      <w:r w:rsidRPr="00D201A8">
        <w:rPr>
          <w:rFonts w:asciiTheme="minorHAnsi" w:hAnsiTheme="minorHAnsi" w:cstheme="minorHAnsi"/>
          <w:iCs/>
          <w:szCs w:val="24"/>
        </w:rPr>
        <w:t>Cazes</w:t>
      </w:r>
      <w:proofErr w:type="spellEnd"/>
      <w:r w:rsidRPr="00D201A8">
        <w:rPr>
          <w:rFonts w:asciiTheme="minorHAnsi" w:hAnsiTheme="minorHAnsi" w:cstheme="minorHAnsi"/>
          <w:iCs/>
          <w:szCs w:val="24"/>
        </w:rPr>
        <w:t xml:space="preserve">, S., </w:t>
      </w:r>
      <w:proofErr w:type="spellStart"/>
      <w:r w:rsidRPr="00D201A8">
        <w:rPr>
          <w:rFonts w:asciiTheme="minorHAnsi" w:hAnsiTheme="minorHAnsi" w:cstheme="minorHAnsi"/>
          <w:iCs/>
          <w:szCs w:val="24"/>
        </w:rPr>
        <w:t>Verick</w:t>
      </w:r>
      <w:proofErr w:type="spellEnd"/>
      <w:r w:rsidRPr="00D201A8">
        <w:rPr>
          <w:rFonts w:asciiTheme="minorHAnsi" w:hAnsiTheme="minorHAnsi" w:cstheme="minorHAnsi"/>
          <w:iCs/>
          <w:szCs w:val="24"/>
        </w:rPr>
        <w:t xml:space="preserve">, S., &amp; Al </w:t>
      </w:r>
      <w:proofErr w:type="spellStart"/>
      <w:r w:rsidRPr="00D201A8">
        <w:rPr>
          <w:rFonts w:asciiTheme="minorHAnsi" w:hAnsiTheme="minorHAnsi" w:cstheme="minorHAnsi"/>
          <w:iCs/>
          <w:szCs w:val="24"/>
        </w:rPr>
        <w:t>Hussami</w:t>
      </w:r>
      <w:proofErr w:type="spellEnd"/>
      <w:r w:rsidRPr="00D201A8">
        <w:rPr>
          <w:rFonts w:asciiTheme="minorHAnsi" w:hAnsiTheme="minorHAnsi" w:cstheme="minorHAnsi"/>
          <w:iCs/>
          <w:szCs w:val="24"/>
        </w:rPr>
        <w:t xml:space="preserve">, F. (2013). Why did unemployment respond so differently to the global financial crisis across countries? Insights from Okun’s Law. IZA Journal of </w:t>
      </w:r>
      <w:proofErr w:type="spellStart"/>
      <w:r w:rsidRPr="00D201A8">
        <w:rPr>
          <w:rFonts w:asciiTheme="minorHAnsi" w:hAnsiTheme="minorHAnsi" w:cstheme="minorHAnsi"/>
          <w:iCs/>
          <w:szCs w:val="24"/>
        </w:rPr>
        <w:t>Labor</w:t>
      </w:r>
      <w:proofErr w:type="spellEnd"/>
      <w:r w:rsidRPr="00D201A8">
        <w:rPr>
          <w:rFonts w:asciiTheme="minorHAnsi" w:hAnsiTheme="minorHAnsi" w:cstheme="minorHAnsi"/>
          <w:iCs/>
          <w:szCs w:val="24"/>
        </w:rPr>
        <w:t xml:space="preserve"> Policy, 2(1), 10.</w:t>
      </w:r>
    </w:p>
    <w:p w:rsidR="002B5706" w:rsidRDefault="002B5706" w:rsidP="00A4482E">
      <w:pPr>
        <w:autoSpaceDE w:val="0"/>
        <w:autoSpaceDN w:val="0"/>
        <w:adjustRightInd w:val="0"/>
        <w:spacing w:after="0"/>
        <w:ind w:left="284" w:hanging="284"/>
        <w:rPr>
          <w:rFonts w:asciiTheme="minorHAnsi" w:hAnsiTheme="minorHAnsi" w:cstheme="minorHAnsi"/>
          <w:iCs/>
          <w:szCs w:val="24"/>
        </w:rPr>
      </w:pPr>
      <w:proofErr w:type="spellStart"/>
      <w:r w:rsidRPr="002B5706">
        <w:rPr>
          <w:rFonts w:asciiTheme="minorHAnsi" w:hAnsiTheme="minorHAnsi" w:cstheme="minorHAnsi"/>
          <w:iCs/>
          <w:szCs w:val="24"/>
        </w:rPr>
        <w:t>Christopoulou</w:t>
      </w:r>
      <w:proofErr w:type="spellEnd"/>
      <w:r w:rsidRPr="002B5706">
        <w:rPr>
          <w:rFonts w:asciiTheme="minorHAnsi" w:hAnsiTheme="minorHAnsi" w:cstheme="minorHAnsi"/>
          <w:iCs/>
          <w:szCs w:val="24"/>
        </w:rPr>
        <w:t xml:space="preserve"> R. and Monastiriotis V. (2018). Did the crisis make the Greek economy less inefficient? Evidence from the structure and dynamics of sectoral premia. </w:t>
      </w:r>
      <w:proofErr w:type="spellStart"/>
      <w:r w:rsidRPr="002B5706">
        <w:rPr>
          <w:rFonts w:asciiTheme="minorHAnsi" w:hAnsiTheme="minorHAnsi" w:cstheme="minorHAnsi"/>
          <w:iCs/>
          <w:szCs w:val="24"/>
        </w:rPr>
        <w:t>GreeSE</w:t>
      </w:r>
      <w:proofErr w:type="spellEnd"/>
      <w:r w:rsidRPr="002B5706">
        <w:rPr>
          <w:rFonts w:asciiTheme="minorHAnsi" w:hAnsiTheme="minorHAnsi" w:cstheme="minorHAnsi"/>
          <w:iCs/>
          <w:szCs w:val="24"/>
        </w:rPr>
        <w:t xml:space="preserve"> Paper No125, Hellenic Observatory, LSE.</w:t>
      </w:r>
    </w:p>
    <w:p w:rsidR="008E1B26" w:rsidRPr="00A4482E" w:rsidRDefault="008E1B26" w:rsidP="00A4482E">
      <w:pPr>
        <w:autoSpaceDE w:val="0"/>
        <w:autoSpaceDN w:val="0"/>
        <w:adjustRightInd w:val="0"/>
        <w:spacing w:after="0"/>
        <w:ind w:left="284" w:hanging="284"/>
        <w:rPr>
          <w:rFonts w:asciiTheme="minorHAnsi" w:hAnsiTheme="minorHAnsi" w:cstheme="minorHAnsi"/>
          <w:iCs/>
          <w:szCs w:val="24"/>
        </w:rPr>
      </w:pPr>
      <w:proofErr w:type="spellStart"/>
      <w:r w:rsidRPr="00D201A8">
        <w:rPr>
          <w:rFonts w:asciiTheme="minorHAnsi" w:hAnsiTheme="minorHAnsi" w:cstheme="minorHAnsi"/>
          <w:iCs/>
          <w:szCs w:val="24"/>
        </w:rPr>
        <w:t>Daouli</w:t>
      </w:r>
      <w:proofErr w:type="spellEnd"/>
      <w:r w:rsidRPr="00D201A8">
        <w:rPr>
          <w:rFonts w:asciiTheme="minorHAnsi" w:hAnsiTheme="minorHAnsi" w:cstheme="minorHAnsi"/>
          <w:iCs/>
          <w:szCs w:val="24"/>
        </w:rPr>
        <w:t xml:space="preserve">, J., </w:t>
      </w:r>
      <w:proofErr w:type="spellStart"/>
      <w:r w:rsidRPr="00D201A8">
        <w:rPr>
          <w:rFonts w:asciiTheme="minorHAnsi" w:hAnsiTheme="minorHAnsi" w:cstheme="minorHAnsi"/>
          <w:iCs/>
          <w:szCs w:val="24"/>
        </w:rPr>
        <w:t>Demoussis</w:t>
      </w:r>
      <w:proofErr w:type="spellEnd"/>
      <w:r w:rsidRPr="00D201A8">
        <w:rPr>
          <w:rFonts w:asciiTheme="minorHAnsi" w:hAnsiTheme="minorHAnsi" w:cstheme="minorHAnsi"/>
          <w:iCs/>
          <w:szCs w:val="24"/>
        </w:rPr>
        <w:t>, M., Giannakopoulos, N., &amp; Lampropoulou, N. (2015). The ins and outs of unemployment in the current Greek economic crisis. South-Eastern Europe Journal of Economics, 13(2).</w:t>
      </w:r>
    </w:p>
    <w:p w:rsidR="008E1B26" w:rsidRPr="00A4482E" w:rsidRDefault="008E1B26" w:rsidP="00A4482E">
      <w:pPr>
        <w:autoSpaceDE w:val="0"/>
        <w:autoSpaceDN w:val="0"/>
        <w:adjustRightInd w:val="0"/>
        <w:spacing w:after="0"/>
        <w:ind w:left="284" w:hanging="284"/>
        <w:rPr>
          <w:rFonts w:asciiTheme="minorHAnsi" w:hAnsiTheme="minorHAnsi" w:cstheme="minorHAnsi"/>
          <w:iCs/>
          <w:szCs w:val="24"/>
        </w:rPr>
      </w:pPr>
      <w:proofErr w:type="spellStart"/>
      <w:r w:rsidRPr="007D53CA">
        <w:rPr>
          <w:rFonts w:asciiTheme="minorHAnsi" w:hAnsiTheme="minorHAnsi" w:cstheme="minorHAnsi"/>
          <w:iCs/>
          <w:szCs w:val="24"/>
        </w:rPr>
        <w:t>Dolado</w:t>
      </w:r>
      <w:proofErr w:type="spellEnd"/>
      <w:r w:rsidRPr="007D53CA">
        <w:rPr>
          <w:rFonts w:asciiTheme="minorHAnsi" w:hAnsiTheme="minorHAnsi" w:cstheme="minorHAnsi"/>
          <w:iCs/>
          <w:szCs w:val="24"/>
        </w:rPr>
        <w:t xml:space="preserve">, J. J., Jansen, M., </w:t>
      </w:r>
      <w:proofErr w:type="spellStart"/>
      <w:r w:rsidRPr="007D53CA">
        <w:rPr>
          <w:rFonts w:asciiTheme="minorHAnsi" w:hAnsiTheme="minorHAnsi" w:cstheme="minorHAnsi"/>
          <w:iCs/>
          <w:szCs w:val="24"/>
        </w:rPr>
        <w:t>Felgueroso</w:t>
      </w:r>
      <w:proofErr w:type="spellEnd"/>
      <w:r w:rsidRPr="007D53CA">
        <w:rPr>
          <w:rFonts w:asciiTheme="minorHAnsi" w:hAnsiTheme="minorHAnsi" w:cstheme="minorHAnsi"/>
          <w:iCs/>
          <w:szCs w:val="24"/>
        </w:rPr>
        <w:t xml:space="preserve">, F., Fuentes, A., and </w:t>
      </w:r>
      <w:proofErr w:type="spellStart"/>
      <w:r w:rsidRPr="007D53CA">
        <w:rPr>
          <w:rFonts w:asciiTheme="minorHAnsi" w:hAnsiTheme="minorHAnsi" w:cstheme="minorHAnsi"/>
          <w:iCs/>
          <w:szCs w:val="24"/>
        </w:rPr>
        <w:t>Wölfl</w:t>
      </w:r>
      <w:proofErr w:type="spellEnd"/>
      <w:r w:rsidRPr="007D53CA">
        <w:rPr>
          <w:rFonts w:asciiTheme="minorHAnsi" w:hAnsiTheme="minorHAnsi" w:cstheme="minorHAnsi"/>
          <w:iCs/>
          <w:szCs w:val="24"/>
        </w:rPr>
        <w:t xml:space="preserve">, A. (2013). “Youth Labour Market Performance in Spain and its Determinants: A Micro-Level Perspective”, OECD Economics Department Working Papers, No. 1039, OECD Publishing. </w:t>
      </w:r>
    </w:p>
    <w:p w:rsidR="002B5706" w:rsidRDefault="002B5706" w:rsidP="00A4482E">
      <w:pPr>
        <w:autoSpaceDE w:val="0"/>
        <w:autoSpaceDN w:val="0"/>
        <w:adjustRightInd w:val="0"/>
        <w:spacing w:after="0"/>
        <w:ind w:left="284" w:hanging="284"/>
        <w:rPr>
          <w:rFonts w:asciiTheme="minorHAnsi" w:hAnsiTheme="minorHAnsi" w:cstheme="minorHAnsi"/>
          <w:iCs/>
          <w:szCs w:val="24"/>
        </w:rPr>
      </w:pPr>
      <w:r w:rsidRPr="002B5706">
        <w:rPr>
          <w:rFonts w:asciiTheme="minorHAnsi" w:hAnsiTheme="minorHAnsi" w:cstheme="minorHAnsi"/>
          <w:iCs/>
          <w:szCs w:val="24"/>
        </w:rPr>
        <w:t>EC (2007). Towards Common Principles of Flexicurity: More and better jobs through flexibility and security. Communication from the Commission to the European Parliament, the Council, the European Economic and Social Committee and the Committee of the Regions, Brussels.</w:t>
      </w:r>
    </w:p>
    <w:p w:rsidR="008E1B26" w:rsidRPr="00A4482E" w:rsidRDefault="008E1B26" w:rsidP="00A4482E">
      <w:pPr>
        <w:autoSpaceDE w:val="0"/>
        <w:autoSpaceDN w:val="0"/>
        <w:adjustRightInd w:val="0"/>
        <w:spacing w:after="0"/>
        <w:ind w:left="284" w:hanging="284"/>
        <w:rPr>
          <w:rFonts w:asciiTheme="minorHAnsi" w:hAnsiTheme="minorHAnsi" w:cstheme="minorHAnsi"/>
          <w:iCs/>
          <w:szCs w:val="24"/>
        </w:rPr>
      </w:pPr>
      <w:r>
        <w:rPr>
          <w:rFonts w:asciiTheme="minorHAnsi" w:hAnsiTheme="minorHAnsi" w:cstheme="minorHAnsi"/>
          <w:iCs/>
          <w:szCs w:val="24"/>
        </w:rPr>
        <w:t xml:space="preserve">ECB (2012), Euro Area Labour </w:t>
      </w:r>
      <w:proofErr w:type="spellStart"/>
      <w:r>
        <w:rPr>
          <w:rFonts w:asciiTheme="minorHAnsi" w:hAnsiTheme="minorHAnsi" w:cstheme="minorHAnsi"/>
          <w:iCs/>
          <w:szCs w:val="24"/>
        </w:rPr>
        <w:t>Makrets</w:t>
      </w:r>
      <w:proofErr w:type="spellEnd"/>
      <w:r>
        <w:rPr>
          <w:rFonts w:asciiTheme="minorHAnsi" w:hAnsiTheme="minorHAnsi" w:cstheme="minorHAnsi"/>
          <w:iCs/>
          <w:szCs w:val="24"/>
        </w:rPr>
        <w:t xml:space="preserve"> and the Crisis, ECB Occasional Paper No138, </w:t>
      </w:r>
      <w:r w:rsidRPr="00A4482E">
        <w:rPr>
          <w:rFonts w:asciiTheme="minorHAnsi" w:hAnsiTheme="minorHAnsi" w:cstheme="minorHAnsi"/>
          <w:iCs/>
          <w:szCs w:val="24"/>
        </w:rPr>
        <w:t>Task Force</w:t>
      </w:r>
      <w:r>
        <w:rPr>
          <w:rFonts w:asciiTheme="minorHAnsi" w:hAnsiTheme="minorHAnsi" w:cstheme="minorHAnsi"/>
          <w:iCs/>
          <w:szCs w:val="24"/>
        </w:rPr>
        <w:t xml:space="preserve"> for the Monetary policy Committee of the European System of Central Banks, ECB. </w:t>
      </w:r>
    </w:p>
    <w:p w:rsidR="008E1B26" w:rsidRPr="00A4482E" w:rsidRDefault="008E1B26" w:rsidP="00A4482E">
      <w:pPr>
        <w:autoSpaceDE w:val="0"/>
        <w:autoSpaceDN w:val="0"/>
        <w:adjustRightInd w:val="0"/>
        <w:spacing w:after="0"/>
        <w:ind w:left="284" w:hanging="284"/>
        <w:rPr>
          <w:rFonts w:asciiTheme="minorHAnsi" w:hAnsiTheme="minorHAnsi" w:cstheme="minorHAnsi"/>
          <w:iCs/>
          <w:szCs w:val="24"/>
        </w:rPr>
      </w:pPr>
      <w:proofErr w:type="spellStart"/>
      <w:r w:rsidRPr="007D53CA">
        <w:rPr>
          <w:rFonts w:asciiTheme="minorHAnsi" w:hAnsiTheme="minorHAnsi" w:cstheme="minorHAnsi"/>
          <w:iCs/>
          <w:szCs w:val="24"/>
        </w:rPr>
        <w:t>Eichhorst</w:t>
      </w:r>
      <w:proofErr w:type="spellEnd"/>
      <w:r w:rsidRPr="007D53CA">
        <w:rPr>
          <w:rFonts w:asciiTheme="minorHAnsi" w:hAnsiTheme="minorHAnsi" w:cstheme="minorHAnsi"/>
          <w:iCs/>
          <w:szCs w:val="24"/>
        </w:rPr>
        <w:t xml:space="preserve">, W. and </w:t>
      </w:r>
      <w:proofErr w:type="spellStart"/>
      <w:r w:rsidRPr="007D53CA">
        <w:rPr>
          <w:rFonts w:asciiTheme="minorHAnsi" w:hAnsiTheme="minorHAnsi" w:cstheme="minorHAnsi"/>
          <w:iCs/>
          <w:szCs w:val="24"/>
        </w:rPr>
        <w:t>Neder</w:t>
      </w:r>
      <w:proofErr w:type="spellEnd"/>
      <w:r w:rsidRPr="007D53CA">
        <w:rPr>
          <w:rFonts w:asciiTheme="minorHAnsi" w:hAnsiTheme="minorHAnsi" w:cstheme="minorHAnsi"/>
          <w:iCs/>
          <w:szCs w:val="24"/>
        </w:rPr>
        <w:t>, F. (2014). “Youth Unemployment in Mediterranean Countries”, IZA Policy Paper, No. 80.</w:t>
      </w:r>
    </w:p>
    <w:p w:rsidR="008E1B26" w:rsidRPr="00D201A8" w:rsidRDefault="008E1B26" w:rsidP="00A4482E">
      <w:pPr>
        <w:autoSpaceDE w:val="0"/>
        <w:autoSpaceDN w:val="0"/>
        <w:adjustRightInd w:val="0"/>
        <w:spacing w:after="0"/>
        <w:ind w:left="284" w:hanging="284"/>
        <w:rPr>
          <w:rFonts w:asciiTheme="minorHAnsi" w:hAnsiTheme="minorHAnsi" w:cstheme="minorHAnsi"/>
          <w:iCs/>
          <w:szCs w:val="24"/>
        </w:rPr>
      </w:pPr>
      <w:proofErr w:type="spellStart"/>
      <w:r w:rsidRPr="00D201A8">
        <w:rPr>
          <w:rFonts w:asciiTheme="minorHAnsi" w:hAnsiTheme="minorHAnsi" w:cstheme="minorHAnsi"/>
          <w:iCs/>
          <w:szCs w:val="24"/>
        </w:rPr>
        <w:t>Elsby</w:t>
      </w:r>
      <w:proofErr w:type="spellEnd"/>
      <w:r w:rsidRPr="00D201A8">
        <w:rPr>
          <w:rFonts w:asciiTheme="minorHAnsi" w:hAnsiTheme="minorHAnsi" w:cstheme="minorHAnsi"/>
          <w:iCs/>
          <w:szCs w:val="24"/>
        </w:rPr>
        <w:t>, M. W., Michaels, R., &amp; Solon, G. (2009). The ins and outs of cyclical unemployment. American Economic Journal: Macroeconomics, 1(1), 84-110.</w:t>
      </w:r>
    </w:p>
    <w:p w:rsidR="008E1B26" w:rsidRPr="00353650" w:rsidRDefault="008E1B26" w:rsidP="00FA3F88">
      <w:pPr>
        <w:autoSpaceDE w:val="0"/>
        <w:autoSpaceDN w:val="0"/>
        <w:adjustRightInd w:val="0"/>
        <w:spacing w:after="0"/>
        <w:ind w:left="284" w:hanging="284"/>
        <w:rPr>
          <w:rFonts w:asciiTheme="minorHAnsi" w:hAnsiTheme="minorHAnsi" w:cstheme="minorHAnsi"/>
          <w:iCs/>
          <w:szCs w:val="24"/>
        </w:rPr>
      </w:pPr>
      <w:proofErr w:type="spellStart"/>
      <w:r w:rsidRPr="00353650">
        <w:rPr>
          <w:rFonts w:asciiTheme="minorHAnsi" w:hAnsiTheme="minorHAnsi" w:cstheme="minorHAnsi"/>
          <w:iCs/>
          <w:szCs w:val="24"/>
        </w:rPr>
        <w:t>Esping</w:t>
      </w:r>
      <w:proofErr w:type="spellEnd"/>
      <w:r w:rsidRPr="00353650">
        <w:rPr>
          <w:rFonts w:asciiTheme="minorHAnsi" w:hAnsiTheme="minorHAnsi" w:cstheme="minorHAnsi"/>
          <w:iCs/>
          <w:szCs w:val="24"/>
        </w:rPr>
        <w:t>-Andersen, G. O. (1990). The three worlds of welfare capitalism. Blackwell Publishing Ltd, Cambridge.</w:t>
      </w:r>
    </w:p>
    <w:p w:rsidR="002B5706" w:rsidRDefault="002B5706" w:rsidP="00A4482E">
      <w:pPr>
        <w:autoSpaceDE w:val="0"/>
        <w:autoSpaceDN w:val="0"/>
        <w:adjustRightInd w:val="0"/>
        <w:spacing w:after="0"/>
        <w:ind w:left="284" w:hanging="284"/>
        <w:rPr>
          <w:rFonts w:asciiTheme="minorHAnsi" w:hAnsiTheme="minorHAnsi" w:cstheme="minorHAnsi"/>
          <w:iCs/>
          <w:szCs w:val="24"/>
        </w:rPr>
      </w:pPr>
      <w:r w:rsidRPr="00FA72D9">
        <w:rPr>
          <w:rFonts w:asciiTheme="minorHAnsi" w:hAnsiTheme="minorHAnsi" w:cstheme="minorHAnsi"/>
          <w:iCs/>
          <w:szCs w:val="24"/>
          <w:lang w:val="sv-SE"/>
        </w:rPr>
        <w:t xml:space="preserve">Grönlund, A., Halldén, K., &amp; Magnusson, C. (2017). </w:t>
      </w:r>
      <w:proofErr w:type="gramStart"/>
      <w:r w:rsidRPr="002B5706">
        <w:rPr>
          <w:rFonts w:asciiTheme="minorHAnsi" w:hAnsiTheme="minorHAnsi" w:cstheme="minorHAnsi"/>
          <w:iCs/>
          <w:szCs w:val="24"/>
        </w:rPr>
        <w:t>A Scandinavian success story?</w:t>
      </w:r>
      <w:proofErr w:type="gramEnd"/>
      <w:r w:rsidRPr="002B5706">
        <w:rPr>
          <w:rFonts w:asciiTheme="minorHAnsi" w:hAnsiTheme="minorHAnsi" w:cstheme="minorHAnsi"/>
          <w:iCs/>
          <w:szCs w:val="24"/>
        </w:rPr>
        <w:t xml:space="preserve"> Women’s labour market outcomes in Denmark, Finland, Norway and Sweden. </w:t>
      </w:r>
      <w:proofErr w:type="spellStart"/>
      <w:r w:rsidRPr="002B5706">
        <w:rPr>
          <w:rFonts w:asciiTheme="minorHAnsi" w:hAnsiTheme="minorHAnsi" w:cstheme="minorHAnsi"/>
          <w:iCs/>
          <w:szCs w:val="24"/>
        </w:rPr>
        <w:t>Acta</w:t>
      </w:r>
      <w:proofErr w:type="spellEnd"/>
      <w:r w:rsidRPr="002B5706">
        <w:rPr>
          <w:rFonts w:asciiTheme="minorHAnsi" w:hAnsiTheme="minorHAnsi" w:cstheme="minorHAnsi"/>
          <w:iCs/>
          <w:szCs w:val="24"/>
        </w:rPr>
        <w:t xml:space="preserve"> </w:t>
      </w:r>
      <w:proofErr w:type="spellStart"/>
      <w:r w:rsidRPr="002B5706">
        <w:rPr>
          <w:rFonts w:asciiTheme="minorHAnsi" w:hAnsiTheme="minorHAnsi" w:cstheme="minorHAnsi"/>
          <w:iCs/>
          <w:szCs w:val="24"/>
        </w:rPr>
        <w:t>Sociologica</w:t>
      </w:r>
      <w:proofErr w:type="spellEnd"/>
      <w:r w:rsidRPr="002B5706">
        <w:rPr>
          <w:rFonts w:asciiTheme="minorHAnsi" w:hAnsiTheme="minorHAnsi" w:cstheme="minorHAnsi"/>
          <w:iCs/>
          <w:szCs w:val="24"/>
        </w:rPr>
        <w:t>, 60(2), 97-119.</w:t>
      </w:r>
    </w:p>
    <w:p w:rsidR="008E1B26" w:rsidRPr="00A4482E" w:rsidRDefault="008E1B26" w:rsidP="00A4482E">
      <w:pPr>
        <w:autoSpaceDE w:val="0"/>
        <w:autoSpaceDN w:val="0"/>
        <w:adjustRightInd w:val="0"/>
        <w:spacing w:after="0"/>
        <w:ind w:left="284" w:hanging="284"/>
        <w:rPr>
          <w:rFonts w:asciiTheme="minorHAnsi" w:hAnsiTheme="minorHAnsi" w:cstheme="minorHAnsi"/>
          <w:iCs/>
          <w:szCs w:val="24"/>
        </w:rPr>
      </w:pPr>
      <w:proofErr w:type="spellStart"/>
      <w:r w:rsidRPr="00D201A8">
        <w:rPr>
          <w:rFonts w:asciiTheme="minorHAnsi" w:hAnsiTheme="minorHAnsi" w:cstheme="minorHAnsi"/>
          <w:iCs/>
          <w:szCs w:val="24"/>
        </w:rPr>
        <w:lastRenderedPageBreak/>
        <w:t>Guichard</w:t>
      </w:r>
      <w:proofErr w:type="spellEnd"/>
      <w:r w:rsidRPr="00D201A8">
        <w:rPr>
          <w:rFonts w:asciiTheme="minorHAnsi" w:hAnsiTheme="minorHAnsi" w:cstheme="minorHAnsi"/>
          <w:iCs/>
          <w:szCs w:val="24"/>
        </w:rPr>
        <w:t xml:space="preserve">, S., &amp; </w:t>
      </w:r>
      <w:proofErr w:type="spellStart"/>
      <w:r w:rsidRPr="00D201A8">
        <w:rPr>
          <w:rFonts w:asciiTheme="minorHAnsi" w:hAnsiTheme="minorHAnsi" w:cstheme="minorHAnsi"/>
          <w:iCs/>
          <w:szCs w:val="24"/>
        </w:rPr>
        <w:t>Rusticelli</w:t>
      </w:r>
      <w:proofErr w:type="spellEnd"/>
      <w:r w:rsidRPr="00D201A8">
        <w:rPr>
          <w:rFonts w:asciiTheme="minorHAnsi" w:hAnsiTheme="minorHAnsi" w:cstheme="minorHAnsi"/>
          <w:iCs/>
          <w:szCs w:val="24"/>
        </w:rPr>
        <w:t>, E. (2010). Assessing the impact of the financial crisis on structural unemployment in OECD countries.</w:t>
      </w:r>
    </w:p>
    <w:p w:rsidR="008E1B26" w:rsidRDefault="008E1B26" w:rsidP="00416F5F">
      <w:pPr>
        <w:autoSpaceDE w:val="0"/>
        <w:autoSpaceDN w:val="0"/>
        <w:adjustRightInd w:val="0"/>
        <w:spacing w:after="0"/>
        <w:ind w:left="284" w:hanging="284"/>
        <w:rPr>
          <w:rFonts w:asciiTheme="minorHAnsi" w:hAnsiTheme="minorHAnsi" w:cstheme="minorHAnsi"/>
          <w:iCs/>
          <w:szCs w:val="24"/>
        </w:rPr>
      </w:pPr>
      <w:r w:rsidRPr="00353650">
        <w:rPr>
          <w:rFonts w:asciiTheme="minorHAnsi" w:hAnsiTheme="minorHAnsi" w:cstheme="minorHAnsi"/>
          <w:iCs/>
          <w:szCs w:val="24"/>
        </w:rPr>
        <w:t>Hall, P. A. (2001). Varieties of capitalism: The institutional foundations of comparative advantage. D. W. Soskice (Ed.). Oxford: Oxford University Press.</w:t>
      </w:r>
    </w:p>
    <w:p w:rsidR="002B5706" w:rsidRDefault="002B5706" w:rsidP="00A4482E">
      <w:pPr>
        <w:autoSpaceDE w:val="0"/>
        <w:autoSpaceDN w:val="0"/>
        <w:adjustRightInd w:val="0"/>
        <w:spacing w:after="0"/>
        <w:ind w:left="284" w:hanging="284"/>
        <w:rPr>
          <w:rFonts w:asciiTheme="minorHAnsi" w:hAnsiTheme="minorHAnsi" w:cstheme="minorHAnsi"/>
          <w:iCs/>
          <w:szCs w:val="24"/>
        </w:rPr>
      </w:pPr>
      <w:r w:rsidRPr="00FA72D9">
        <w:rPr>
          <w:rFonts w:asciiTheme="minorHAnsi" w:hAnsiTheme="minorHAnsi" w:cstheme="minorHAnsi"/>
          <w:iCs/>
          <w:szCs w:val="24"/>
          <w:lang w:val="it-IT"/>
        </w:rPr>
        <w:t xml:space="preserve">Hijzen A., Monduato L. &amp; Scarpetta S. (2017). </w:t>
      </w:r>
      <w:r w:rsidRPr="002B5706">
        <w:rPr>
          <w:rFonts w:asciiTheme="minorHAnsi" w:hAnsiTheme="minorHAnsi" w:cstheme="minorHAnsi"/>
          <w:iCs/>
          <w:szCs w:val="24"/>
        </w:rPr>
        <w:t xml:space="preserve">The impact of employment protection on temporary employment: Evidence from a regression discontinuity design. Labour Economics, 46, 64-76. </w:t>
      </w:r>
    </w:p>
    <w:p w:rsidR="008E1B26" w:rsidRPr="00A4482E" w:rsidRDefault="008E1B26" w:rsidP="00A4482E">
      <w:pPr>
        <w:autoSpaceDE w:val="0"/>
        <w:autoSpaceDN w:val="0"/>
        <w:adjustRightInd w:val="0"/>
        <w:spacing w:after="0"/>
        <w:ind w:left="284" w:hanging="284"/>
        <w:rPr>
          <w:rFonts w:asciiTheme="minorHAnsi" w:hAnsiTheme="minorHAnsi" w:cstheme="minorHAnsi"/>
          <w:iCs/>
          <w:szCs w:val="24"/>
        </w:rPr>
      </w:pPr>
      <w:r w:rsidRPr="00D201A8">
        <w:rPr>
          <w:rFonts w:asciiTheme="minorHAnsi" w:hAnsiTheme="minorHAnsi" w:cstheme="minorHAnsi"/>
          <w:iCs/>
          <w:szCs w:val="24"/>
        </w:rPr>
        <w:t>Kelly, E. and McGuinness, S. (2015). "Impact of the Great Recession on unemployed and NEET individuals’ labour market transitions in Ireland", Economic Systems, 39(1), 59–71.</w:t>
      </w:r>
    </w:p>
    <w:p w:rsidR="008E1B26" w:rsidRPr="00A4482E" w:rsidRDefault="008E1B26" w:rsidP="00A4482E">
      <w:pPr>
        <w:autoSpaceDE w:val="0"/>
        <w:autoSpaceDN w:val="0"/>
        <w:adjustRightInd w:val="0"/>
        <w:spacing w:after="0"/>
        <w:ind w:left="284" w:hanging="284"/>
        <w:rPr>
          <w:rFonts w:asciiTheme="minorHAnsi" w:hAnsiTheme="minorHAnsi" w:cstheme="minorHAnsi"/>
          <w:iCs/>
          <w:szCs w:val="24"/>
        </w:rPr>
      </w:pPr>
      <w:proofErr w:type="spellStart"/>
      <w:r>
        <w:rPr>
          <w:rFonts w:asciiTheme="minorHAnsi" w:hAnsiTheme="minorHAnsi" w:cstheme="minorHAnsi"/>
          <w:iCs/>
          <w:szCs w:val="24"/>
        </w:rPr>
        <w:t>Kilponen</w:t>
      </w:r>
      <w:proofErr w:type="spellEnd"/>
      <w:r>
        <w:rPr>
          <w:rFonts w:asciiTheme="minorHAnsi" w:hAnsiTheme="minorHAnsi" w:cstheme="minorHAnsi"/>
          <w:iCs/>
          <w:szCs w:val="24"/>
        </w:rPr>
        <w:t xml:space="preserve"> J. and </w:t>
      </w:r>
      <w:proofErr w:type="spellStart"/>
      <w:r w:rsidRPr="00A4482E">
        <w:rPr>
          <w:rFonts w:asciiTheme="minorHAnsi" w:hAnsiTheme="minorHAnsi" w:cstheme="minorHAnsi"/>
          <w:iCs/>
          <w:szCs w:val="24"/>
        </w:rPr>
        <w:t>Vanhala</w:t>
      </w:r>
      <w:proofErr w:type="spellEnd"/>
      <w:r w:rsidRPr="00A4482E">
        <w:rPr>
          <w:rFonts w:asciiTheme="minorHAnsi" w:hAnsiTheme="minorHAnsi" w:cstheme="minorHAnsi"/>
          <w:iCs/>
          <w:szCs w:val="24"/>
        </w:rPr>
        <w:t xml:space="preserve"> </w:t>
      </w:r>
      <w:r>
        <w:rPr>
          <w:rFonts w:asciiTheme="minorHAnsi" w:hAnsiTheme="minorHAnsi" w:cstheme="minorHAnsi"/>
          <w:iCs/>
          <w:szCs w:val="24"/>
        </w:rPr>
        <w:t xml:space="preserve">J. </w:t>
      </w:r>
      <w:r w:rsidRPr="00A4482E">
        <w:rPr>
          <w:rFonts w:asciiTheme="minorHAnsi" w:hAnsiTheme="minorHAnsi" w:cstheme="minorHAnsi"/>
          <w:iCs/>
          <w:szCs w:val="24"/>
        </w:rPr>
        <w:t>(2009)</w:t>
      </w:r>
      <w:r>
        <w:rPr>
          <w:rFonts w:asciiTheme="minorHAnsi" w:hAnsiTheme="minorHAnsi" w:cstheme="minorHAnsi"/>
          <w:iCs/>
          <w:szCs w:val="24"/>
        </w:rPr>
        <w:t xml:space="preserve">, Productivity and Job Flows: heterogeneity of new hires and continuing jobs in the business cycle, ECB Working Paper No1080, ECB. </w:t>
      </w:r>
      <w:r w:rsidRPr="00A4482E">
        <w:rPr>
          <w:rFonts w:asciiTheme="minorHAnsi" w:hAnsiTheme="minorHAnsi" w:cstheme="minorHAnsi"/>
          <w:iCs/>
          <w:szCs w:val="24"/>
        </w:rPr>
        <w:t xml:space="preserve"> </w:t>
      </w:r>
    </w:p>
    <w:p w:rsidR="008E1B26" w:rsidRPr="00353650" w:rsidRDefault="008E1B26" w:rsidP="00FA3F88">
      <w:pPr>
        <w:autoSpaceDE w:val="0"/>
        <w:autoSpaceDN w:val="0"/>
        <w:adjustRightInd w:val="0"/>
        <w:spacing w:after="0"/>
        <w:ind w:left="284" w:hanging="284"/>
        <w:rPr>
          <w:rFonts w:asciiTheme="minorHAnsi" w:hAnsiTheme="minorHAnsi" w:cstheme="minorHAnsi"/>
          <w:iCs/>
          <w:szCs w:val="24"/>
        </w:rPr>
      </w:pPr>
      <w:r w:rsidRPr="00353650">
        <w:rPr>
          <w:rFonts w:asciiTheme="minorHAnsi" w:hAnsiTheme="minorHAnsi" w:cstheme="minorHAnsi"/>
          <w:iCs/>
          <w:szCs w:val="24"/>
        </w:rPr>
        <w:t xml:space="preserve">Macchiarelli C., V. Monastiriotis and N. Lampropoulou (2018), “Transitions in the EU labour market: Structure, crisis and recovery”, Report </w:t>
      </w:r>
      <w:r>
        <w:rPr>
          <w:rFonts w:asciiTheme="minorHAnsi" w:hAnsiTheme="minorHAnsi" w:cstheme="minorHAnsi"/>
          <w:iCs/>
          <w:szCs w:val="24"/>
        </w:rPr>
        <w:t xml:space="preserve">to the </w:t>
      </w:r>
      <w:r w:rsidRPr="00353650">
        <w:rPr>
          <w:rFonts w:asciiTheme="minorHAnsi" w:hAnsiTheme="minorHAnsi" w:cstheme="minorHAnsi"/>
          <w:iCs/>
          <w:szCs w:val="24"/>
        </w:rPr>
        <w:t>DG-EMPL, European Commission.</w:t>
      </w:r>
    </w:p>
    <w:p w:rsidR="002B5706" w:rsidRDefault="002B5706" w:rsidP="00A4482E">
      <w:pPr>
        <w:autoSpaceDE w:val="0"/>
        <w:autoSpaceDN w:val="0"/>
        <w:adjustRightInd w:val="0"/>
        <w:spacing w:after="0"/>
        <w:ind w:left="284" w:hanging="284"/>
        <w:rPr>
          <w:rFonts w:asciiTheme="minorHAnsi" w:hAnsiTheme="minorHAnsi" w:cstheme="minorHAnsi"/>
          <w:iCs/>
          <w:szCs w:val="24"/>
        </w:rPr>
      </w:pPr>
      <w:proofErr w:type="spellStart"/>
      <w:r w:rsidRPr="002B5706">
        <w:rPr>
          <w:rFonts w:asciiTheme="minorHAnsi" w:hAnsiTheme="minorHAnsi" w:cstheme="minorHAnsi"/>
          <w:iCs/>
          <w:szCs w:val="24"/>
        </w:rPr>
        <w:t>Marinescu</w:t>
      </w:r>
      <w:proofErr w:type="spellEnd"/>
      <w:r w:rsidRPr="002B5706">
        <w:rPr>
          <w:rFonts w:asciiTheme="minorHAnsi" w:hAnsiTheme="minorHAnsi" w:cstheme="minorHAnsi"/>
          <w:iCs/>
          <w:szCs w:val="24"/>
        </w:rPr>
        <w:t xml:space="preserve"> I. (2017). The general equilibrium impacts of unemployment insurance: Evidence from a large online job board. Journal of Public Economics, 150, 14-29.</w:t>
      </w:r>
    </w:p>
    <w:p w:rsidR="008E1B26" w:rsidRPr="00A4482E" w:rsidRDefault="008E1B26" w:rsidP="00A4482E">
      <w:pPr>
        <w:autoSpaceDE w:val="0"/>
        <w:autoSpaceDN w:val="0"/>
        <w:adjustRightInd w:val="0"/>
        <w:spacing w:after="0"/>
        <w:ind w:left="284" w:hanging="284"/>
        <w:rPr>
          <w:rFonts w:asciiTheme="minorHAnsi" w:hAnsiTheme="minorHAnsi" w:cstheme="minorHAnsi"/>
          <w:iCs/>
          <w:szCs w:val="24"/>
        </w:rPr>
      </w:pPr>
      <w:r w:rsidRPr="00FA72D9">
        <w:rPr>
          <w:rFonts w:asciiTheme="minorHAnsi" w:hAnsiTheme="minorHAnsi" w:cstheme="minorHAnsi"/>
          <w:iCs/>
          <w:szCs w:val="24"/>
          <w:lang w:val="sv-SE"/>
        </w:rPr>
        <w:t xml:space="preserve">Marston, S. T., Feldstein, M., &amp; Hymans, S. H. (1976). </w:t>
      </w:r>
      <w:r w:rsidRPr="00D201A8">
        <w:rPr>
          <w:rFonts w:asciiTheme="minorHAnsi" w:hAnsiTheme="minorHAnsi" w:cstheme="minorHAnsi"/>
          <w:iCs/>
          <w:szCs w:val="24"/>
        </w:rPr>
        <w:t>Employment instability and high unemployment rates. Brookings Papers on Economic Activity, 1976(1), 169-210.</w:t>
      </w:r>
    </w:p>
    <w:p w:rsidR="008E1B26" w:rsidRPr="00A4482E" w:rsidRDefault="008E1B26" w:rsidP="00A4482E">
      <w:pPr>
        <w:autoSpaceDE w:val="0"/>
        <w:autoSpaceDN w:val="0"/>
        <w:adjustRightInd w:val="0"/>
        <w:spacing w:after="0"/>
        <w:ind w:left="284" w:hanging="284"/>
        <w:rPr>
          <w:rFonts w:asciiTheme="minorHAnsi" w:hAnsiTheme="minorHAnsi" w:cstheme="minorHAnsi"/>
          <w:iCs/>
          <w:szCs w:val="24"/>
        </w:rPr>
      </w:pPr>
      <w:r w:rsidRPr="00D201A8">
        <w:rPr>
          <w:rFonts w:asciiTheme="minorHAnsi" w:hAnsiTheme="minorHAnsi" w:cstheme="minorHAnsi"/>
          <w:iCs/>
          <w:szCs w:val="24"/>
        </w:rPr>
        <w:t xml:space="preserve">Mauro, J. and Mitra, S. (2015). “Understanding Out-of-Work and Out-of-School Youth in Europe and Central Asia“, World Bank Other Operational Studies 22806, </w:t>
      </w:r>
      <w:proofErr w:type="gramStart"/>
      <w:r w:rsidRPr="00D201A8">
        <w:rPr>
          <w:rFonts w:asciiTheme="minorHAnsi" w:hAnsiTheme="minorHAnsi" w:cstheme="minorHAnsi"/>
          <w:iCs/>
          <w:szCs w:val="24"/>
        </w:rPr>
        <w:t>The</w:t>
      </w:r>
      <w:proofErr w:type="gramEnd"/>
      <w:r w:rsidRPr="00D201A8">
        <w:rPr>
          <w:rFonts w:asciiTheme="minorHAnsi" w:hAnsiTheme="minorHAnsi" w:cstheme="minorHAnsi"/>
          <w:iCs/>
          <w:szCs w:val="24"/>
        </w:rPr>
        <w:t xml:space="preserve"> World Bank. </w:t>
      </w:r>
    </w:p>
    <w:p w:rsidR="002B5706" w:rsidRDefault="002B5706" w:rsidP="00807DEF">
      <w:pPr>
        <w:autoSpaceDE w:val="0"/>
        <w:autoSpaceDN w:val="0"/>
        <w:adjustRightInd w:val="0"/>
        <w:spacing w:after="0"/>
        <w:ind w:left="284" w:hanging="284"/>
        <w:rPr>
          <w:rFonts w:asciiTheme="minorHAnsi" w:hAnsiTheme="minorHAnsi" w:cstheme="minorHAnsi"/>
          <w:iCs/>
          <w:szCs w:val="24"/>
        </w:rPr>
      </w:pPr>
      <w:r w:rsidRPr="002B5706">
        <w:rPr>
          <w:rFonts w:asciiTheme="minorHAnsi" w:hAnsiTheme="minorHAnsi" w:cstheme="minorHAnsi"/>
          <w:iCs/>
          <w:szCs w:val="24"/>
        </w:rPr>
        <w:t xml:space="preserve">Monastiriotis, V. (2007). Labour Market Flexibility in UK Regions, 1979-1998. Area, 39(3), 310-322. </w:t>
      </w:r>
    </w:p>
    <w:p w:rsidR="00807DEF" w:rsidRDefault="00807DEF" w:rsidP="00807DEF">
      <w:pPr>
        <w:autoSpaceDE w:val="0"/>
        <w:autoSpaceDN w:val="0"/>
        <w:adjustRightInd w:val="0"/>
        <w:spacing w:after="0"/>
        <w:ind w:left="284" w:hanging="284"/>
        <w:rPr>
          <w:rFonts w:asciiTheme="minorHAnsi" w:hAnsiTheme="minorHAnsi" w:cstheme="minorHAnsi"/>
          <w:iCs/>
          <w:szCs w:val="24"/>
        </w:rPr>
      </w:pPr>
      <w:r>
        <w:rPr>
          <w:rFonts w:asciiTheme="minorHAnsi" w:hAnsiTheme="minorHAnsi" w:cstheme="minorHAnsi"/>
          <w:iCs/>
          <w:szCs w:val="24"/>
        </w:rPr>
        <w:t>Monastiriotis</w:t>
      </w:r>
      <w:r w:rsidR="002B5706">
        <w:rPr>
          <w:rFonts w:asciiTheme="minorHAnsi" w:hAnsiTheme="minorHAnsi" w:cstheme="minorHAnsi"/>
          <w:iCs/>
          <w:szCs w:val="24"/>
        </w:rPr>
        <w:t>,</w:t>
      </w:r>
      <w:r>
        <w:rPr>
          <w:rFonts w:asciiTheme="minorHAnsi" w:hAnsiTheme="minorHAnsi" w:cstheme="minorHAnsi"/>
          <w:iCs/>
          <w:szCs w:val="24"/>
        </w:rPr>
        <w:t xml:space="preserve"> V. (2018)</w:t>
      </w:r>
      <w:r w:rsidR="002B5706">
        <w:rPr>
          <w:rFonts w:asciiTheme="minorHAnsi" w:hAnsiTheme="minorHAnsi" w:cstheme="minorHAnsi"/>
          <w:iCs/>
          <w:szCs w:val="24"/>
        </w:rPr>
        <w:t>.</w:t>
      </w:r>
      <w:r>
        <w:rPr>
          <w:rFonts w:asciiTheme="minorHAnsi" w:hAnsiTheme="minorHAnsi" w:cstheme="minorHAnsi"/>
          <w:iCs/>
          <w:szCs w:val="24"/>
        </w:rPr>
        <w:t xml:space="preserve"> </w:t>
      </w:r>
      <w:r w:rsidRPr="00807DEF">
        <w:rPr>
          <w:rFonts w:asciiTheme="minorHAnsi" w:hAnsiTheme="minorHAnsi" w:cstheme="minorHAnsi"/>
          <w:iCs/>
          <w:szCs w:val="24"/>
        </w:rPr>
        <w:t>Labour market adjustments during the crisis and the role of flexibility</w:t>
      </w:r>
      <w:r w:rsidR="002B5706">
        <w:rPr>
          <w:rFonts w:asciiTheme="minorHAnsi" w:hAnsiTheme="minorHAnsi" w:cstheme="minorHAnsi"/>
          <w:iCs/>
          <w:szCs w:val="24"/>
        </w:rPr>
        <w:t>.</w:t>
      </w:r>
      <w:r>
        <w:rPr>
          <w:rFonts w:asciiTheme="minorHAnsi" w:hAnsiTheme="minorHAnsi" w:cstheme="minorHAnsi"/>
          <w:iCs/>
          <w:szCs w:val="24"/>
        </w:rPr>
        <w:t xml:space="preserve"> Social Situation Monitor Research Note (May 2018), </w:t>
      </w:r>
      <w:r w:rsidRPr="00807DEF">
        <w:rPr>
          <w:rFonts w:asciiTheme="minorHAnsi" w:hAnsiTheme="minorHAnsi" w:cstheme="minorHAnsi"/>
          <w:iCs/>
          <w:szCs w:val="24"/>
        </w:rPr>
        <w:t>Directorate-General for Employment, Social Affairs and Inclusion</w:t>
      </w:r>
      <w:r>
        <w:rPr>
          <w:rFonts w:asciiTheme="minorHAnsi" w:hAnsiTheme="minorHAnsi" w:cstheme="minorHAnsi"/>
          <w:iCs/>
          <w:szCs w:val="24"/>
        </w:rPr>
        <w:t xml:space="preserve">, Brussels. </w:t>
      </w:r>
    </w:p>
    <w:p w:rsidR="008E1B26" w:rsidRDefault="008E1B26" w:rsidP="00A4482E">
      <w:pPr>
        <w:autoSpaceDE w:val="0"/>
        <w:autoSpaceDN w:val="0"/>
        <w:adjustRightInd w:val="0"/>
        <w:spacing w:after="0"/>
        <w:ind w:left="284" w:hanging="284"/>
        <w:rPr>
          <w:rFonts w:asciiTheme="minorHAnsi" w:hAnsiTheme="minorHAnsi" w:cstheme="minorHAnsi"/>
          <w:iCs/>
          <w:szCs w:val="24"/>
        </w:rPr>
      </w:pPr>
      <w:proofErr w:type="spellStart"/>
      <w:r w:rsidRPr="00D201A8">
        <w:rPr>
          <w:rFonts w:asciiTheme="minorHAnsi" w:hAnsiTheme="minorHAnsi" w:cstheme="minorHAnsi"/>
          <w:iCs/>
          <w:szCs w:val="24"/>
        </w:rPr>
        <w:t>Monfort</w:t>
      </w:r>
      <w:proofErr w:type="spellEnd"/>
      <w:r w:rsidRPr="00D201A8">
        <w:rPr>
          <w:rFonts w:asciiTheme="minorHAnsi" w:hAnsiTheme="minorHAnsi" w:cstheme="minorHAnsi"/>
          <w:iCs/>
          <w:szCs w:val="24"/>
        </w:rPr>
        <w:t xml:space="preserve">, P. (2008). Convergence of EU regions: Measures and evolution. Brussels: European Commission, Regional Policy. </w:t>
      </w:r>
    </w:p>
    <w:p w:rsidR="008E1B26" w:rsidRPr="00A4482E" w:rsidRDefault="008E1B26" w:rsidP="00A4482E">
      <w:pPr>
        <w:autoSpaceDE w:val="0"/>
        <w:autoSpaceDN w:val="0"/>
        <w:adjustRightInd w:val="0"/>
        <w:spacing w:after="0"/>
        <w:ind w:left="284" w:hanging="284"/>
        <w:rPr>
          <w:rFonts w:asciiTheme="minorHAnsi" w:hAnsiTheme="minorHAnsi" w:cstheme="minorHAnsi"/>
          <w:iCs/>
          <w:szCs w:val="24"/>
        </w:rPr>
      </w:pPr>
      <w:r w:rsidRPr="00FA72D9">
        <w:rPr>
          <w:rFonts w:asciiTheme="minorHAnsi" w:hAnsiTheme="minorHAnsi" w:cstheme="minorHAnsi"/>
          <w:iCs/>
          <w:szCs w:val="24"/>
          <w:lang w:val="it-IT"/>
        </w:rPr>
        <w:t xml:space="preserve">Petrongolo, B., &amp; Pissarides, C. A. (2008). </w:t>
      </w:r>
      <w:r w:rsidRPr="00D201A8">
        <w:rPr>
          <w:rFonts w:asciiTheme="minorHAnsi" w:hAnsiTheme="minorHAnsi" w:cstheme="minorHAnsi"/>
          <w:iCs/>
          <w:szCs w:val="24"/>
        </w:rPr>
        <w:t>The ins and outs of European unemployment. American economic review, 98(2), 256-62.</w:t>
      </w:r>
    </w:p>
    <w:p w:rsidR="008E1B26" w:rsidRDefault="008E1B26" w:rsidP="00416F5F">
      <w:pPr>
        <w:autoSpaceDE w:val="0"/>
        <w:autoSpaceDN w:val="0"/>
        <w:adjustRightInd w:val="0"/>
        <w:spacing w:after="0"/>
        <w:ind w:left="284" w:hanging="284"/>
        <w:rPr>
          <w:rFonts w:asciiTheme="minorHAnsi" w:hAnsiTheme="minorHAnsi" w:cstheme="minorHAnsi"/>
          <w:iCs/>
          <w:szCs w:val="24"/>
        </w:rPr>
      </w:pPr>
      <w:r w:rsidRPr="00416F5F">
        <w:rPr>
          <w:rFonts w:asciiTheme="minorHAnsi" w:hAnsiTheme="minorHAnsi" w:cstheme="minorHAnsi"/>
          <w:iCs/>
          <w:szCs w:val="24"/>
        </w:rPr>
        <w:t xml:space="preserve">Picot, G., &amp; </w:t>
      </w:r>
      <w:proofErr w:type="spellStart"/>
      <w:r w:rsidRPr="00416F5F">
        <w:rPr>
          <w:rFonts w:asciiTheme="minorHAnsi" w:hAnsiTheme="minorHAnsi" w:cstheme="minorHAnsi"/>
          <w:iCs/>
          <w:szCs w:val="24"/>
        </w:rPr>
        <w:t>Tassinari</w:t>
      </w:r>
      <w:proofErr w:type="spellEnd"/>
      <w:r w:rsidRPr="00416F5F">
        <w:rPr>
          <w:rFonts w:asciiTheme="minorHAnsi" w:hAnsiTheme="minorHAnsi" w:cstheme="minorHAnsi"/>
          <w:iCs/>
          <w:szCs w:val="24"/>
        </w:rPr>
        <w:t xml:space="preserve">, A. (2014). Liberalization, dualization, or recalibration? </w:t>
      </w:r>
      <w:proofErr w:type="spellStart"/>
      <w:r w:rsidRPr="00416F5F">
        <w:rPr>
          <w:rFonts w:asciiTheme="minorHAnsi" w:hAnsiTheme="minorHAnsi" w:cstheme="minorHAnsi"/>
          <w:iCs/>
          <w:szCs w:val="24"/>
        </w:rPr>
        <w:t>Labor</w:t>
      </w:r>
      <w:proofErr w:type="spellEnd"/>
      <w:r w:rsidRPr="00416F5F">
        <w:rPr>
          <w:rFonts w:asciiTheme="minorHAnsi" w:hAnsiTheme="minorHAnsi" w:cstheme="minorHAnsi"/>
          <w:iCs/>
          <w:szCs w:val="24"/>
        </w:rPr>
        <w:t xml:space="preserve"> market reforms under austerity, Italy and Spain 2010–2012. </w:t>
      </w:r>
      <w:proofErr w:type="spellStart"/>
      <w:r>
        <w:rPr>
          <w:rFonts w:asciiTheme="minorHAnsi" w:hAnsiTheme="minorHAnsi" w:cstheme="minorHAnsi"/>
          <w:iCs/>
          <w:szCs w:val="24"/>
        </w:rPr>
        <w:t>Nuffiled</w:t>
      </w:r>
      <w:proofErr w:type="spellEnd"/>
      <w:r>
        <w:rPr>
          <w:rFonts w:asciiTheme="minorHAnsi" w:hAnsiTheme="minorHAnsi" w:cstheme="minorHAnsi"/>
          <w:iCs/>
          <w:szCs w:val="24"/>
        </w:rPr>
        <w:t xml:space="preserve"> College Working Paper Series in Politics No1741, Oxford University</w:t>
      </w:r>
      <w:r w:rsidRPr="00416F5F">
        <w:rPr>
          <w:rFonts w:asciiTheme="minorHAnsi" w:hAnsiTheme="minorHAnsi" w:cstheme="minorHAnsi"/>
          <w:iCs/>
          <w:szCs w:val="24"/>
        </w:rPr>
        <w:t>.</w:t>
      </w:r>
    </w:p>
    <w:p w:rsidR="002B5706" w:rsidRDefault="002B5706" w:rsidP="00A4482E">
      <w:pPr>
        <w:autoSpaceDE w:val="0"/>
        <w:autoSpaceDN w:val="0"/>
        <w:adjustRightInd w:val="0"/>
        <w:spacing w:after="0"/>
        <w:ind w:left="284" w:hanging="284"/>
        <w:rPr>
          <w:rFonts w:asciiTheme="minorHAnsi" w:hAnsiTheme="minorHAnsi" w:cstheme="minorHAnsi"/>
          <w:iCs/>
          <w:szCs w:val="24"/>
        </w:rPr>
      </w:pPr>
      <w:r w:rsidRPr="00FA72D9">
        <w:rPr>
          <w:rFonts w:asciiTheme="minorHAnsi" w:hAnsiTheme="minorHAnsi" w:cstheme="minorHAnsi"/>
          <w:iCs/>
          <w:szCs w:val="24"/>
          <w:lang w:val="it-IT"/>
        </w:rPr>
        <w:t xml:space="preserve">Sala H., Silva J. &amp; Toledo M. (2012). </w:t>
      </w:r>
      <w:r w:rsidRPr="002B5706">
        <w:rPr>
          <w:rFonts w:asciiTheme="minorHAnsi" w:hAnsiTheme="minorHAnsi" w:cstheme="minorHAnsi"/>
          <w:iCs/>
          <w:szCs w:val="24"/>
        </w:rPr>
        <w:t xml:space="preserve">Flexibility at the margin and </w:t>
      </w:r>
      <w:proofErr w:type="spellStart"/>
      <w:r w:rsidRPr="002B5706">
        <w:rPr>
          <w:rFonts w:asciiTheme="minorHAnsi" w:hAnsiTheme="minorHAnsi" w:cstheme="minorHAnsi"/>
          <w:iCs/>
          <w:szCs w:val="24"/>
        </w:rPr>
        <w:t>labor</w:t>
      </w:r>
      <w:proofErr w:type="spellEnd"/>
      <w:r w:rsidRPr="002B5706">
        <w:rPr>
          <w:rFonts w:asciiTheme="minorHAnsi" w:hAnsiTheme="minorHAnsi" w:cstheme="minorHAnsi"/>
          <w:iCs/>
          <w:szCs w:val="24"/>
        </w:rPr>
        <w:t xml:space="preserve"> market volatility in OECD countries. Scandinavian Journal of Economics, 114(3), 991-1017.</w:t>
      </w:r>
    </w:p>
    <w:p w:rsidR="008E1B26" w:rsidRPr="00A4482E" w:rsidRDefault="008E1B26" w:rsidP="00A4482E">
      <w:pPr>
        <w:autoSpaceDE w:val="0"/>
        <w:autoSpaceDN w:val="0"/>
        <w:adjustRightInd w:val="0"/>
        <w:spacing w:after="0"/>
        <w:ind w:left="284" w:hanging="284"/>
        <w:rPr>
          <w:rFonts w:asciiTheme="minorHAnsi" w:hAnsiTheme="minorHAnsi" w:cstheme="minorHAnsi"/>
          <w:iCs/>
          <w:szCs w:val="24"/>
        </w:rPr>
      </w:pPr>
      <w:r w:rsidRPr="00D201A8">
        <w:rPr>
          <w:rFonts w:asciiTheme="minorHAnsi" w:hAnsiTheme="minorHAnsi" w:cstheme="minorHAnsi"/>
          <w:iCs/>
          <w:szCs w:val="24"/>
        </w:rPr>
        <w:t>Sapir, A. (2006). Globalization and the reform of European social models. JCMS: Journal of Common Market Studies, 44(2), 369-390.</w:t>
      </w:r>
    </w:p>
    <w:p w:rsidR="008E1B26" w:rsidRPr="00A4482E" w:rsidRDefault="008E1B26" w:rsidP="00A4482E">
      <w:pPr>
        <w:autoSpaceDE w:val="0"/>
        <w:autoSpaceDN w:val="0"/>
        <w:adjustRightInd w:val="0"/>
        <w:spacing w:after="0"/>
        <w:ind w:left="284" w:hanging="284"/>
        <w:rPr>
          <w:rFonts w:asciiTheme="minorHAnsi" w:hAnsiTheme="minorHAnsi" w:cstheme="minorHAnsi"/>
          <w:iCs/>
          <w:szCs w:val="24"/>
        </w:rPr>
      </w:pPr>
      <w:proofErr w:type="spellStart"/>
      <w:r w:rsidRPr="00D201A8">
        <w:rPr>
          <w:rFonts w:asciiTheme="minorHAnsi" w:hAnsiTheme="minorHAnsi" w:cstheme="minorHAnsi"/>
          <w:iCs/>
          <w:szCs w:val="24"/>
        </w:rPr>
        <w:t>Shorrocks</w:t>
      </w:r>
      <w:proofErr w:type="spellEnd"/>
      <w:r w:rsidRPr="00D201A8">
        <w:rPr>
          <w:rFonts w:asciiTheme="minorHAnsi" w:hAnsiTheme="minorHAnsi" w:cstheme="minorHAnsi"/>
          <w:iCs/>
          <w:szCs w:val="24"/>
        </w:rPr>
        <w:t>, A. F., &amp; Foster, J. E. (1987). Transfer sensitive inequality measures. The Review of Economic Studies, 54(3), 485-497.</w:t>
      </w:r>
    </w:p>
    <w:p w:rsidR="008E1B26" w:rsidRPr="00A4482E" w:rsidRDefault="008E1B26" w:rsidP="00A4482E">
      <w:pPr>
        <w:autoSpaceDE w:val="0"/>
        <w:autoSpaceDN w:val="0"/>
        <w:adjustRightInd w:val="0"/>
        <w:spacing w:after="0"/>
        <w:ind w:left="284" w:hanging="284"/>
        <w:rPr>
          <w:rFonts w:asciiTheme="minorHAnsi" w:hAnsiTheme="minorHAnsi" w:cstheme="minorHAnsi"/>
          <w:iCs/>
          <w:szCs w:val="24"/>
        </w:rPr>
      </w:pPr>
      <w:proofErr w:type="spellStart"/>
      <w:r w:rsidRPr="00803597">
        <w:rPr>
          <w:rFonts w:asciiTheme="minorHAnsi" w:hAnsiTheme="minorHAnsi" w:cstheme="minorHAnsi"/>
          <w:iCs/>
          <w:szCs w:val="24"/>
        </w:rPr>
        <w:t>Theeuwes</w:t>
      </w:r>
      <w:proofErr w:type="spellEnd"/>
      <w:r w:rsidRPr="00803597">
        <w:rPr>
          <w:rFonts w:asciiTheme="minorHAnsi" w:hAnsiTheme="minorHAnsi" w:cstheme="minorHAnsi"/>
          <w:iCs/>
          <w:szCs w:val="24"/>
        </w:rPr>
        <w:t xml:space="preserve">, J., </w:t>
      </w:r>
      <w:proofErr w:type="spellStart"/>
      <w:r w:rsidRPr="00803597">
        <w:rPr>
          <w:rFonts w:asciiTheme="minorHAnsi" w:hAnsiTheme="minorHAnsi" w:cstheme="minorHAnsi"/>
          <w:iCs/>
          <w:szCs w:val="24"/>
        </w:rPr>
        <w:t>Kerkhofs</w:t>
      </w:r>
      <w:proofErr w:type="spellEnd"/>
      <w:r w:rsidRPr="00803597">
        <w:rPr>
          <w:rFonts w:asciiTheme="minorHAnsi" w:hAnsiTheme="minorHAnsi" w:cstheme="minorHAnsi"/>
          <w:iCs/>
          <w:szCs w:val="24"/>
        </w:rPr>
        <w:t xml:space="preserve">, M., &amp; </w:t>
      </w:r>
      <w:proofErr w:type="spellStart"/>
      <w:r w:rsidRPr="00803597">
        <w:rPr>
          <w:rFonts w:asciiTheme="minorHAnsi" w:hAnsiTheme="minorHAnsi" w:cstheme="minorHAnsi"/>
          <w:iCs/>
          <w:szCs w:val="24"/>
        </w:rPr>
        <w:t>Lindeboom</w:t>
      </w:r>
      <w:proofErr w:type="spellEnd"/>
      <w:r w:rsidRPr="00803597">
        <w:rPr>
          <w:rFonts w:asciiTheme="minorHAnsi" w:hAnsiTheme="minorHAnsi" w:cstheme="minorHAnsi"/>
          <w:iCs/>
          <w:szCs w:val="24"/>
        </w:rPr>
        <w:t>, M. (1990). Transition intensities in the Dutch labour market 1980–85. Applied Economics, 22(8), 1043-1061.</w:t>
      </w:r>
    </w:p>
    <w:p w:rsidR="008E1B26" w:rsidRDefault="008E1B26" w:rsidP="00FA3F88">
      <w:pPr>
        <w:autoSpaceDE w:val="0"/>
        <w:autoSpaceDN w:val="0"/>
        <w:adjustRightInd w:val="0"/>
        <w:spacing w:after="0"/>
        <w:ind w:left="284" w:hanging="284"/>
        <w:rPr>
          <w:rFonts w:asciiTheme="minorHAnsi" w:hAnsiTheme="minorHAnsi" w:cstheme="minorHAnsi"/>
          <w:iCs/>
          <w:szCs w:val="24"/>
        </w:rPr>
      </w:pPr>
      <w:r w:rsidRPr="00353650">
        <w:rPr>
          <w:rFonts w:asciiTheme="minorHAnsi" w:hAnsiTheme="minorHAnsi" w:cstheme="minorHAnsi"/>
          <w:iCs/>
          <w:szCs w:val="24"/>
        </w:rPr>
        <w:t>Ward-</w:t>
      </w:r>
      <w:proofErr w:type="spellStart"/>
      <w:r w:rsidRPr="00353650">
        <w:rPr>
          <w:rFonts w:asciiTheme="minorHAnsi" w:hAnsiTheme="minorHAnsi" w:cstheme="minorHAnsi"/>
          <w:iCs/>
          <w:szCs w:val="24"/>
        </w:rPr>
        <w:t>Warmedinger</w:t>
      </w:r>
      <w:proofErr w:type="spellEnd"/>
      <w:r w:rsidRPr="00353650">
        <w:rPr>
          <w:rFonts w:asciiTheme="minorHAnsi" w:hAnsiTheme="minorHAnsi" w:cstheme="minorHAnsi"/>
          <w:iCs/>
          <w:szCs w:val="24"/>
        </w:rPr>
        <w:t xml:space="preserve">, M., &amp; Macchiarelli, C. (2014). Transitions in labour market status in EU labour markets. IZA Journal of European </w:t>
      </w:r>
      <w:proofErr w:type="spellStart"/>
      <w:r w:rsidRPr="00353650">
        <w:rPr>
          <w:rFonts w:asciiTheme="minorHAnsi" w:hAnsiTheme="minorHAnsi" w:cstheme="minorHAnsi"/>
          <w:iCs/>
          <w:szCs w:val="24"/>
        </w:rPr>
        <w:t>Labor</w:t>
      </w:r>
      <w:proofErr w:type="spellEnd"/>
      <w:r w:rsidRPr="00353650">
        <w:rPr>
          <w:rFonts w:asciiTheme="minorHAnsi" w:hAnsiTheme="minorHAnsi" w:cstheme="minorHAnsi"/>
          <w:iCs/>
          <w:szCs w:val="24"/>
        </w:rPr>
        <w:t xml:space="preserve"> Studies, 3(1), 17.</w:t>
      </w:r>
    </w:p>
    <w:p w:rsidR="008E1B26" w:rsidRPr="00A4482E" w:rsidRDefault="008E1B26" w:rsidP="00A4482E">
      <w:pPr>
        <w:autoSpaceDE w:val="0"/>
        <w:autoSpaceDN w:val="0"/>
        <w:adjustRightInd w:val="0"/>
        <w:spacing w:after="0"/>
        <w:ind w:left="284" w:hanging="284"/>
        <w:rPr>
          <w:rFonts w:asciiTheme="minorHAnsi" w:hAnsiTheme="minorHAnsi" w:cstheme="minorHAnsi"/>
          <w:iCs/>
          <w:szCs w:val="24"/>
        </w:rPr>
      </w:pPr>
      <w:r w:rsidRPr="00E76337">
        <w:rPr>
          <w:rFonts w:asciiTheme="minorHAnsi" w:hAnsiTheme="minorHAnsi" w:cstheme="minorHAnsi"/>
          <w:iCs/>
          <w:szCs w:val="24"/>
        </w:rPr>
        <w:t xml:space="preserve">Zwick, H. S., Syed, S., &amp; Shah, A. (2016). Augmented </w:t>
      </w:r>
      <w:proofErr w:type="spellStart"/>
      <w:r w:rsidRPr="00E76337">
        <w:rPr>
          <w:rFonts w:asciiTheme="minorHAnsi" w:hAnsiTheme="minorHAnsi" w:cstheme="minorHAnsi"/>
          <w:iCs/>
          <w:szCs w:val="24"/>
        </w:rPr>
        <w:t>okun's</w:t>
      </w:r>
      <w:proofErr w:type="spellEnd"/>
      <w:r w:rsidRPr="00E76337">
        <w:rPr>
          <w:rFonts w:asciiTheme="minorHAnsi" w:hAnsiTheme="minorHAnsi" w:cstheme="minorHAnsi"/>
          <w:iCs/>
          <w:szCs w:val="24"/>
        </w:rPr>
        <w:t xml:space="preserve"> law within the emu: working-time or employment adjustment? a structural equation model. Economics Bulletin, 36(1), 440-448.</w:t>
      </w:r>
    </w:p>
    <w:p w:rsidR="00A4482E" w:rsidRPr="00353650" w:rsidRDefault="00A4482E" w:rsidP="00FA3F88">
      <w:pPr>
        <w:autoSpaceDE w:val="0"/>
        <w:autoSpaceDN w:val="0"/>
        <w:adjustRightInd w:val="0"/>
        <w:spacing w:after="0"/>
        <w:ind w:left="284" w:hanging="284"/>
        <w:rPr>
          <w:rFonts w:asciiTheme="minorHAnsi" w:hAnsiTheme="minorHAnsi" w:cstheme="minorHAnsi"/>
          <w:iCs/>
          <w:szCs w:val="24"/>
        </w:rPr>
      </w:pPr>
    </w:p>
    <w:p w:rsidR="00B573A1" w:rsidRDefault="00B573A1">
      <w:pPr>
        <w:spacing w:after="0"/>
        <w:jc w:val="left"/>
        <w:rPr>
          <w:rFonts w:asciiTheme="minorHAnsi" w:hAnsiTheme="minorHAnsi" w:cstheme="minorHAnsi"/>
          <w:b/>
          <w:iCs/>
          <w:szCs w:val="24"/>
        </w:rPr>
      </w:pPr>
      <w:r>
        <w:rPr>
          <w:rFonts w:asciiTheme="minorHAnsi" w:hAnsiTheme="minorHAnsi" w:cstheme="minorHAnsi"/>
          <w:b/>
          <w:iCs/>
          <w:szCs w:val="24"/>
        </w:rPr>
        <w:br w:type="page"/>
      </w:r>
    </w:p>
    <w:p w:rsidR="00B573A1" w:rsidRPr="009112AD" w:rsidRDefault="00B573A1" w:rsidP="00B573A1">
      <w:pPr>
        <w:rPr>
          <w:b/>
        </w:rPr>
      </w:pPr>
      <w:r w:rsidRPr="009112AD">
        <w:rPr>
          <w:b/>
        </w:rPr>
        <w:lastRenderedPageBreak/>
        <w:t>FIGURES AND TABLES</w:t>
      </w:r>
    </w:p>
    <w:p w:rsidR="00B573A1" w:rsidRDefault="00B573A1" w:rsidP="00B573A1"/>
    <w:p w:rsidR="00B573A1" w:rsidRDefault="00B573A1" w:rsidP="00B573A1"/>
    <w:p w:rsidR="00B573A1" w:rsidRDefault="00B573A1" w:rsidP="00B573A1"/>
    <w:p w:rsidR="00B573A1" w:rsidRPr="00353650" w:rsidRDefault="00B573A1" w:rsidP="00B573A1">
      <w:pPr>
        <w:spacing w:after="0"/>
        <w:rPr>
          <w:rFonts w:cstheme="minorHAnsi"/>
          <w:b/>
          <w:szCs w:val="24"/>
        </w:rPr>
      </w:pPr>
      <w:r w:rsidRPr="00353650">
        <w:rPr>
          <w:rFonts w:cstheme="minorHAnsi"/>
          <w:b/>
          <w:szCs w:val="24"/>
        </w:rPr>
        <w:t>Figure 1 – Unemployment rate in the EU</w:t>
      </w:r>
    </w:p>
    <w:p w:rsidR="00B573A1" w:rsidRPr="00531A0B" w:rsidRDefault="00B573A1" w:rsidP="00B573A1">
      <w:pPr>
        <w:spacing w:after="0"/>
        <w:jc w:val="center"/>
        <w:rPr>
          <w:rFonts w:cstheme="minorHAnsi"/>
          <w:szCs w:val="24"/>
        </w:rPr>
      </w:pPr>
      <w:r>
        <w:rPr>
          <w:noProof/>
          <w:lang w:eastAsia="en-GB"/>
        </w:rPr>
        <w:drawing>
          <wp:inline distT="0" distB="0" distL="0" distR="0" wp14:anchorId="3F1B3069" wp14:editId="111D00C7">
            <wp:extent cx="5772150" cy="21717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2150" cy="2171700"/>
                    </a:xfrm>
                    <a:prstGeom prst="rect">
                      <a:avLst/>
                    </a:prstGeom>
                    <a:noFill/>
                    <a:ln>
                      <a:noFill/>
                    </a:ln>
                  </pic:spPr>
                </pic:pic>
              </a:graphicData>
            </a:graphic>
          </wp:inline>
        </w:drawing>
      </w:r>
    </w:p>
    <w:p w:rsidR="00B573A1" w:rsidRPr="00FA3F88" w:rsidRDefault="00B573A1" w:rsidP="00B573A1">
      <w:pPr>
        <w:spacing w:after="0"/>
        <w:rPr>
          <w:rFonts w:cstheme="minorHAnsi"/>
          <w:sz w:val="20"/>
        </w:rPr>
      </w:pPr>
      <w:r w:rsidRPr="00FA3F88">
        <w:rPr>
          <w:rFonts w:cstheme="minorHAnsi"/>
          <w:i/>
          <w:sz w:val="20"/>
        </w:rPr>
        <w:t xml:space="preserve">Source: </w:t>
      </w:r>
      <w:r w:rsidRPr="00FA3F88">
        <w:rPr>
          <w:rFonts w:cstheme="minorHAnsi"/>
          <w:sz w:val="20"/>
        </w:rPr>
        <w:t>Eurostat data</w:t>
      </w:r>
    </w:p>
    <w:p w:rsidR="00B573A1" w:rsidRDefault="00B573A1" w:rsidP="00B573A1"/>
    <w:p w:rsidR="00B573A1" w:rsidRDefault="00B573A1" w:rsidP="00B573A1"/>
    <w:p w:rsidR="00B573A1" w:rsidRDefault="00B573A1" w:rsidP="00B573A1">
      <w:r>
        <w:br w:type="page"/>
      </w:r>
    </w:p>
    <w:p w:rsidR="00B573A1" w:rsidRDefault="00B573A1" w:rsidP="00B573A1"/>
    <w:p w:rsidR="00B573A1" w:rsidRPr="00353650" w:rsidRDefault="00B573A1" w:rsidP="00B573A1">
      <w:pPr>
        <w:spacing w:after="0"/>
        <w:rPr>
          <w:rFonts w:cstheme="minorHAnsi"/>
          <w:b/>
          <w:szCs w:val="24"/>
        </w:rPr>
      </w:pPr>
      <w:r w:rsidRPr="00353650">
        <w:rPr>
          <w:rFonts w:cstheme="minorHAnsi"/>
          <w:b/>
          <w:szCs w:val="24"/>
        </w:rPr>
        <w:t>Figure 2 – Changes in unemployment across the EU</w:t>
      </w:r>
    </w:p>
    <w:p w:rsidR="00B573A1" w:rsidRPr="00353650" w:rsidRDefault="00B573A1" w:rsidP="00B573A1">
      <w:pPr>
        <w:spacing w:after="0"/>
        <w:rPr>
          <w:rFonts w:cstheme="minorHAnsi"/>
          <w:szCs w:val="24"/>
        </w:rPr>
      </w:pPr>
      <w:r>
        <w:rPr>
          <w:noProof/>
          <w:lang w:eastAsia="en-GB"/>
        </w:rPr>
        <w:drawing>
          <wp:inline distT="0" distB="0" distL="0" distR="0" wp14:anchorId="20B39F3F" wp14:editId="25F0FC45">
            <wp:extent cx="1933342" cy="1620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933342" cy="1620000"/>
                    </a:xfrm>
                    <a:prstGeom prst="rect">
                      <a:avLst/>
                    </a:prstGeom>
                  </pic:spPr>
                </pic:pic>
              </a:graphicData>
            </a:graphic>
          </wp:inline>
        </w:drawing>
      </w:r>
      <w:r>
        <w:rPr>
          <w:noProof/>
          <w:lang w:eastAsia="en-GB"/>
        </w:rPr>
        <w:drawing>
          <wp:inline distT="0" distB="0" distL="0" distR="0" wp14:anchorId="290AA860" wp14:editId="18EA4564">
            <wp:extent cx="1897059" cy="1620000"/>
            <wp:effectExtent l="0" t="0" r="825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897059" cy="1620000"/>
                    </a:xfrm>
                    <a:prstGeom prst="rect">
                      <a:avLst/>
                    </a:prstGeom>
                  </pic:spPr>
                </pic:pic>
              </a:graphicData>
            </a:graphic>
          </wp:inline>
        </w:drawing>
      </w:r>
      <w:r>
        <w:rPr>
          <w:noProof/>
          <w:lang w:eastAsia="en-GB"/>
        </w:rPr>
        <w:drawing>
          <wp:inline distT="0" distB="0" distL="0" distR="0" wp14:anchorId="6E74D0FC" wp14:editId="12825494">
            <wp:extent cx="1934822" cy="1620000"/>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934822" cy="1620000"/>
                    </a:xfrm>
                    <a:prstGeom prst="rect">
                      <a:avLst/>
                    </a:prstGeom>
                  </pic:spPr>
                </pic:pic>
              </a:graphicData>
            </a:graphic>
          </wp:inline>
        </w:drawing>
      </w:r>
    </w:p>
    <w:p w:rsidR="00B573A1" w:rsidRPr="00531A0B" w:rsidRDefault="00B573A1" w:rsidP="00B573A1">
      <w:pPr>
        <w:spacing w:after="0"/>
        <w:jc w:val="center"/>
        <w:rPr>
          <w:rFonts w:cstheme="minorHAnsi"/>
          <w:i/>
          <w:szCs w:val="24"/>
          <w:lang w:val="it-IT"/>
        </w:rPr>
      </w:pPr>
      <w:r w:rsidRPr="00531A0B">
        <w:rPr>
          <w:rFonts w:cstheme="minorHAnsi"/>
          <w:i/>
          <w:szCs w:val="24"/>
          <w:lang w:val="it-IT"/>
        </w:rPr>
        <w:t>2004/06-2007/09</w:t>
      </w:r>
      <w:r w:rsidRPr="00531A0B">
        <w:rPr>
          <w:rFonts w:cstheme="minorHAnsi"/>
          <w:i/>
          <w:szCs w:val="24"/>
          <w:lang w:val="it-IT"/>
        </w:rPr>
        <w:tab/>
      </w:r>
      <w:r w:rsidRPr="00531A0B">
        <w:rPr>
          <w:rFonts w:cstheme="minorHAnsi"/>
          <w:i/>
          <w:szCs w:val="24"/>
          <w:lang w:val="it-IT"/>
        </w:rPr>
        <w:tab/>
        <w:t>2007/09-2010/12</w:t>
      </w:r>
      <w:r w:rsidRPr="00531A0B">
        <w:rPr>
          <w:rFonts w:cstheme="minorHAnsi"/>
          <w:i/>
          <w:szCs w:val="24"/>
          <w:lang w:val="it-IT"/>
        </w:rPr>
        <w:tab/>
      </w:r>
      <w:r w:rsidRPr="00531A0B">
        <w:rPr>
          <w:rFonts w:cstheme="minorHAnsi"/>
          <w:i/>
          <w:szCs w:val="24"/>
          <w:lang w:val="it-IT"/>
        </w:rPr>
        <w:tab/>
        <w:t>2010/12-2013/15</w:t>
      </w:r>
    </w:p>
    <w:p w:rsidR="00B573A1" w:rsidRPr="00531A0B" w:rsidRDefault="00B573A1" w:rsidP="00B573A1">
      <w:pPr>
        <w:spacing w:after="0"/>
        <w:rPr>
          <w:rFonts w:cstheme="minorHAnsi"/>
          <w:sz w:val="20"/>
          <w:lang w:val="it-IT"/>
        </w:rPr>
      </w:pPr>
      <w:r w:rsidRPr="00531A0B">
        <w:rPr>
          <w:rFonts w:cstheme="minorHAnsi"/>
          <w:i/>
          <w:sz w:val="20"/>
          <w:lang w:val="it-IT"/>
        </w:rPr>
        <w:t>Legend:</w:t>
      </w:r>
      <w:r w:rsidRPr="00531A0B">
        <w:rPr>
          <w:rFonts w:cstheme="minorHAnsi"/>
          <w:sz w:val="20"/>
          <w:lang w:val="it-IT"/>
        </w:rPr>
        <w:t xml:space="preserve"> </w:t>
      </w:r>
      <w:r w:rsidRPr="00A86B24">
        <w:rPr>
          <w:rFonts w:cstheme="minorHAnsi"/>
          <w:noProof/>
          <w:sz w:val="20"/>
          <w:lang w:eastAsia="en-GB"/>
        </w:rPr>
        <mc:AlternateContent>
          <mc:Choice Requires="wps">
            <w:drawing>
              <wp:inline distT="0" distB="0" distL="0" distR="0" wp14:anchorId="2CF35D00" wp14:editId="0F439B6D">
                <wp:extent cx="296883" cy="160317"/>
                <wp:effectExtent l="0" t="0" r="27305" b="11430"/>
                <wp:docPr id="16" name="Rectangle 16"/>
                <wp:cNvGraphicFramePr/>
                <a:graphic xmlns:a="http://schemas.openxmlformats.org/drawingml/2006/main">
                  <a:graphicData uri="http://schemas.microsoft.com/office/word/2010/wordprocessingShape">
                    <wps:wsp>
                      <wps:cNvSpPr/>
                      <wps:spPr>
                        <a:xfrm>
                          <a:off x="0" y="0"/>
                          <a:ext cx="296883" cy="160317"/>
                        </a:xfrm>
                        <a:prstGeom prst="rect">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6" o:spid="_x0000_s1026" style="width:23.4pt;height:12.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" fillcolor="black [3213]" strokecolor="black [3213]" strokeweight=".25pt">
                <w10:anchorlock/>
              </v:rect>
            </w:pict>
          </mc:Fallback>
        </mc:AlternateContent>
      </w:r>
      <w:r w:rsidRPr="00531A0B">
        <w:rPr>
          <w:rFonts w:cstheme="minorHAnsi"/>
          <w:sz w:val="20"/>
          <w:lang w:val="it-IT"/>
        </w:rPr>
        <w:t xml:space="preserve"> Top quantile; </w:t>
      </w:r>
      <w:r w:rsidRPr="00A86B24">
        <w:rPr>
          <w:rFonts w:cstheme="minorHAnsi"/>
          <w:noProof/>
          <w:sz w:val="20"/>
          <w:lang w:eastAsia="en-GB"/>
        </w:rPr>
        <mc:AlternateContent>
          <mc:Choice Requires="wps">
            <w:drawing>
              <wp:inline distT="0" distB="0" distL="0" distR="0" wp14:anchorId="2FAE5095" wp14:editId="4D562F82">
                <wp:extent cx="296883" cy="160317"/>
                <wp:effectExtent l="0" t="0" r="27305" b="11430"/>
                <wp:docPr id="17" name="Rectangle 17"/>
                <wp:cNvGraphicFramePr/>
                <a:graphic xmlns:a="http://schemas.openxmlformats.org/drawingml/2006/main">
                  <a:graphicData uri="http://schemas.microsoft.com/office/word/2010/wordprocessingShape">
                    <wps:wsp>
                      <wps:cNvSpPr/>
                      <wps:spPr>
                        <a:xfrm>
                          <a:off x="0" y="0"/>
                          <a:ext cx="296883" cy="160317"/>
                        </a:xfrm>
                        <a:prstGeom prst="rect">
                          <a:avLst/>
                        </a:prstGeom>
                        <a:pattFill prst="pct70">
                          <a:fgClr>
                            <a:schemeClr val="tx1"/>
                          </a:fgClr>
                          <a:bgClr>
                            <a:schemeClr val="bg1"/>
                          </a:bgClr>
                        </a:patt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7" o:spid="_x0000_s1026" style="width:23.4pt;height:12.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" fillcolor="black [3213]" strokecolor="black [3213]" strokeweight=".25pt">
                <v:fill r:id="rId18" o:title="" color2="white [3212]" type="pattern"/>
                <w10:anchorlock/>
              </v:rect>
            </w:pict>
          </mc:Fallback>
        </mc:AlternateContent>
      </w:r>
      <w:r w:rsidRPr="00531A0B">
        <w:rPr>
          <w:rFonts w:cstheme="minorHAnsi"/>
          <w:sz w:val="20"/>
          <w:lang w:val="it-IT"/>
        </w:rPr>
        <w:t xml:space="preserve"> 2</w:t>
      </w:r>
      <w:r w:rsidRPr="00531A0B">
        <w:rPr>
          <w:rFonts w:cstheme="minorHAnsi"/>
          <w:sz w:val="20"/>
          <w:vertAlign w:val="superscript"/>
          <w:lang w:val="it-IT"/>
        </w:rPr>
        <w:t>nd</w:t>
      </w:r>
      <w:r w:rsidRPr="00531A0B">
        <w:rPr>
          <w:rFonts w:cstheme="minorHAnsi"/>
          <w:sz w:val="20"/>
          <w:lang w:val="it-IT"/>
        </w:rPr>
        <w:t xml:space="preserve"> quantile;</w:t>
      </w:r>
      <w:r w:rsidRPr="00531A0B">
        <w:rPr>
          <w:rFonts w:cstheme="minorHAnsi"/>
          <w:noProof/>
          <w:sz w:val="20"/>
          <w:lang w:val="it-IT" w:eastAsia="en-GB"/>
        </w:rPr>
        <w:t xml:space="preserve"> </w:t>
      </w:r>
      <w:r w:rsidRPr="00A86B24">
        <w:rPr>
          <w:rFonts w:cstheme="minorHAnsi"/>
          <w:noProof/>
          <w:sz w:val="20"/>
          <w:lang w:eastAsia="en-GB"/>
        </w:rPr>
        <mc:AlternateContent>
          <mc:Choice Requires="wps">
            <w:drawing>
              <wp:inline distT="0" distB="0" distL="0" distR="0" wp14:anchorId="7E695DB9" wp14:editId="2B3D77B2">
                <wp:extent cx="296883" cy="160317"/>
                <wp:effectExtent l="0" t="0" r="27305" b="11430"/>
                <wp:docPr id="18" name="Rectangle 18"/>
                <wp:cNvGraphicFramePr/>
                <a:graphic xmlns:a="http://schemas.openxmlformats.org/drawingml/2006/main">
                  <a:graphicData uri="http://schemas.microsoft.com/office/word/2010/wordprocessingShape">
                    <wps:wsp>
                      <wps:cNvSpPr/>
                      <wps:spPr>
                        <a:xfrm>
                          <a:off x="0" y="0"/>
                          <a:ext cx="296883" cy="160317"/>
                        </a:xfrm>
                        <a:prstGeom prst="rect">
                          <a:avLst/>
                        </a:prstGeom>
                        <a:pattFill prst="pct25">
                          <a:fgClr>
                            <a:schemeClr val="tx1"/>
                          </a:fgClr>
                          <a:bgClr>
                            <a:schemeClr val="bg1"/>
                          </a:bgClr>
                        </a:patt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8" o:spid="_x0000_s1026" style="width:23.4pt;height:12.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" fillcolor="black [3213]" strokecolor="black [3213]" strokeweight=".25pt">
                <v:fill r:id="rId19" o:title="" color2="white [3212]" type="pattern"/>
                <w10:anchorlock/>
              </v:rect>
            </w:pict>
          </mc:Fallback>
        </mc:AlternateContent>
      </w:r>
      <w:r w:rsidRPr="00531A0B">
        <w:rPr>
          <w:rFonts w:cstheme="minorHAnsi"/>
          <w:noProof/>
          <w:sz w:val="20"/>
          <w:lang w:val="it-IT" w:eastAsia="en-GB"/>
        </w:rPr>
        <w:t xml:space="preserve"> 3</w:t>
      </w:r>
      <w:r w:rsidRPr="00531A0B">
        <w:rPr>
          <w:rFonts w:cstheme="minorHAnsi"/>
          <w:noProof/>
          <w:sz w:val="20"/>
          <w:vertAlign w:val="superscript"/>
          <w:lang w:val="it-IT" w:eastAsia="en-GB"/>
        </w:rPr>
        <w:t>rd</w:t>
      </w:r>
      <w:r w:rsidRPr="00531A0B">
        <w:rPr>
          <w:rFonts w:cstheme="minorHAnsi"/>
          <w:noProof/>
          <w:sz w:val="20"/>
          <w:lang w:val="it-IT" w:eastAsia="en-GB"/>
        </w:rPr>
        <w:t xml:space="preserve"> </w:t>
      </w:r>
      <w:r w:rsidRPr="00531A0B">
        <w:rPr>
          <w:rFonts w:cstheme="minorHAnsi"/>
          <w:sz w:val="20"/>
          <w:lang w:val="it-IT"/>
        </w:rPr>
        <w:t>quantile;</w:t>
      </w:r>
      <w:r w:rsidRPr="00531A0B">
        <w:rPr>
          <w:rFonts w:cstheme="minorHAnsi"/>
          <w:noProof/>
          <w:sz w:val="20"/>
          <w:lang w:val="it-IT" w:eastAsia="en-GB"/>
        </w:rPr>
        <w:t xml:space="preserve"> </w:t>
      </w:r>
      <w:r w:rsidRPr="00A86B24">
        <w:rPr>
          <w:rFonts w:cstheme="minorHAnsi"/>
          <w:noProof/>
          <w:sz w:val="20"/>
          <w:lang w:eastAsia="en-GB"/>
        </w:rPr>
        <mc:AlternateContent>
          <mc:Choice Requires="wps">
            <w:drawing>
              <wp:inline distT="0" distB="0" distL="0" distR="0" wp14:anchorId="7025BA4F" wp14:editId="72694FF3">
                <wp:extent cx="296883" cy="160317"/>
                <wp:effectExtent l="0" t="0" r="27305" b="11430"/>
                <wp:docPr id="19" name="Rectangle 19"/>
                <wp:cNvGraphicFramePr/>
                <a:graphic xmlns:a="http://schemas.openxmlformats.org/drawingml/2006/main">
                  <a:graphicData uri="http://schemas.microsoft.com/office/word/2010/wordprocessingShape">
                    <wps:wsp>
                      <wps:cNvSpPr/>
                      <wps:spPr>
                        <a:xfrm>
                          <a:off x="0" y="0"/>
                          <a:ext cx="296883" cy="160317"/>
                        </a:xfrm>
                        <a:prstGeom prst="rect">
                          <a:avLst/>
                        </a:prstGeom>
                        <a:pattFill prst="pct5">
                          <a:fgClr>
                            <a:schemeClr val="tx1"/>
                          </a:fgClr>
                          <a:bgClr>
                            <a:schemeClr val="bg1"/>
                          </a:bgClr>
                        </a:patt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9" o:spid="_x0000_s1026" style="width:23.4pt;height:12.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" fillcolor="black [3213]" strokecolor="black [3213]" strokeweight=".25pt">
                <v:fill r:id="rId20" o:title="" color2="white [3212]" type="pattern"/>
                <w10:anchorlock/>
              </v:rect>
            </w:pict>
          </mc:Fallback>
        </mc:AlternateContent>
      </w:r>
      <w:r w:rsidRPr="00531A0B">
        <w:rPr>
          <w:rFonts w:cstheme="minorHAnsi"/>
          <w:noProof/>
          <w:sz w:val="20"/>
          <w:lang w:val="it-IT" w:eastAsia="en-GB"/>
        </w:rPr>
        <w:t xml:space="preserve"> 4</w:t>
      </w:r>
      <w:r w:rsidRPr="00531A0B">
        <w:rPr>
          <w:rFonts w:cstheme="minorHAnsi"/>
          <w:noProof/>
          <w:sz w:val="20"/>
          <w:vertAlign w:val="superscript"/>
          <w:lang w:val="it-IT" w:eastAsia="en-GB"/>
        </w:rPr>
        <w:t>th</w:t>
      </w:r>
      <w:r w:rsidRPr="00531A0B">
        <w:rPr>
          <w:rFonts w:cstheme="minorHAnsi"/>
          <w:noProof/>
          <w:sz w:val="20"/>
          <w:lang w:val="it-IT" w:eastAsia="en-GB"/>
        </w:rPr>
        <w:t xml:space="preserve"> </w:t>
      </w:r>
      <w:r w:rsidRPr="00531A0B">
        <w:rPr>
          <w:rFonts w:cstheme="minorHAnsi"/>
          <w:sz w:val="20"/>
          <w:lang w:val="it-IT"/>
        </w:rPr>
        <w:t>quantile;</w:t>
      </w:r>
      <w:r w:rsidRPr="00531A0B">
        <w:rPr>
          <w:rFonts w:cstheme="minorHAnsi"/>
          <w:noProof/>
          <w:sz w:val="20"/>
          <w:lang w:val="it-IT" w:eastAsia="en-GB"/>
        </w:rPr>
        <w:t xml:space="preserve"> </w:t>
      </w:r>
      <w:r w:rsidRPr="00A86B24">
        <w:rPr>
          <w:rFonts w:cstheme="minorHAnsi"/>
          <w:noProof/>
          <w:sz w:val="20"/>
          <w:lang w:eastAsia="en-GB"/>
        </w:rPr>
        <mc:AlternateContent>
          <mc:Choice Requires="wps">
            <w:drawing>
              <wp:inline distT="0" distB="0" distL="0" distR="0" wp14:anchorId="4D2D02A8" wp14:editId="52CBB7BA">
                <wp:extent cx="296883" cy="160317"/>
                <wp:effectExtent l="0" t="0" r="27305" b="11430"/>
                <wp:docPr id="20" name="Rectangle 20"/>
                <wp:cNvGraphicFramePr/>
                <a:graphic xmlns:a="http://schemas.openxmlformats.org/drawingml/2006/main">
                  <a:graphicData uri="http://schemas.microsoft.com/office/word/2010/wordprocessingShape">
                    <wps:wsp>
                      <wps:cNvSpPr/>
                      <wps:spPr>
                        <a:xfrm>
                          <a:off x="0" y="0"/>
                          <a:ext cx="296883" cy="160317"/>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0" o:spid="_x0000_s1026" style="width:23.4pt;height:12.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" fillcolor="white [3212]" strokecolor="black [3213]" strokeweight=".25pt">
                <w10:anchorlock/>
              </v:rect>
            </w:pict>
          </mc:Fallback>
        </mc:AlternateContent>
      </w:r>
      <w:r w:rsidRPr="00531A0B">
        <w:rPr>
          <w:rFonts w:cstheme="minorHAnsi"/>
          <w:noProof/>
          <w:sz w:val="20"/>
          <w:lang w:val="it-IT" w:eastAsia="en-GB"/>
        </w:rPr>
        <w:t xml:space="preserve"> Bottom</w:t>
      </w:r>
      <w:r w:rsidRPr="00531A0B">
        <w:rPr>
          <w:rFonts w:cstheme="minorHAnsi"/>
          <w:sz w:val="20"/>
          <w:lang w:val="it-IT"/>
        </w:rPr>
        <w:t xml:space="preserve"> quantile</w:t>
      </w:r>
    </w:p>
    <w:p w:rsidR="00B573A1" w:rsidRPr="00FA3F88" w:rsidRDefault="00B573A1" w:rsidP="00B573A1">
      <w:pPr>
        <w:spacing w:after="0"/>
        <w:rPr>
          <w:rFonts w:cstheme="minorHAnsi"/>
          <w:sz w:val="20"/>
        </w:rPr>
      </w:pPr>
      <w:r w:rsidRPr="00FA3F88">
        <w:rPr>
          <w:rFonts w:cstheme="minorHAnsi"/>
          <w:i/>
          <w:sz w:val="20"/>
        </w:rPr>
        <w:t xml:space="preserve">Source: </w:t>
      </w:r>
      <w:r w:rsidRPr="00FA3F88">
        <w:rPr>
          <w:rFonts w:cstheme="minorHAnsi"/>
          <w:sz w:val="20"/>
        </w:rPr>
        <w:t>Authors’ elaboration of Eurostat data</w:t>
      </w:r>
    </w:p>
    <w:p w:rsidR="00B573A1" w:rsidRDefault="00B573A1" w:rsidP="00B573A1"/>
    <w:p w:rsidR="00B573A1" w:rsidRDefault="00B573A1" w:rsidP="00B573A1">
      <w:r>
        <w:br w:type="page"/>
      </w:r>
    </w:p>
    <w:p w:rsidR="00B573A1" w:rsidRPr="00353650" w:rsidRDefault="00B573A1" w:rsidP="00B573A1">
      <w:pPr>
        <w:spacing w:after="0"/>
        <w:rPr>
          <w:rFonts w:cstheme="minorHAnsi"/>
          <w:b/>
          <w:szCs w:val="24"/>
        </w:rPr>
      </w:pPr>
      <w:proofErr w:type="gramStart"/>
      <w:r w:rsidRPr="00353650">
        <w:rPr>
          <w:rFonts w:cstheme="minorHAnsi"/>
          <w:b/>
          <w:szCs w:val="24"/>
        </w:rPr>
        <w:lastRenderedPageBreak/>
        <w:t>Figure 3.</w:t>
      </w:r>
      <w:proofErr w:type="gramEnd"/>
      <w:r w:rsidRPr="00353650">
        <w:rPr>
          <w:rFonts w:cstheme="minorHAnsi"/>
          <w:b/>
          <w:szCs w:val="24"/>
        </w:rPr>
        <w:t xml:space="preserve"> Stability of transitions by country and period</w:t>
      </w:r>
    </w:p>
    <w:p w:rsidR="00B573A1" w:rsidRPr="00353650" w:rsidRDefault="00B573A1" w:rsidP="00B573A1">
      <w:pPr>
        <w:spacing w:after="0"/>
        <w:rPr>
          <w:rFonts w:cstheme="minorHAnsi"/>
          <w:szCs w:val="24"/>
        </w:rPr>
      </w:pPr>
      <w:r>
        <w:rPr>
          <w:noProof/>
          <w:lang w:eastAsia="en-GB"/>
        </w:rPr>
        <w:drawing>
          <wp:inline distT="0" distB="0" distL="0" distR="0" wp14:anchorId="6C544C75" wp14:editId="7906284D">
            <wp:extent cx="5835650" cy="3955274"/>
            <wp:effectExtent l="0" t="0" r="12700" b="266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573A1" w:rsidRPr="00FA3F88" w:rsidRDefault="00B573A1" w:rsidP="00B573A1">
      <w:pPr>
        <w:spacing w:after="0"/>
        <w:rPr>
          <w:rFonts w:cstheme="minorHAnsi"/>
          <w:sz w:val="20"/>
        </w:rPr>
      </w:pPr>
      <w:r w:rsidRPr="00FA3F88">
        <w:rPr>
          <w:rFonts w:cstheme="minorHAnsi"/>
          <w:sz w:val="20"/>
        </w:rPr>
        <w:t xml:space="preserve">Notes: Stability index as explained in the text. </w:t>
      </w:r>
    </w:p>
    <w:p w:rsidR="00B573A1" w:rsidRDefault="00B573A1" w:rsidP="00B573A1">
      <w:r>
        <w:br w:type="page"/>
      </w:r>
    </w:p>
    <w:p w:rsidR="00B573A1" w:rsidRPr="00353650" w:rsidRDefault="00B573A1" w:rsidP="00B573A1">
      <w:pPr>
        <w:spacing w:after="0"/>
        <w:rPr>
          <w:rFonts w:cstheme="minorHAnsi"/>
          <w:b/>
          <w:szCs w:val="24"/>
        </w:rPr>
      </w:pPr>
      <w:proofErr w:type="gramStart"/>
      <w:r w:rsidRPr="00353650">
        <w:rPr>
          <w:rFonts w:cstheme="minorHAnsi"/>
          <w:b/>
          <w:szCs w:val="24"/>
        </w:rPr>
        <w:lastRenderedPageBreak/>
        <w:t>Figure 4.</w:t>
      </w:r>
      <w:proofErr w:type="gramEnd"/>
      <w:r w:rsidRPr="00353650">
        <w:rPr>
          <w:rFonts w:cstheme="minorHAnsi"/>
          <w:b/>
          <w:szCs w:val="24"/>
        </w:rPr>
        <w:t xml:space="preserve"> Successful labour market entries </w:t>
      </w:r>
    </w:p>
    <w:p w:rsidR="00B573A1" w:rsidRDefault="00B573A1" w:rsidP="00B573A1">
      <w:pPr>
        <w:spacing w:after="0"/>
        <w:rPr>
          <w:rFonts w:cstheme="minorHAnsi"/>
          <w:b/>
          <w:szCs w:val="24"/>
        </w:rPr>
      </w:pPr>
      <w:r>
        <w:rPr>
          <w:noProof/>
          <w:lang w:eastAsia="en-GB"/>
        </w:rPr>
        <w:drawing>
          <wp:inline distT="0" distB="0" distL="0" distR="0" wp14:anchorId="7C44FF4A" wp14:editId="7E02BAAE">
            <wp:extent cx="5835650" cy="3935906"/>
            <wp:effectExtent l="0" t="0" r="12700" b="266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573A1" w:rsidRPr="00FA3F88" w:rsidRDefault="00B573A1" w:rsidP="00B573A1">
      <w:pPr>
        <w:spacing w:after="0"/>
        <w:rPr>
          <w:rFonts w:cstheme="minorHAnsi"/>
          <w:sz w:val="20"/>
        </w:rPr>
      </w:pPr>
      <w:r w:rsidRPr="00FA3F88">
        <w:rPr>
          <w:rFonts w:cstheme="minorHAnsi"/>
          <w:sz w:val="20"/>
        </w:rPr>
        <w:t xml:space="preserve">Notes: </w:t>
      </w:r>
      <w:r>
        <w:rPr>
          <w:rFonts w:cstheme="minorHAnsi"/>
          <w:sz w:val="20"/>
        </w:rPr>
        <w:t xml:space="preserve">SL </w:t>
      </w:r>
      <w:r w:rsidRPr="00FA3F88">
        <w:rPr>
          <w:rFonts w:cstheme="minorHAnsi"/>
          <w:sz w:val="20"/>
        </w:rPr>
        <w:t xml:space="preserve">index as explained in the text. </w:t>
      </w:r>
    </w:p>
    <w:p w:rsidR="00B573A1" w:rsidRDefault="00B573A1" w:rsidP="00B573A1">
      <w:pPr>
        <w:rPr>
          <w:rFonts w:cstheme="minorHAnsi"/>
          <w:b/>
          <w:szCs w:val="24"/>
        </w:rPr>
      </w:pPr>
      <w:r>
        <w:rPr>
          <w:rFonts w:cstheme="minorHAnsi"/>
          <w:b/>
          <w:szCs w:val="24"/>
        </w:rPr>
        <w:br w:type="page"/>
      </w:r>
    </w:p>
    <w:p w:rsidR="00B573A1" w:rsidRPr="00353650" w:rsidRDefault="00B573A1" w:rsidP="00B573A1">
      <w:pPr>
        <w:spacing w:before="120" w:after="120" w:line="360" w:lineRule="auto"/>
        <w:rPr>
          <w:rFonts w:cstheme="minorHAnsi"/>
          <w:b/>
          <w:szCs w:val="24"/>
        </w:rPr>
      </w:pPr>
    </w:p>
    <w:p w:rsidR="00B573A1" w:rsidRPr="00353650" w:rsidRDefault="00B573A1" w:rsidP="00B573A1">
      <w:pPr>
        <w:spacing w:after="0"/>
        <w:rPr>
          <w:rFonts w:cstheme="minorHAnsi"/>
          <w:b/>
          <w:szCs w:val="24"/>
        </w:rPr>
      </w:pPr>
      <w:proofErr w:type="gramStart"/>
      <w:r w:rsidRPr="00353650">
        <w:rPr>
          <w:rFonts w:cstheme="minorHAnsi"/>
          <w:b/>
          <w:szCs w:val="24"/>
        </w:rPr>
        <w:t>Figure 5.</w:t>
      </w:r>
      <w:proofErr w:type="gramEnd"/>
      <w:r w:rsidRPr="00353650">
        <w:rPr>
          <w:rFonts w:cstheme="minorHAnsi"/>
          <w:b/>
          <w:szCs w:val="24"/>
        </w:rPr>
        <w:t xml:space="preserve"> Unsuccessful unemployment exits</w:t>
      </w:r>
    </w:p>
    <w:p w:rsidR="00B573A1" w:rsidRDefault="00B573A1" w:rsidP="00B573A1">
      <w:pPr>
        <w:spacing w:after="0"/>
        <w:rPr>
          <w:rFonts w:cstheme="minorHAnsi"/>
          <w:szCs w:val="24"/>
        </w:rPr>
      </w:pPr>
      <w:r>
        <w:rPr>
          <w:noProof/>
          <w:lang w:eastAsia="en-GB"/>
        </w:rPr>
        <w:drawing>
          <wp:inline distT="0" distB="0" distL="0" distR="0" wp14:anchorId="49C0AEB4" wp14:editId="7FFB1537">
            <wp:extent cx="5835650" cy="3829334"/>
            <wp:effectExtent l="0" t="0" r="1270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573A1" w:rsidRPr="00FA3F88" w:rsidRDefault="00B573A1" w:rsidP="00B573A1">
      <w:pPr>
        <w:spacing w:after="0"/>
        <w:rPr>
          <w:rFonts w:cstheme="minorHAnsi"/>
          <w:sz w:val="20"/>
        </w:rPr>
      </w:pPr>
      <w:r w:rsidRPr="00FA3F88">
        <w:rPr>
          <w:rFonts w:cstheme="minorHAnsi"/>
          <w:sz w:val="20"/>
        </w:rPr>
        <w:t xml:space="preserve">Notes: </w:t>
      </w:r>
      <w:r>
        <w:rPr>
          <w:rFonts w:cstheme="minorHAnsi"/>
          <w:sz w:val="20"/>
        </w:rPr>
        <w:t xml:space="preserve">FL </w:t>
      </w:r>
      <w:r w:rsidRPr="00FA3F88">
        <w:rPr>
          <w:rFonts w:cstheme="minorHAnsi"/>
          <w:sz w:val="20"/>
        </w:rPr>
        <w:t xml:space="preserve">index as explained in the text. </w:t>
      </w:r>
    </w:p>
    <w:p w:rsidR="00B573A1" w:rsidRDefault="00B573A1" w:rsidP="00B573A1"/>
    <w:p w:rsidR="00B573A1" w:rsidRDefault="00B573A1" w:rsidP="00B573A1">
      <w:r>
        <w:br w:type="page"/>
      </w:r>
    </w:p>
    <w:p w:rsidR="00B573A1" w:rsidRPr="00353650" w:rsidRDefault="00B573A1" w:rsidP="00B573A1">
      <w:pPr>
        <w:autoSpaceDE w:val="0"/>
        <w:autoSpaceDN w:val="0"/>
        <w:adjustRightInd w:val="0"/>
        <w:spacing w:after="0"/>
        <w:rPr>
          <w:rFonts w:cstheme="minorHAnsi"/>
          <w:b/>
          <w:szCs w:val="24"/>
        </w:rPr>
      </w:pPr>
      <w:proofErr w:type="gramStart"/>
      <w:r w:rsidRPr="00353650">
        <w:rPr>
          <w:rFonts w:cstheme="minorHAnsi"/>
          <w:b/>
          <w:szCs w:val="24"/>
        </w:rPr>
        <w:lastRenderedPageBreak/>
        <w:t>Figure 6.</w:t>
      </w:r>
      <w:proofErr w:type="gramEnd"/>
      <w:r w:rsidRPr="00353650">
        <w:rPr>
          <w:rFonts w:cstheme="minorHAnsi"/>
          <w:b/>
          <w:szCs w:val="24"/>
        </w:rPr>
        <w:t xml:space="preserve"> Actual and steady-state unemployment rates</w:t>
      </w:r>
    </w:p>
    <w:p w:rsidR="00B573A1" w:rsidRPr="00353650" w:rsidRDefault="00B573A1" w:rsidP="00B573A1">
      <w:pPr>
        <w:autoSpaceDE w:val="0"/>
        <w:autoSpaceDN w:val="0"/>
        <w:adjustRightInd w:val="0"/>
        <w:spacing w:after="0"/>
        <w:ind w:left="57"/>
        <w:rPr>
          <w:rFonts w:cstheme="minorHAnsi"/>
          <w:szCs w:val="24"/>
        </w:rPr>
      </w:pPr>
      <w:r>
        <w:rPr>
          <w:noProof/>
          <w:lang w:eastAsia="en-GB"/>
        </w:rPr>
        <w:drawing>
          <wp:inline distT="0" distB="0" distL="0" distR="0" wp14:anchorId="5E69D969" wp14:editId="1DC689B5">
            <wp:extent cx="5835650" cy="3543162"/>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835650" cy="3543162"/>
                    </a:xfrm>
                    <a:prstGeom prst="rect">
                      <a:avLst/>
                    </a:prstGeom>
                  </pic:spPr>
                </pic:pic>
              </a:graphicData>
            </a:graphic>
          </wp:inline>
        </w:drawing>
      </w:r>
    </w:p>
    <w:p w:rsidR="00B573A1" w:rsidRPr="00FA3F88" w:rsidRDefault="00B573A1" w:rsidP="00B573A1">
      <w:pPr>
        <w:autoSpaceDE w:val="0"/>
        <w:autoSpaceDN w:val="0"/>
        <w:adjustRightInd w:val="0"/>
        <w:spacing w:after="0"/>
        <w:rPr>
          <w:rFonts w:cstheme="minorHAnsi"/>
          <w:iCs/>
          <w:sz w:val="20"/>
        </w:rPr>
      </w:pPr>
      <w:r w:rsidRPr="00FA3F88">
        <w:rPr>
          <w:rFonts w:cstheme="minorHAnsi"/>
          <w:i/>
          <w:iCs/>
          <w:sz w:val="20"/>
        </w:rPr>
        <w:t xml:space="preserve">Sources: </w:t>
      </w:r>
      <w:r w:rsidRPr="00FA3F88">
        <w:rPr>
          <w:rFonts w:cstheme="minorHAnsi"/>
          <w:iCs/>
          <w:sz w:val="20"/>
        </w:rPr>
        <w:t xml:space="preserve">LFS </w:t>
      </w:r>
      <w:proofErr w:type="spellStart"/>
      <w:r w:rsidRPr="00FA3F88">
        <w:rPr>
          <w:rFonts w:cstheme="minorHAnsi"/>
          <w:iCs/>
          <w:sz w:val="20"/>
        </w:rPr>
        <w:t>microdata</w:t>
      </w:r>
      <w:proofErr w:type="spellEnd"/>
      <w:r w:rsidRPr="00FA3F88">
        <w:rPr>
          <w:rFonts w:cstheme="minorHAnsi"/>
          <w:iCs/>
          <w:sz w:val="20"/>
        </w:rPr>
        <w:t xml:space="preserve"> and Eurostat aggregate unemployment data. </w:t>
      </w:r>
      <w:proofErr w:type="gramStart"/>
      <w:r w:rsidRPr="00FA3F88">
        <w:rPr>
          <w:rFonts w:cstheme="minorHAnsi"/>
          <w:iCs/>
          <w:sz w:val="20"/>
        </w:rPr>
        <w:t>Authors’ computations.</w:t>
      </w:r>
      <w:proofErr w:type="gramEnd"/>
    </w:p>
    <w:p w:rsidR="00B573A1" w:rsidRPr="00353650" w:rsidRDefault="00B573A1" w:rsidP="00B573A1">
      <w:pPr>
        <w:spacing w:after="0"/>
        <w:rPr>
          <w:rFonts w:cstheme="minorHAnsi"/>
          <w:szCs w:val="24"/>
        </w:rPr>
        <w:sectPr w:rsidR="00B573A1" w:rsidRPr="00353650" w:rsidSect="009112AD">
          <w:headerReference w:type="first" r:id="rId25"/>
          <w:footerReference w:type="first" r:id="rId26"/>
          <w:pgSz w:w="11906" w:h="16838"/>
          <w:pgMar w:top="1440" w:right="1440" w:bottom="1440" w:left="1276" w:header="708" w:footer="708" w:gutter="0"/>
          <w:cols w:space="708"/>
          <w:docGrid w:linePitch="360"/>
        </w:sectPr>
      </w:pPr>
    </w:p>
    <w:p w:rsidR="00B573A1" w:rsidRPr="00353650" w:rsidRDefault="00B573A1" w:rsidP="00B573A1">
      <w:pPr>
        <w:autoSpaceDE w:val="0"/>
        <w:autoSpaceDN w:val="0"/>
        <w:adjustRightInd w:val="0"/>
        <w:spacing w:after="0"/>
        <w:rPr>
          <w:rFonts w:cstheme="minorHAnsi"/>
          <w:b/>
          <w:szCs w:val="24"/>
        </w:rPr>
      </w:pPr>
      <w:proofErr w:type="gramStart"/>
      <w:r w:rsidRPr="00353650">
        <w:rPr>
          <w:rFonts w:cstheme="minorHAnsi"/>
          <w:b/>
          <w:szCs w:val="24"/>
        </w:rPr>
        <w:lastRenderedPageBreak/>
        <w:t>Figure 7.</w:t>
      </w:r>
      <w:proofErr w:type="gramEnd"/>
      <w:r w:rsidRPr="00353650">
        <w:rPr>
          <w:rFonts w:cstheme="minorHAnsi"/>
          <w:b/>
          <w:szCs w:val="24"/>
        </w:rPr>
        <w:t xml:space="preserve"> Counterfactual steady-state distributions</w:t>
      </w:r>
    </w:p>
    <w:p w:rsidR="00B573A1" w:rsidRPr="00353650" w:rsidRDefault="00B573A1" w:rsidP="00B573A1">
      <w:pPr>
        <w:autoSpaceDE w:val="0"/>
        <w:autoSpaceDN w:val="0"/>
        <w:adjustRightInd w:val="0"/>
        <w:spacing w:after="0"/>
        <w:rPr>
          <w:rFonts w:cstheme="minorHAnsi"/>
          <w:b/>
          <w:i/>
          <w:szCs w:val="24"/>
        </w:rPr>
      </w:pPr>
      <w:r>
        <w:rPr>
          <w:noProof/>
          <w:lang w:eastAsia="en-GB"/>
        </w:rPr>
        <w:drawing>
          <wp:inline distT="0" distB="0" distL="0" distR="0" wp14:anchorId="018F7E30" wp14:editId="78E895EE">
            <wp:extent cx="2700000" cy="5400000"/>
            <wp:effectExtent l="0" t="0" r="24765" b="1079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C709EB">
        <w:rPr>
          <w:noProof/>
          <w:lang w:eastAsia="en-GB"/>
        </w:rPr>
        <w:t xml:space="preserve"> </w:t>
      </w:r>
      <w:r>
        <w:rPr>
          <w:noProof/>
          <w:lang w:eastAsia="en-GB"/>
        </w:rPr>
        <w:drawing>
          <wp:inline distT="0" distB="0" distL="0" distR="0" wp14:anchorId="3560557B" wp14:editId="4BBC2194">
            <wp:extent cx="2808000" cy="5400000"/>
            <wp:effectExtent l="0" t="0" r="11430" b="1079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B573A1" w:rsidRPr="00FA3F88" w:rsidRDefault="00B573A1" w:rsidP="00B573A1">
      <w:pPr>
        <w:autoSpaceDE w:val="0"/>
        <w:autoSpaceDN w:val="0"/>
        <w:adjustRightInd w:val="0"/>
        <w:spacing w:after="0"/>
        <w:ind w:left="720" w:firstLine="840"/>
        <w:rPr>
          <w:rFonts w:cstheme="minorHAnsi"/>
          <w:i/>
          <w:sz w:val="20"/>
        </w:rPr>
      </w:pPr>
      <w:r w:rsidRPr="00FA3F88">
        <w:rPr>
          <w:rFonts w:cstheme="minorHAnsi"/>
          <w:i/>
          <w:sz w:val="20"/>
        </w:rPr>
        <w:t>Sweden</w:t>
      </w:r>
      <w:r w:rsidRPr="00FA3F88">
        <w:rPr>
          <w:rFonts w:cstheme="minorHAnsi"/>
          <w:i/>
          <w:sz w:val="20"/>
        </w:rPr>
        <w:tab/>
      </w:r>
      <w:r>
        <w:rPr>
          <w:rFonts w:cstheme="minorHAnsi"/>
          <w:i/>
          <w:sz w:val="20"/>
        </w:rPr>
        <w:tab/>
      </w:r>
      <w:r w:rsidRPr="00FA3F88">
        <w:rPr>
          <w:rFonts w:cstheme="minorHAnsi"/>
          <w:i/>
          <w:sz w:val="20"/>
        </w:rPr>
        <w:tab/>
      </w:r>
      <w:r w:rsidRPr="00FA3F88">
        <w:rPr>
          <w:rFonts w:cstheme="minorHAnsi"/>
          <w:i/>
          <w:sz w:val="20"/>
        </w:rPr>
        <w:tab/>
      </w:r>
      <w:r w:rsidRPr="00FA3F88">
        <w:rPr>
          <w:rFonts w:cstheme="minorHAnsi"/>
          <w:i/>
          <w:sz w:val="20"/>
        </w:rPr>
        <w:tab/>
      </w:r>
      <w:r>
        <w:rPr>
          <w:rFonts w:cstheme="minorHAnsi"/>
          <w:i/>
          <w:sz w:val="20"/>
        </w:rPr>
        <w:t xml:space="preserve">    </w:t>
      </w:r>
      <w:r w:rsidRPr="00FA3F88">
        <w:rPr>
          <w:rFonts w:cstheme="minorHAnsi"/>
          <w:i/>
          <w:sz w:val="20"/>
        </w:rPr>
        <w:t>Greece</w:t>
      </w:r>
    </w:p>
    <w:p w:rsidR="00B573A1" w:rsidRPr="00FA3F88" w:rsidRDefault="00B573A1" w:rsidP="00B573A1">
      <w:pPr>
        <w:autoSpaceDE w:val="0"/>
        <w:autoSpaceDN w:val="0"/>
        <w:adjustRightInd w:val="0"/>
        <w:spacing w:after="0"/>
        <w:rPr>
          <w:rFonts w:cstheme="minorHAnsi"/>
          <w:iCs/>
          <w:sz w:val="20"/>
        </w:rPr>
      </w:pPr>
      <w:r w:rsidRPr="00FA3F88">
        <w:rPr>
          <w:rFonts w:cstheme="minorHAnsi"/>
          <w:i/>
          <w:iCs/>
          <w:sz w:val="20"/>
        </w:rPr>
        <w:t xml:space="preserve">Sources: </w:t>
      </w:r>
      <w:r w:rsidRPr="00FA3F88">
        <w:rPr>
          <w:rFonts w:cstheme="minorHAnsi"/>
          <w:iCs/>
          <w:sz w:val="20"/>
        </w:rPr>
        <w:t xml:space="preserve">LFS </w:t>
      </w:r>
      <w:proofErr w:type="spellStart"/>
      <w:r w:rsidRPr="00FA3F88">
        <w:rPr>
          <w:rFonts w:cstheme="minorHAnsi"/>
          <w:iCs/>
          <w:sz w:val="20"/>
        </w:rPr>
        <w:t>microdata</w:t>
      </w:r>
      <w:proofErr w:type="spellEnd"/>
      <w:r w:rsidRPr="00FA3F88">
        <w:rPr>
          <w:rFonts w:cstheme="minorHAnsi"/>
          <w:iCs/>
          <w:sz w:val="20"/>
        </w:rPr>
        <w:t>, authors’ computations.</w:t>
      </w:r>
    </w:p>
    <w:p w:rsidR="00B573A1" w:rsidRDefault="00B573A1" w:rsidP="00B573A1">
      <w:r>
        <w:br w:type="page"/>
      </w:r>
    </w:p>
    <w:p w:rsidR="00B573A1" w:rsidRPr="00353650" w:rsidRDefault="00B573A1" w:rsidP="00B573A1">
      <w:pPr>
        <w:autoSpaceDE w:val="0"/>
        <w:autoSpaceDN w:val="0"/>
        <w:adjustRightInd w:val="0"/>
        <w:spacing w:after="0"/>
        <w:rPr>
          <w:rFonts w:cstheme="minorHAnsi"/>
          <w:b/>
          <w:szCs w:val="24"/>
        </w:rPr>
      </w:pPr>
      <w:proofErr w:type="gramStart"/>
      <w:r w:rsidRPr="00353650">
        <w:rPr>
          <w:rFonts w:cstheme="minorHAnsi"/>
          <w:b/>
          <w:szCs w:val="24"/>
        </w:rPr>
        <w:lastRenderedPageBreak/>
        <w:t>Figure 8.</w:t>
      </w:r>
      <w:proofErr w:type="gramEnd"/>
      <w:r w:rsidRPr="00353650">
        <w:rPr>
          <w:rFonts w:cstheme="minorHAnsi"/>
          <w:b/>
          <w:szCs w:val="24"/>
        </w:rPr>
        <w:t xml:space="preserve"> Counterfactual steady-state distribution by country group (</w:t>
      </w:r>
      <w:r>
        <w:rPr>
          <w:rFonts w:cstheme="minorHAnsi"/>
          <w:b/>
          <w:szCs w:val="24"/>
        </w:rPr>
        <w:t>benchmark</w:t>
      </w:r>
      <w:r w:rsidRPr="00353650">
        <w:rPr>
          <w:rFonts w:cstheme="minorHAnsi"/>
          <w:b/>
          <w:szCs w:val="24"/>
        </w:rPr>
        <w:t>: Nordics)</w:t>
      </w:r>
    </w:p>
    <w:p w:rsidR="00B573A1" w:rsidRPr="00353650" w:rsidRDefault="00B573A1" w:rsidP="00B573A1">
      <w:pPr>
        <w:autoSpaceDE w:val="0"/>
        <w:autoSpaceDN w:val="0"/>
        <w:adjustRightInd w:val="0"/>
        <w:spacing w:after="0"/>
        <w:rPr>
          <w:rFonts w:cstheme="minorHAnsi"/>
          <w:i/>
          <w:iCs/>
          <w:szCs w:val="24"/>
        </w:rPr>
      </w:pPr>
      <w:r>
        <w:rPr>
          <w:noProof/>
          <w:lang w:eastAsia="en-GB"/>
        </w:rPr>
        <w:drawing>
          <wp:inline distT="0" distB="0" distL="0" distR="0" wp14:anchorId="65B54B34" wp14:editId="7712F410">
            <wp:extent cx="2808000" cy="1800000"/>
            <wp:effectExtent l="0" t="0" r="11430" b="1016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5813B6">
        <w:rPr>
          <w:noProof/>
          <w:lang w:eastAsia="en-GB"/>
        </w:rPr>
        <w:t xml:space="preserve"> </w:t>
      </w:r>
      <w:r>
        <w:rPr>
          <w:noProof/>
          <w:lang w:eastAsia="en-GB"/>
        </w:rPr>
        <w:drawing>
          <wp:inline distT="0" distB="0" distL="0" distR="0" wp14:anchorId="31931275" wp14:editId="7237DDCE">
            <wp:extent cx="2808000" cy="1800000"/>
            <wp:effectExtent l="0" t="0" r="11430" b="1016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B573A1" w:rsidRPr="00FA3F88" w:rsidRDefault="00B573A1" w:rsidP="00B573A1">
      <w:pPr>
        <w:autoSpaceDE w:val="0"/>
        <w:autoSpaceDN w:val="0"/>
        <w:adjustRightInd w:val="0"/>
        <w:spacing w:after="0"/>
        <w:ind w:left="1701"/>
        <w:rPr>
          <w:rFonts w:cstheme="minorHAnsi"/>
          <w:i/>
          <w:sz w:val="20"/>
        </w:rPr>
      </w:pPr>
      <w:r w:rsidRPr="00FA3F88">
        <w:rPr>
          <w:rFonts w:cstheme="minorHAnsi"/>
          <w:i/>
          <w:sz w:val="20"/>
        </w:rPr>
        <w:t>Crisis</w:t>
      </w:r>
      <w:r w:rsidRPr="00FA3F88">
        <w:rPr>
          <w:rFonts w:cstheme="minorHAnsi"/>
          <w:i/>
          <w:sz w:val="20"/>
        </w:rPr>
        <w:tab/>
      </w:r>
      <w:r>
        <w:rPr>
          <w:rFonts w:cstheme="minorHAnsi"/>
          <w:i/>
          <w:sz w:val="20"/>
        </w:rPr>
        <w:tab/>
      </w:r>
      <w:r w:rsidRPr="00FA3F88">
        <w:rPr>
          <w:rFonts w:cstheme="minorHAnsi"/>
          <w:i/>
          <w:sz w:val="20"/>
        </w:rPr>
        <w:tab/>
      </w:r>
      <w:r w:rsidRPr="00FA3F88">
        <w:rPr>
          <w:rFonts w:cstheme="minorHAnsi"/>
          <w:i/>
          <w:sz w:val="20"/>
        </w:rPr>
        <w:tab/>
      </w:r>
      <w:r w:rsidRPr="00FA3F88">
        <w:rPr>
          <w:rFonts w:cstheme="minorHAnsi"/>
          <w:i/>
          <w:sz w:val="20"/>
        </w:rPr>
        <w:tab/>
      </w:r>
      <w:r w:rsidRPr="00FA3F88">
        <w:rPr>
          <w:rFonts w:cstheme="minorHAnsi"/>
          <w:i/>
          <w:sz w:val="20"/>
        </w:rPr>
        <w:tab/>
      </w:r>
      <w:r>
        <w:rPr>
          <w:rFonts w:cstheme="minorHAnsi"/>
          <w:i/>
          <w:sz w:val="20"/>
        </w:rPr>
        <w:t xml:space="preserve">     </w:t>
      </w:r>
      <w:r w:rsidRPr="00FA3F88">
        <w:rPr>
          <w:rFonts w:cstheme="minorHAnsi"/>
          <w:i/>
          <w:sz w:val="20"/>
        </w:rPr>
        <w:t>Post-crisis</w:t>
      </w:r>
    </w:p>
    <w:p w:rsidR="00B573A1" w:rsidRPr="00FA3F88" w:rsidRDefault="00B573A1" w:rsidP="00B573A1">
      <w:pPr>
        <w:autoSpaceDE w:val="0"/>
        <w:autoSpaceDN w:val="0"/>
        <w:adjustRightInd w:val="0"/>
        <w:spacing w:after="0"/>
        <w:rPr>
          <w:rFonts w:cstheme="minorHAnsi"/>
          <w:iCs/>
          <w:sz w:val="20"/>
        </w:rPr>
      </w:pPr>
      <w:r w:rsidRPr="00FA3F88">
        <w:rPr>
          <w:rFonts w:cstheme="minorHAnsi"/>
          <w:i/>
          <w:iCs/>
          <w:sz w:val="20"/>
        </w:rPr>
        <w:t xml:space="preserve">Sources: </w:t>
      </w:r>
      <w:r w:rsidRPr="00FA3F88">
        <w:rPr>
          <w:rFonts w:cstheme="minorHAnsi"/>
          <w:iCs/>
          <w:sz w:val="20"/>
        </w:rPr>
        <w:t xml:space="preserve">LFS </w:t>
      </w:r>
      <w:proofErr w:type="spellStart"/>
      <w:r w:rsidRPr="00FA3F88">
        <w:rPr>
          <w:rFonts w:cstheme="minorHAnsi"/>
          <w:iCs/>
          <w:sz w:val="20"/>
        </w:rPr>
        <w:t>microdata</w:t>
      </w:r>
      <w:proofErr w:type="spellEnd"/>
      <w:r w:rsidRPr="00FA3F88">
        <w:rPr>
          <w:rFonts w:cstheme="minorHAnsi"/>
          <w:iCs/>
          <w:sz w:val="20"/>
        </w:rPr>
        <w:t>, authors’ computations.</w:t>
      </w:r>
    </w:p>
    <w:p w:rsidR="00B573A1" w:rsidRDefault="00B573A1" w:rsidP="00B573A1"/>
    <w:p w:rsidR="00B573A1" w:rsidRDefault="00B573A1" w:rsidP="00B573A1">
      <w:r>
        <w:br w:type="page"/>
      </w:r>
    </w:p>
    <w:p w:rsidR="00B573A1" w:rsidRDefault="00B573A1" w:rsidP="00B573A1"/>
    <w:p w:rsidR="00B573A1" w:rsidRPr="00353650" w:rsidRDefault="00B573A1" w:rsidP="00B573A1">
      <w:pPr>
        <w:spacing w:after="0"/>
        <w:rPr>
          <w:rFonts w:cstheme="minorHAnsi"/>
          <w:b/>
          <w:szCs w:val="24"/>
        </w:rPr>
      </w:pPr>
      <w:proofErr w:type="gramStart"/>
      <w:r w:rsidRPr="00353650">
        <w:rPr>
          <w:rFonts w:cstheme="minorHAnsi"/>
          <w:b/>
          <w:szCs w:val="24"/>
        </w:rPr>
        <w:t>Table 1.</w:t>
      </w:r>
      <w:proofErr w:type="gramEnd"/>
      <w:r w:rsidRPr="00353650">
        <w:rPr>
          <w:rFonts w:cstheme="minorHAnsi"/>
          <w:b/>
          <w:szCs w:val="24"/>
        </w:rPr>
        <w:t xml:space="preserve"> Transition probabilities by period and country groups</w:t>
      </w:r>
    </w:p>
    <w:tbl>
      <w:tblPr>
        <w:tblW w:w="9080" w:type="dxa"/>
        <w:tblInd w:w="93" w:type="dxa"/>
        <w:tblBorders>
          <w:top w:val="single" w:sz="24" w:space="0" w:color="auto"/>
          <w:bottom w:val="single" w:sz="24" w:space="0" w:color="auto"/>
        </w:tblBorders>
        <w:tblLayout w:type="fixed"/>
        <w:tblLook w:val="04A0" w:firstRow="1" w:lastRow="0" w:firstColumn="1" w:lastColumn="0" w:noHBand="0" w:noVBand="1"/>
      </w:tblPr>
      <w:tblGrid>
        <w:gridCol w:w="1716"/>
        <w:gridCol w:w="413"/>
        <w:gridCol w:w="772"/>
        <w:gridCol w:w="772"/>
        <w:gridCol w:w="773"/>
        <w:gridCol w:w="772"/>
        <w:gridCol w:w="772"/>
        <w:gridCol w:w="773"/>
        <w:gridCol w:w="772"/>
        <w:gridCol w:w="772"/>
        <w:gridCol w:w="773"/>
      </w:tblGrid>
      <w:tr w:rsidR="00B573A1" w:rsidRPr="00353650" w:rsidTr="008B2934">
        <w:trPr>
          <w:trHeight w:val="283"/>
        </w:trPr>
        <w:tc>
          <w:tcPr>
            <w:tcW w:w="1716" w:type="dxa"/>
            <w:tcBorders>
              <w:top w:val="single" w:sz="24" w:space="0" w:color="auto"/>
              <w:right w:val="single" w:sz="24" w:space="0" w:color="auto"/>
            </w:tcBorders>
            <w:shd w:val="clear" w:color="auto" w:fill="auto"/>
            <w:noWrap/>
            <w:vAlign w:val="bottom"/>
            <w:hideMark/>
          </w:tcPr>
          <w:p w:rsidR="00B573A1" w:rsidRPr="00353650" w:rsidRDefault="00B573A1" w:rsidP="008B2934">
            <w:pPr>
              <w:spacing w:after="0"/>
              <w:jc w:val="center"/>
              <w:rPr>
                <w:rFonts w:cstheme="minorHAnsi"/>
                <w:b/>
                <w:color w:val="000000"/>
                <w:szCs w:val="24"/>
                <w:lang w:eastAsia="en-GB"/>
              </w:rPr>
            </w:pPr>
          </w:p>
        </w:tc>
        <w:tc>
          <w:tcPr>
            <w:tcW w:w="413" w:type="dxa"/>
            <w:tcBorders>
              <w:top w:val="single" w:sz="24" w:space="0" w:color="auto"/>
              <w:left w:val="single" w:sz="24" w:space="0" w:color="auto"/>
              <w:right w:val="single" w:sz="24" w:space="0" w:color="auto"/>
            </w:tcBorders>
            <w:shd w:val="clear" w:color="auto" w:fill="auto"/>
            <w:noWrap/>
            <w:vAlign w:val="bottom"/>
            <w:hideMark/>
          </w:tcPr>
          <w:p w:rsidR="00B573A1" w:rsidRPr="00353650" w:rsidRDefault="00B573A1" w:rsidP="008B2934">
            <w:pPr>
              <w:spacing w:after="0"/>
              <w:jc w:val="center"/>
              <w:rPr>
                <w:rFonts w:cstheme="minorHAnsi"/>
                <w:b/>
                <w:color w:val="000000"/>
                <w:szCs w:val="24"/>
                <w:lang w:eastAsia="en-GB"/>
              </w:rPr>
            </w:pPr>
          </w:p>
        </w:tc>
        <w:tc>
          <w:tcPr>
            <w:tcW w:w="2317" w:type="dxa"/>
            <w:gridSpan w:val="3"/>
            <w:tcBorders>
              <w:left w:val="single" w:sz="24" w:space="0" w:color="auto"/>
              <w:right w:val="single" w:sz="8" w:space="0" w:color="auto"/>
            </w:tcBorders>
            <w:shd w:val="clear" w:color="auto" w:fill="auto"/>
            <w:noWrap/>
            <w:vAlign w:val="bottom"/>
            <w:hideMark/>
          </w:tcPr>
          <w:p w:rsidR="00B573A1" w:rsidRPr="00353650" w:rsidRDefault="00B573A1" w:rsidP="008B2934">
            <w:pPr>
              <w:spacing w:after="0"/>
              <w:jc w:val="center"/>
              <w:rPr>
                <w:rFonts w:cstheme="minorHAnsi"/>
                <w:b/>
                <w:color w:val="000000"/>
                <w:szCs w:val="24"/>
                <w:lang w:eastAsia="en-GB"/>
              </w:rPr>
            </w:pPr>
            <w:r w:rsidRPr="00353650">
              <w:rPr>
                <w:rFonts w:cstheme="minorHAnsi"/>
                <w:b/>
                <w:color w:val="000000"/>
                <w:szCs w:val="24"/>
                <w:lang w:eastAsia="en-GB"/>
              </w:rPr>
              <w:t>2004-2008</w:t>
            </w:r>
          </w:p>
        </w:tc>
        <w:tc>
          <w:tcPr>
            <w:tcW w:w="2317" w:type="dxa"/>
            <w:gridSpan w:val="3"/>
            <w:tcBorders>
              <w:left w:val="single" w:sz="8" w:space="0" w:color="auto"/>
              <w:right w:val="single" w:sz="8" w:space="0" w:color="auto"/>
            </w:tcBorders>
            <w:shd w:val="clear" w:color="auto" w:fill="auto"/>
            <w:noWrap/>
            <w:vAlign w:val="bottom"/>
            <w:hideMark/>
          </w:tcPr>
          <w:p w:rsidR="00B573A1" w:rsidRPr="00353650" w:rsidRDefault="00B573A1" w:rsidP="008B2934">
            <w:pPr>
              <w:spacing w:after="0"/>
              <w:jc w:val="center"/>
              <w:rPr>
                <w:rFonts w:cstheme="minorHAnsi"/>
                <w:b/>
                <w:color w:val="000000"/>
                <w:szCs w:val="24"/>
                <w:lang w:eastAsia="en-GB"/>
              </w:rPr>
            </w:pPr>
            <w:r w:rsidRPr="00353650">
              <w:rPr>
                <w:rFonts w:cstheme="minorHAnsi"/>
                <w:b/>
                <w:color w:val="000000"/>
                <w:szCs w:val="24"/>
                <w:lang w:eastAsia="en-GB"/>
              </w:rPr>
              <w:t>2009-2013</w:t>
            </w:r>
          </w:p>
        </w:tc>
        <w:tc>
          <w:tcPr>
            <w:tcW w:w="2317" w:type="dxa"/>
            <w:gridSpan w:val="3"/>
            <w:tcBorders>
              <w:left w:val="single" w:sz="8" w:space="0" w:color="auto"/>
            </w:tcBorders>
            <w:shd w:val="clear" w:color="auto" w:fill="auto"/>
            <w:noWrap/>
            <w:vAlign w:val="bottom"/>
            <w:hideMark/>
          </w:tcPr>
          <w:p w:rsidR="00B573A1" w:rsidRPr="00353650" w:rsidRDefault="00B573A1" w:rsidP="008B2934">
            <w:pPr>
              <w:spacing w:after="0"/>
              <w:jc w:val="center"/>
              <w:rPr>
                <w:rFonts w:cstheme="minorHAnsi"/>
                <w:b/>
                <w:color w:val="000000"/>
                <w:szCs w:val="24"/>
                <w:lang w:eastAsia="en-GB"/>
              </w:rPr>
            </w:pPr>
            <w:r w:rsidRPr="00353650">
              <w:rPr>
                <w:rFonts w:cstheme="minorHAnsi"/>
                <w:b/>
                <w:color w:val="000000"/>
                <w:szCs w:val="24"/>
                <w:lang w:eastAsia="en-GB"/>
              </w:rPr>
              <w:t>2014-2016</w:t>
            </w:r>
          </w:p>
        </w:tc>
      </w:tr>
      <w:tr w:rsidR="00B573A1" w:rsidRPr="00353650" w:rsidTr="008B2934">
        <w:trPr>
          <w:trHeight w:val="283"/>
        </w:trPr>
        <w:tc>
          <w:tcPr>
            <w:tcW w:w="1716" w:type="dxa"/>
            <w:tcBorders>
              <w:bottom w:val="single" w:sz="24" w:space="0" w:color="auto"/>
              <w:right w:val="single" w:sz="24" w:space="0" w:color="auto"/>
            </w:tcBorders>
            <w:shd w:val="clear" w:color="auto" w:fill="auto"/>
            <w:noWrap/>
            <w:vAlign w:val="bottom"/>
            <w:hideMark/>
          </w:tcPr>
          <w:p w:rsidR="00B573A1" w:rsidRPr="00353650" w:rsidRDefault="00B573A1" w:rsidP="008B2934">
            <w:pPr>
              <w:spacing w:after="0"/>
              <w:jc w:val="center"/>
              <w:rPr>
                <w:rFonts w:cstheme="minorHAnsi"/>
                <w:b/>
                <w:color w:val="000000"/>
                <w:szCs w:val="24"/>
                <w:lang w:eastAsia="en-GB"/>
              </w:rPr>
            </w:pPr>
          </w:p>
        </w:tc>
        <w:tc>
          <w:tcPr>
            <w:tcW w:w="413" w:type="dxa"/>
            <w:tcBorders>
              <w:left w:val="single" w:sz="24" w:space="0" w:color="auto"/>
              <w:bottom w:val="single" w:sz="24" w:space="0" w:color="auto"/>
              <w:right w:val="single" w:sz="24" w:space="0" w:color="auto"/>
            </w:tcBorders>
            <w:shd w:val="clear" w:color="auto" w:fill="auto"/>
            <w:noWrap/>
            <w:vAlign w:val="bottom"/>
            <w:hideMark/>
          </w:tcPr>
          <w:p w:rsidR="00B573A1" w:rsidRPr="00353650" w:rsidRDefault="00B573A1" w:rsidP="008B2934">
            <w:pPr>
              <w:spacing w:after="0"/>
              <w:jc w:val="center"/>
              <w:rPr>
                <w:rFonts w:cstheme="minorHAnsi"/>
                <w:b/>
                <w:color w:val="000000"/>
                <w:szCs w:val="24"/>
                <w:lang w:eastAsia="en-GB"/>
              </w:rPr>
            </w:pPr>
          </w:p>
        </w:tc>
        <w:tc>
          <w:tcPr>
            <w:tcW w:w="772" w:type="dxa"/>
            <w:tcBorders>
              <w:left w:val="single" w:sz="24" w:space="0" w:color="auto"/>
              <w:bottom w:val="single" w:sz="24" w:space="0" w:color="auto"/>
            </w:tcBorders>
            <w:shd w:val="clear" w:color="auto" w:fill="auto"/>
            <w:noWrap/>
            <w:vAlign w:val="bottom"/>
            <w:hideMark/>
          </w:tcPr>
          <w:p w:rsidR="00B573A1" w:rsidRPr="00353650" w:rsidRDefault="00B573A1" w:rsidP="008B2934">
            <w:pPr>
              <w:spacing w:after="0"/>
              <w:jc w:val="center"/>
              <w:rPr>
                <w:rFonts w:cstheme="minorHAnsi"/>
                <w:b/>
                <w:color w:val="000000"/>
                <w:szCs w:val="24"/>
                <w:lang w:eastAsia="en-GB"/>
              </w:rPr>
            </w:pPr>
            <w:r w:rsidRPr="00353650">
              <w:rPr>
                <w:rFonts w:cstheme="minorHAnsi"/>
                <w:b/>
                <w:color w:val="000000"/>
                <w:szCs w:val="24"/>
                <w:lang w:eastAsia="en-GB"/>
              </w:rPr>
              <w:t>E</w:t>
            </w:r>
          </w:p>
        </w:tc>
        <w:tc>
          <w:tcPr>
            <w:tcW w:w="772" w:type="dxa"/>
            <w:tcBorders>
              <w:bottom w:val="single" w:sz="24" w:space="0" w:color="auto"/>
            </w:tcBorders>
            <w:shd w:val="clear" w:color="auto" w:fill="auto"/>
            <w:noWrap/>
            <w:vAlign w:val="bottom"/>
            <w:hideMark/>
          </w:tcPr>
          <w:p w:rsidR="00B573A1" w:rsidRPr="00353650" w:rsidRDefault="00B573A1" w:rsidP="008B2934">
            <w:pPr>
              <w:spacing w:after="0"/>
              <w:jc w:val="center"/>
              <w:rPr>
                <w:rFonts w:cstheme="minorHAnsi"/>
                <w:b/>
                <w:color w:val="000000"/>
                <w:szCs w:val="24"/>
                <w:lang w:eastAsia="en-GB"/>
              </w:rPr>
            </w:pPr>
            <w:r w:rsidRPr="00353650">
              <w:rPr>
                <w:rFonts w:cstheme="minorHAnsi"/>
                <w:b/>
                <w:color w:val="000000"/>
                <w:szCs w:val="24"/>
                <w:lang w:eastAsia="en-GB"/>
              </w:rPr>
              <w:t>U</w:t>
            </w:r>
          </w:p>
        </w:tc>
        <w:tc>
          <w:tcPr>
            <w:tcW w:w="773" w:type="dxa"/>
            <w:tcBorders>
              <w:bottom w:val="single" w:sz="24" w:space="0" w:color="auto"/>
              <w:right w:val="single" w:sz="8" w:space="0" w:color="auto"/>
            </w:tcBorders>
            <w:shd w:val="clear" w:color="auto" w:fill="auto"/>
            <w:noWrap/>
            <w:vAlign w:val="bottom"/>
            <w:hideMark/>
          </w:tcPr>
          <w:p w:rsidR="00B573A1" w:rsidRPr="00353650" w:rsidRDefault="00B573A1" w:rsidP="008B2934">
            <w:pPr>
              <w:spacing w:after="0"/>
              <w:jc w:val="center"/>
              <w:rPr>
                <w:rFonts w:cstheme="minorHAnsi"/>
                <w:b/>
                <w:color w:val="000000"/>
                <w:szCs w:val="24"/>
                <w:lang w:eastAsia="en-GB"/>
              </w:rPr>
            </w:pPr>
            <w:r w:rsidRPr="00353650">
              <w:rPr>
                <w:rFonts w:cstheme="minorHAnsi"/>
                <w:b/>
                <w:color w:val="000000"/>
                <w:szCs w:val="24"/>
                <w:lang w:eastAsia="en-GB"/>
              </w:rPr>
              <w:t>I</w:t>
            </w:r>
          </w:p>
        </w:tc>
        <w:tc>
          <w:tcPr>
            <w:tcW w:w="772" w:type="dxa"/>
            <w:tcBorders>
              <w:left w:val="single" w:sz="8" w:space="0" w:color="auto"/>
              <w:bottom w:val="single" w:sz="24" w:space="0" w:color="auto"/>
            </w:tcBorders>
            <w:shd w:val="clear" w:color="auto" w:fill="auto"/>
            <w:noWrap/>
            <w:vAlign w:val="bottom"/>
            <w:hideMark/>
          </w:tcPr>
          <w:p w:rsidR="00B573A1" w:rsidRPr="00353650" w:rsidRDefault="00B573A1" w:rsidP="008B2934">
            <w:pPr>
              <w:spacing w:after="0"/>
              <w:jc w:val="center"/>
              <w:rPr>
                <w:rFonts w:cstheme="minorHAnsi"/>
                <w:b/>
                <w:color w:val="000000"/>
                <w:szCs w:val="24"/>
                <w:lang w:eastAsia="en-GB"/>
              </w:rPr>
            </w:pPr>
            <w:r w:rsidRPr="00353650">
              <w:rPr>
                <w:rFonts w:cstheme="minorHAnsi"/>
                <w:b/>
                <w:color w:val="000000"/>
                <w:szCs w:val="24"/>
                <w:lang w:eastAsia="en-GB"/>
              </w:rPr>
              <w:t>E</w:t>
            </w:r>
          </w:p>
        </w:tc>
        <w:tc>
          <w:tcPr>
            <w:tcW w:w="772" w:type="dxa"/>
            <w:tcBorders>
              <w:bottom w:val="single" w:sz="24" w:space="0" w:color="auto"/>
            </w:tcBorders>
            <w:shd w:val="clear" w:color="auto" w:fill="auto"/>
            <w:noWrap/>
            <w:vAlign w:val="bottom"/>
            <w:hideMark/>
          </w:tcPr>
          <w:p w:rsidR="00B573A1" w:rsidRPr="00353650" w:rsidRDefault="00B573A1" w:rsidP="008B2934">
            <w:pPr>
              <w:spacing w:after="0"/>
              <w:jc w:val="center"/>
              <w:rPr>
                <w:rFonts w:cstheme="minorHAnsi"/>
                <w:b/>
                <w:color w:val="000000"/>
                <w:szCs w:val="24"/>
                <w:lang w:eastAsia="en-GB"/>
              </w:rPr>
            </w:pPr>
            <w:r w:rsidRPr="00353650">
              <w:rPr>
                <w:rFonts w:cstheme="minorHAnsi"/>
                <w:b/>
                <w:color w:val="000000"/>
                <w:szCs w:val="24"/>
                <w:lang w:eastAsia="en-GB"/>
              </w:rPr>
              <w:t>U</w:t>
            </w:r>
          </w:p>
        </w:tc>
        <w:tc>
          <w:tcPr>
            <w:tcW w:w="773" w:type="dxa"/>
            <w:tcBorders>
              <w:bottom w:val="single" w:sz="24" w:space="0" w:color="auto"/>
              <w:right w:val="single" w:sz="8" w:space="0" w:color="auto"/>
            </w:tcBorders>
            <w:shd w:val="clear" w:color="auto" w:fill="auto"/>
            <w:noWrap/>
            <w:vAlign w:val="bottom"/>
            <w:hideMark/>
          </w:tcPr>
          <w:p w:rsidR="00B573A1" w:rsidRPr="00353650" w:rsidRDefault="00B573A1" w:rsidP="008B2934">
            <w:pPr>
              <w:spacing w:after="0"/>
              <w:jc w:val="center"/>
              <w:rPr>
                <w:rFonts w:cstheme="minorHAnsi"/>
                <w:b/>
                <w:color w:val="000000"/>
                <w:szCs w:val="24"/>
                <w:lang w:eastAsia="en-GB"/>
              </w:rPr>
            </w:pPr>
            <w:r w:rsidRPr="00353650">
              <w:rPr>
                <w:rFonts w:cstheme="minorHAnsi"/>
                <w:b/>
                <w:color w:val="000000"/>
                <w:szCs w:val="24"/>
                <w:lang w:eastAsia="en-GB"/>
              </w:rPr>
              <w:t>I</w:t>
            </w:r>
          </w:p>
        </w:tc>
        <w:tc>
          <w:tcPr>
            <w:tcW w:w="772" w:type="dxa"/>
            <w:tcBorders>
              <w:left w:val="single" w:sz="8" w:space="0" w:color="auto"/>
              <w:bottom w:val="single" w:sz="24" w:space="0" w:color="auto"/>
            </w:tcBorders>
            <w:shd w:val="clear" w:color="auto" w:fill="auto"/>
            <w:noWrap/>
            <w:vAlign w:val="bottom"/>
            <w:hideMark/>
          </w:tcPr>
          <w:p w:rsidR="00B573A1" w:rsidRPr="00353650" w:rsidRDefault="00B573A1" w:rsidP="008B2934">
            <w:pPr>
              <w:spacing w:after="0"/>
              <w:jc w:val="center"/>
              <w:rPr>
                <w:rFonts w:cstheme="minorHAnsi"/>
                <w:b/>
                <w:color w:val="000000"/>
                <w:szCs w:val="24"/>
                <w:lang w:eastAsia="en-GB"/>
              </w:rPr>
            </w:pPr>
            <w:r w:rsidRPr="00353650">
              <w:rPr>
                <w:rFonts w:cstheme="minorHAnsi"/>
                <w:b/>
                <w:color w:val="000000"/>
                <w:szCs w:val="24"/>
                <w:lang w:eastAsia="en-GB"/>
              </w:rPr>
              <w:t>E</w:t>
            </w:r>
          </w:p>
        </w:tc>
        <w:tc>
          <w:tcPr>
            <w:tcW w:w="772" w:type="dxa"/>
            <w:tcBorders>
              <w:bottom w:val="single" w:sz="24" w:space="0" w:color="auto"/>
            </w:tcBorders>
            <w:shd w:val="clear" w:color="auto" w:fill="auto"/>
            <w:noWrap/>
            <w:vAlign w:val="bottom"/>
            <w:hideMark/>
          </w:tcPr>
          <w:p w:rsidR="00B573A1" w:rsidRPr="00353650" w:rsidRDefault="00B573A1" w:rsidP="008B2934">
            <w:pPr>
              <w:spacing w:after="0"/>
              <w:jc w:val="center"/>
              <w:rPr>
                <w:rFonts w:cstheme="minorHAnsi"/>
                <w:b/>
                <w:color w:val="000000"/>
                <w:szCs w:val="24"/>
                <w:lang w:eastAsia="en-GB"/>
              </w:rPr>
            </w:pPr>
            <w:r w:rsidRPr="00353650">
              <w:rPr>
                <w:rFonts w:cstheme="minorHAnsi"/>
                <w:b/>
                <w:color w:val="000000"/>
                <w:szCs w:val="24"/>
                <w:lang w:eastAsia="en-GB"/>
              </w:rPr>
              <w:t>U</w:t>
            </w:r>
          </w:p>
        </w:tc>
        <w:tc>
          <w:tcPr>
            <w:tcW w:w="773" w:type="dxa"/>
            <w:tcBorders>
              <w:bottom w:val="single" w:sz="24" w:space="0" w:color="auto"/>
            </w:tcBorders>
            <w:shd w:val="clear" w:color="auto" w:fill="auto"/>
            <w:noWrap/>
            <w:vAlign w:val="bottom"/>
            <w:hideMark/>
          </w:tcPr>
          <w:p w:rsidR="00B573A1" w:rsidRPr="00353650" w:rsidRDefault="00B573A1" w:rsidP="008B2934">
            <w:pPr>
              <w:spacing w:after="0"/>
              <w:jc w:val="center"/>
              <w:rPr>
                <w:rFonts w:cstheme="minorHAnsi"/>
                <w:b/>
                <w:color w:val="000000"/>
                <w:szCs w:val="24"/>
                <w:lang w:eastAsia="en-GB"/>
              </w:rPr>
            </w:pPr>
            <w:r w:rsidRPr="00353650">
              <w:rPr>
                <w:rFonts w:cstheme="minorHAnsi"/>
                <w:b/>
                <w:color w:val="000000"/>
                <w:szCs w:val="24"/>
                <w:lang w:eastAsia="en-GB"/>
              </w:rPr>
              <w:t>I</w:t>
            </w:r>
          </w:p>
        </w:tc>
      </w:tr>
      <w:tr w:rsidR="00B573A1" w:rsidRPr="00353650" w:rsidTr="008B2934">
        <w:trPr>
          <w:trHeight w:val="283"/>
        </w:trPr>
        <w:tc>
          <w:tcPr>
            <w:tcW w:w="1716" w:type="dxa"/>
            <w:vMerge w:val="restart"/>
            <w:tcBorders>
              <w:top w:val="single" w:sz="24" w:space="0" w:color="auto"/>
              <w:right w:val="single" w:sz="24" w:space="0" w:color="auto"/>
            </w:tcBorders>
            <w:shd w:val="clear" w:color="auto" w:fill="auto"/>
            <w:noWrap/>
            <w:hideMark/>
          </w:tcPr>
          <w:p w:rsidR="00B573A1" w:rsidRPr="00353650" w:rsidRDefault="00B573A1" w:rsidP="008B2934">
            <w:pPr>
              <w:spacing w:after="0"/>
              <w:rPr>
                <w:rFonts w:cstheme="minorHAnsi"/>
                <w:color w:val="000000"/>
                <w:szCs w:val="24"/>
                <w:lang w:eastAsia="en-GB"/>
              </w:rPr>
            </w:pPr>
            <w:r w:rsidRPr="00353650">
              <w:rPr>
                <w:rFonts w:cstheme="minorHAnsi"/>
                <w:color w:val="000000"/>
                <w:szCs w:val="24"/>
                <w:lang w:eastAsia="en-GB"/>
              </w:rPr>
              <w:t>Central Eastern</w:t>
            </w:r>
          </w:p>
        </w:tc>
        <w:tc>
          <w:tcPr>
            <w:tcW w:w="413" w:type="dxa"/>
            <w:tcBorders>
              <w:top w:val="single" w:sz="24" w:space="0" w:color="auto"/>
              <w:left w:val="single" w:sz="24" w:space="0" w:color="auto"/>
              <w:bottom w:val="nil"/>
              <w:right w:val="single" w:sz="24" w:space="0" w:color="auto"/>
            </w:tcBorders>
            <w:shd w:val="clear" w:color="auto" w:fill="auto"/>
            <w:noWrap/>
            <w:vAlign w:val="center"/>
            <w:hideMark/>
          </w:tcPr>
          <w:p w:rsidR="00B573A1" w:rsidRPr="00353650" w:rsidRDefault="00B573A1" w:rsidP="008B2934">
            <w:pPr>
              <w:spacing w:after="0"/>
              <w:jc w:val="center"/>
              <w:rPr>
                <w:rFonts w:cstheme="minorHAnsi"/>
                <w:b/>
                <w:color w:val="000000"/>
                <w:szCs w:val="24"/>
                <w:lang w:eastAsia="en-GB"/>
              </w:rPr>
            </w:pPr>
            <w:r w:rsidRPr="00353650">
              <w:rPr>
                <w:rFonts w:cstheme="minorHAnsi"/>
                <w:b/>
                <w:color w:val="000000"/>
                <w:szCs w:val="24"/>
                <w:lang w:eastAsia="en-GB"/>
              </w:rPr>
              <w:t>E</w:t>
            </w:r>
          </w:p>
        </w:tc>
        <w:tc>
          <w:tcPr>
            <w:tcW w:w="772" w:type="dxa"/>
            <w:tcBorders>
              <w:top w:val="single" w:sz="24" w:space="0" w:color="auto"/>
              <w:left w:val="single" w:sz="24" w:space="0" w:color="auto"/>
              <w:bottom w:val="nil"/>
            </w:tcBorders>
            <w:shd w:val="clear" w:color="000000" w:fill="F2F2F2"/>
            <w:noWrap/>
            <w:vAlign w:val="center"/>
            <w:hideMark/>
          </w:tcPr>
          <w:p w:rsidR="00B573A1" w:rsidRPr="00353650" w:rsidRDefault="00B573A1" w:rsidP="008B2934">
            <w:pPr>
              <w:spacing w:after="0"/>
              <w:jc w:val="center"/>
              <w:rPr>
                <w:rFonts w:cstheme="minorHAnsi"/>
                <w:b/>
                <w:bCs/>
                <w:color w:val="000000"/>
                <w:szCs w:val="24"/>
                <w:lang w:eastAsia="en-GB"/>
              </w:rPr>
            </w:pPr>
            <w:r w:rsidRPr="00353650">
              <w:rPr>
                <w:rFonts w:cstheme="minorHAnsi"/>
                <w:b/>
                <w:bCs/>
                <w:color w:val="000000"/>
                <w:szCs w:val="24"/>
                <w:lang w:eastAsia="en-GB"/>
              </w:rPr>
              <w:t>0.936</w:t>
            </w:r>
          </w:p>
        </w:tc>
        <w:tc>
          <w:tcPr>
            <w:tcW w:w="772" w:type="dxa"/>
            <w:tcBorders>
              <w:top w:val="single" w:sz="24" w:space="0" w:color="auto"/>
              <w:bottom w:val="nil"/>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0.028</w:t>
            </w:r>
          </w:p>
        </w:tc>
        <w:tc>
          <w:tcPr>
            <w:tcW w:w="773" w:type="dxa"/>
            <w:tcBorders>
              <w:top w:val="single" w:sz="24" w:space="0" w:color="auto"/>
              <w:bottom w:val="nil"/>
              <w:right w:val="single" w:sz="8" w:space="0" w:color="auto"/>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0.036</w:t>
            </w:r>
          </w:p>
        </w:tc>
        <w:tc>
          <w:tcPr>
            <w:tcW w:w="772" w:type="dxa"/>
            <w:tcBorders>
              <w:top w:val="single" w:sz="24" w:space="0" w:color="auto"/>
              <w:left w:val="single" w:sz="8" w:space="0" w:color="auto"/>
              <w:bottom w:val="nil"/>
            </w:tcBorders>
            <w:shd w:val="clear" w:color="000000" w:fill="F2F2F2"/>
            <w:noWrap/>
            <w:vAlign w:val="center"/>
            <w:hideMark/>
          </w:tcPr>
          <w:p w:rsidR="00B573A1" w:rsidRPr="00353650" w:rsidRDefault="00B573A1" w:rsidP="008B2934">
            <w:pPr>
              <w:spacing w:after="0"/>
              <w:jc w:val="center"/>
              <w:rPr>
                <w:rFonts w:cstheme="minorHAnsi"/>
                <w:b/>
                <w:bCs/>
                <w:color w:val="000000"/>
                <w:szCs w:val="24"/>
                <w:lang w:eastAsia="en-GB"/>
              </w:rPr>
            </w:pPr>
            <w:r w:rsidRPr="00353650">
              <w:rPr>
                <w:rFonts w:cstheme="minorHAnsi"/>
                <w:b/>
                <w:bCs/>
                <w:color w:val="000000"/>
                <w:szCs w:val="24"/>
                <w:lang w:eastAsia="en-GB"/>
              </w:rPr>
              <w:t>0.927</w:t>
            </w:r>
          </w:p>
        </w:tc>
        <w:tc>
          <w:tcPr>
            <w:tcW w:w="772" w:type="dxa"/>
            <w:tcBorders>
              <w:top w:val="single" w:sz="24" w:space="0" w:color="auto"/>
              <w:bottom w:val="nil"/>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0.037</w:t>
            </w:r>
          </w:p>
        </w:tc>
        <w:tc>
          <w:tcPr>
            <w:tcW w:w="773" w:type="dxa"/>
            <w:tcBorders>
              <w:top w:val="single" w:sz="24" w:space="0" w:color="auto"/>
              <w:bottom w:val="nil"/>
              <w:right w:val="single" w:sz="8" w:space="0" w:color="auto"/>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0.036</w:t>
            </w:r>
          </w:p>
        </w:tc>
        <w:tc>
          <w:tcPr>
            <w:tcW w:w="772" w:type="dxa"/>
            <w:tcBorders>
              <w:top w:val="single" w:sz="24" w:space="0" w:color="auto"/>
              <w:left w:val="single" w:sz="8" w:space="0" w:color="auto"/>
              <w:bottom w:val="nil"/>
            </w:tcBorders>
            <w:shd w:val="clear" w:color="000000" w:fill="F2F2F2"/>
            <w:noWrap/>
            <w:vAlign w:val="center"/>
            <w:hideMark/>
          </w:tcPr>
          <w:p w:rsidR="00B573A1" w:rsidRPr="00353650" w:rsidRDefault="00B573A1" w:rsidP="008B2934">
            <w:pPr>
              <w:spacing w:after="0"/>
              <w:jc w:val="center"/>
              <w:rPr>
                <w:rFonts w:cstheme="minorHAnsi"/>
                <w:b/>
                <w:bCs/>
                <w:color w:val="000000"/>
                <w:szCs w:val="24"/>
                <w:lang w:eastAsia="en-GB"/>
              </w:rPr>
            </w:pPr>
            <w:r w:rsidRPr="00353650">
              <w:rPr>
                <w:rFonts w:cstheme="minorHAnsi"/>
                <w:b/>
                <w:bCs/>
                <w:color w:val="000000"/>
                <w:szCs w:val="24"/>
                <w:lang w:eastAsia="en-GB"/>
              </w:rPr>
              <w:t>0.945</w:t>
            </w:r>
          </w:p>
        </w:tc>
        <w:tc>
          <w:tcPr>
            <w:tcW w:w="772" w:type="dxa"/>
            <w:tcBorders>
              <w:top w:val="single" w:sz="24" w:space="0" w:color="auto"/>
              <w:bottom w:val="nil"/>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0.024</w:t>
            </w:r>
          </w:p>
        </w:tc>
        <w:tc>
          <w:tcPr>
            <w:tcW w:w="773" w:type="dxa"/>
            <w:tcBorders>
              <w:top w:val="single" w:sz="24" w:space="0" w:color="auto"/>
              <w:bottom w:val="nil"/>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0.031</w:t>
            </w:r>
          </w:p>
        </w:tc>
      </w:tr>
      <w:tr w:rsidR="00B573A1" w:rsidRPr="00353650" w:rsidTr="008B2934">
        <w:trPr>
          <w:trHeight w:val="283"/>
        </w:trPr>
        <w:tc>
          <w:tcPr>
            <w:tcW w:w="1716" w:type="dxa"/>
            <w:vMerge/>
            <w:tcBorders>
              <w:right w:val="single" w:sz="24" w:space="0" w:color="auto"/>
            </w:tcBorders>
            <w:shd w:val="clear" w:color="auto" w:fill="auto"/>
            <w:noWrap/>
            <w:vAlign w:val="bottom"/>
            <w:hideMark/>
          </w:tcPr>
          <w:p w:rsidR="00B573A1" w:rsidRPr="00353650" w:rsidRDefault="00B573A1" w:rsidP="008B2934">
            <w:pPr>
              <w:spacing w:after="0"/>
              <w:rPr>
                <w:rFonts w:cstheme="minorHAnsi"/>
                <w:color w:val="000000"/>
                <w:szCs w:val="24"/>
                <w:lang w:eastAsia="en-GB"/>
              </w:rPr>
            </w:pPr>
          </w:p>
        </w:tc>
        <w:tc>
          <w:tcPr>
            <w:tcW w:w="413" w:type="dxa"/>
            <w:tcBorders>
              <w:top w:val="nil"/>
              <w:left w:val="single" w:sz="24" w:space="0" w:color="auto"/>
              <w:right w:val="single" w:sz="24" w:space="0" w:color="auto"/>
            </w:tcBorders>
            <w:shd w:val="clear" w:color="auto" w:fill="auto"/>
            <w:noWrap/>
            <w:vAlign w:val="center"/>
            <w:hideMark/>
          </w:tcPr>
          <w:p w:rsidR="00B573A1" w:rsidRPr="00353650" w:rsidRDefault="00B573A1" w:rsidP="008B2934">
            <w:pPr>
              <w:spacing w:after="0"/>
              <w:jc w:val="center"/>
              <w:rPr>
                <w:rFonts w:cstheme="minorHAnsi"/>
                <w:b/>
                <w:color w:val="000000"/>
                <w:szCs w:val="24"/>
                <w:lang w:eastAsia="en-GB"/>
              </w:rPr>
            </w:pPr>
            <w:r w:rsidRPr="00353650">
              <w:rPr>
                <w:rFonts w:cstheme="minorHAnsi"/>
                <w:b/>
                <w:color w:val="000000"/>
                <w:szCs w:val="24"/>
                <w:lang w:eastAsia="en-GB"/>
              </w:rPr>
              <w:t>U</w:t>
            </w:r>
          </w:p>
        </w:tc>
        <w:tc>
          <w:tcPr>
            <w:tcW w:w="772" w:type="dxa"/>
            <w:tcBorders>
              <w:top w:val="nil"/>
              <w:left w:val="single" w:sz="24" w:space="0" w:color="auto"/>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0.282</w:t>
            </w:r>
          </w:p>
        </w:tc>
        <w:tc>
          <w:tcPr>
            <w:tcW w:w="772" w:type="dxa"/>
            <w:tcBorders>
              <w:top w:val="nil"/>
            </w:tcBorders>
            <w:shd w:val="clear" w:color="000000" w:fill="F2F2F2"/>
            <w:noWrap/>
            <w:vAlign w:val="center"/>
            <w:hideMark/>
          </w:tcPr>
          <w:p w:rsidR="00B573A1" w:rsidRPr="00353650" w:rsidRDefault="00B573A1" w:rsidP="008B2934">
            <w:pPr>
              <w:spacing w:after="0"/>
              <w:jc w:val="center"/>
              <w:rPr>
                <w:rFonts w:cstheme="minorHAnsi"/>
                <w:b/>
                <w:bCs/>
                <w:color w:val="000000"/>
                <w:szCs w:val="24"/>
                <w:lang w:eastAsia="en-GB"/>
              </w:rPr>
            </w:pPr>
            <w:r w:rsidRPr="00353650">
              <w:rPr>
                <w:rFonts w:cstheme="minorHAnsi"/>
                <w:b/>
                <w:bCs/>
                <w:color w:val="000000"/>
                <w:szCs w:val="24"/>
                <w:lang w:eastAsia="en-GB"/>
              </w:rPr>
              <w:t>0.624</w:t>
            </w:r>
          </w:p>
        </w:tc>
        <w:tc>
          <w:tcPr>
            <w:tcW w:w="773" w:type="dxa"/>
            <w:tcBorders>
              <w:top w:val="nil"/>
              <w:right w:val="single" w:sz="8" w:space="0" w:color="auto"/>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0.094</w:t>
            </w:r>
          </w:p>
        </w:tc>
        <w:tc>
          <w:tcPr>
            <w:tcW w:w="772" w:type="dxa"/>
            <w:tcBorders>
              <w:top w:val="nil"/>
              <w:left w:val="single" w:sz="8" w:space="0" w:color="auto"/>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0.252</w:t>
            </w:r>
          </w:p>
        </w:tc>
        <w:tc>
          <w:tcPr>
            <w:tcW w:w="772" w:type="dxa"/>
            <w:tcBorders>
              <w:top w:val="nil"/>
            </w:tcBorders>
            <w:shd w:val="clear" w:color="000000" w:fill="F2F2F2"/>
            <w:noWrap/>
            <w:vAlign w:val="center"/>
            <w:hideMark/>
          </w:tcPr>
          <w:p w:rsidR="00B573A1" w:rsidRPr="00353650" w:rsidRDefault="00B573A1" w:rsidP="008B2934">
            <w:pPr>
              <w:spacing w:after="0"/>
              <w:jc w:val="center"/>
              <w:rPr>
                <w:rFonts w:cstheme="minorHAnsi"/>
                <w:b/>
                <w:bCs/>
                <w:color w:val="000000"/>
                <w:szCs w:val="24"/>
                <w:lang w:eastAsia="en-GB"/>
              </w:rPr>
            </w:pPr>
            <w:r w:rsidRPr="00353650">
              <w:rPr>
                <w:rFonts w:cstheme="minorHAnsi"/>
                <w:b/>
                <w:bCs/>
                <w:color w:val="000000"/>
                <w:szCs w:val="24"/>
                <w:lang w:eastAsia="en-GB"/>
              </w:rPr>
              <w:t>0.697</w:t>
            </w:r>
          </w:p>
        </w:tc>
        <w:tc>
          <w:tcPr>
            <w:tcW w:w="773" w:type="dxa"/>
            <w:tcBorders>
              <w:top w:val="nil"/>
              <w:right w:val="single" w:sz="8" w:space="0" w:color="auto"/>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0.051</w:t>
            </w:r>
          </w:p>
        </w:tc>
        <w:tc>
          <w:tcPr>
            <w:tcW w:w="772" w:type="dxa"/>
            <w:tcBorders>
              <w:top w:val="nil"/>
              <w:left w:val="single" w:sz="8" w:space="0" w:color="auto"/>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0.280</w:t>
            </w:r>
          </w:p>
        </w:tc>
        <w:tc>
          <w:tcPr>
            <w:tcW w:w="772" w:type="dxa"/>
            <w:tcBorders>
              <w:top w:val="nil"/>
            </w:tcBorders>
            <w:shd w:val="clear" w:color="000000" w:fill="F2F2F2"/>
            <w:noWrap/>
            <w:vAlign w:val="center"/>
            <w:hideMark/>
          </w:tcPr>
          <w:p w:rsidR="00B573A1" w:rsidRPr="00353650" w:rsidRDefault="00B573A1" w:rsidP="008B2934">
            <w:pPr>
              <w:spacing w:after="0"/>
              <w:jc w:val="center"/>
              <w:rPr>
                <w:rFonts w:cstheme="minorHAnsi"/>
                <w:b/>
                <w:bCs/>
                <w:color w:val="000000"/>
                <w:szCs w:val="24"/>
                <w:lang w:eastAsia="en-GB"/>
              </w:rPr>
            </w:pPr>
            <w:r w:rsidRPr="00353650">
              <w:rPr>
                <w:rFonts w:cstheme="minorHAnsi"/>
                <w:b/>
                <w:bCs/>
                <w:color w:val="000000"/>
                <w:szCs w:val="24"/>
                <w:lang w:eastAsia="en-GB"/>
              </w:rPr>
              <w:t>0.666</w:t>
            </w:r>
          </w:p>
        </w:tc>
        <w:tc>
          <w:tcPr>
            <w:tcW w:w="773" w:type="dxa"/>
            <w:tcBorders>
              <w:top w:val="nil"/>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0.054</w:t>
            </w:r>
          </w:p>
        </w:tc>
      </w:tr>
      <w:tr w:rsidR="00B573A1" w:rsidRPr="00353650" w:rsidTr="008B2934">
        <w:trPr>
          <w:trHeight w:val="283"/>
        </w:trPr>
        <w:tc>
          <w:tcPr>
            <w:tcW w:w="1716" w:type="dxa"/>
            <w:vMerge/>
            <w:tcBorders>
              <w:bottom w:val="single" w:sz="8" w:space="0" w:color="auto"/>
              <w:right w:val="single" w:sz="24" w:space="0" w:color="auto"/>
            </w:tcBorders>
            <w:shd w:val="clear" w:color="auto" w:fill="auto"/>
            <w:noWrap/>
            <w:vAlign w:val="bottom"/>
            <w:hideMark/>
          </w:tcPr>
          <w:p w:rsidR="00B573A1" w:rsidRPr="00353650" w:rsidRDefault="00B573A1" w:rsidP="008B2934">
            <w:pPr>
              <w:spacing w:after="0"/>
              <w:rPr>
                <w:rFonts w:cstheme="minorHAnsi"/>
                <w:color w:val="000000"/>
                <w:szCs w:val="24"/>
                <w:lang w:eastAsia="en-GB"/>
              </w:rPr>
            </w:pPr>
          </w:p>
        </w:tc>
        <w:tc>
          <w:tcPr>
            <w:tcW w:w="413" w:type="dxa"/>
            <w:tcBorders>
              <w:left w:val="single" w:sz="24" w:space="0" w:color="auto"/>
              <w:bottom w:val="single" w:sz="8" w:space="0" w:color="auto"/>
              <w:right w:val="single" w:sz="24" w:space="0" w:color="auto"/>
            </w:tcBorders>
            <w:shd w:val="clear" w:color="auto" w:fill="auto"/>
            <w:noWrap/>
            <w:vAlign w:val="center"/>
            <w:hideMark/>
          </w:tcPr>
          <w:p w:rsidR="00B573A1" w:rsidRPr="00353650" w:rsidRDefault="00B573A1" w:rsidP="008B2934">
            <w:pPr>
              <w:spacing w:after="0"/>
              <w:jc w:val="center"/>
              <w:rPr>
                <w:rFonts w:cstheme="minorHAnsi"/>
                <w:b/>
                <w:color w:val="000000"/>
                <w:szCs w:val="24"/>
                <w:lang w:eastAsia="en-GB"/>
              </w:rPr>
            </w:pPr>
            <w:r w:rsidRPr="00353650">
              <w:rPr>
                <w:rFonts w:cstheme="minorHAnsi"/>
                <w:b/>
                <w:color w:val="000000"/>
                <w:szCs w:val="24"/>
                <w:lang w:eastAsia="en-GB"/>
              </w:rPr>
              <w:t>I</w:t>
            </w:r>
          </w:p>
        </w:tc>
        <w:tc>
          <w:tcPr>
            <w:tcW w:w="772" w:type="dxa"/>
            <w:tcBorders>
              <w:left w:val="single" w:sz="24" w:space="0" w:color="auto"/>
              <w:bottom w:val="single" w:sz="8" w:space="0" w:color="auto"/>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0.045</w:t>
            </w:r>
          </w:p>
        </w:tc>
        <w:tc>
          <w:tcPr>
            <w:tcW w:w="772" w:type="dxa"/>
            <w:tcBorders>
              <w:bottom w:val="single" w:sz="8" w:space="0" w:color="auto"/>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0.021</w:t>
            </w:r>
          </w:p>
        </w:tc>
        <w:tc>
          <w:tcPr>
            <w:tcW w:w="773" w:type="dxa"/>
            <w:tcBorders>
              <w:bottom w:val="single" w:sz="8" w:space="0" w:color="auto"/>
              <w:right w:val="single" w:sz="8" w:space="0" w:color="auto"/>
            </w:tcBorders>
            <w:shd w:val="clear" w:color="000000" w:fill="F2F2F2"/>
            <w:noWrap/>
            <w:vAlign w:val="center"/>
            <w:hideMark/>
          </w:tcPr>
          <w:p w:rsidR="00B573A1" w:rsidRPr="00353650" w:rsidRDefault="00B573A1" w:rsidP="008B2934">
            <w:pPr>
              <w:spacing w:after="0"/>
              <w:jc w:val="center"/>
              <w:rPr>
                <w:rFonts w:cstheme="minorHAnsi"/>
                <w:b/>
                <w:bCs/>
                <w:color w:val="000000"/>
                <w:szCs w:val="24"/>
                <w:lang w:eastAsia="en-GB"/>
              </w:rPr>
            </w:pPr>
            <w:r w:rsidRPr="00353650">
              <w:rPr>
                <w:rFonts w:cstheme="minorHAnsi"/>
                <w:b/>
                <w:bCs/>
                <w:color w:val="000000"/>
                <w:szCs w:val="24"/>
                <w:lang w:eastAsia="en-GB"/>
              </w:rPr>
              <w:t>0.934</w:t>
            </w:r>
          </w:p>
        </w:tc>
        <w:tc>
          <w:tcPr>
            <w:tcW w:w="772" w:type="dxa"/>
            <w:tcBorders>
              <w:left w:val="single" w:sz="8" w:space="0" w:color="auto"/>
              <w:bottom w:val="single" w:sz="8" w:space="0" w:color="auto"/>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0.032</w:t>
            </w:r>
          </w:p>
        </w:tc>
        <w:tc>
          <w:tcPr>
            <w:tcW w:w="772" w:type="dxa"/>
            <w:tcBorders>
              <w:bottom w:val="single" w:sz="8" w:space="0" w:color="auto"/>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0.017</w:t>
            </w:r>
          </w:p>
        </w:tc>
        <w:tc>
          <w:tcPr>
            <w:tcW w:w="773" w:type="dxa"/>
            <w:tcBorders>
              <w:bottom w:val="single" w:sz="8" w:space="0" w:color="auto"/>
              <w:right w:val="single" w:sz="8" w:space="0" w:color="auto"/>
            </w:tcBorders>
            <w:shd w:val="clear" w:color="000000" w:fill="F2F2F2"/>
            <w:noWrap/>
            <w:vAlign w:val="center"/>
            <w:hideMark/>
          </w:tcPr>
          <w:p w:rsidR="00B573A1" w:rsidRPr="00353650" w:rsidRDefault="00B573A1" w:rsidP="008B2934">
            <w:pPr>
              <w:spacing w:after="0"/>
              <w:jc w:val="center"/>
              <w:rPr>
                <w:rFonts w:cstheme="minorHAnsi"/>
                <w:b/>
                <w:bCs/>
                <w:color w:val="000000"/>
                <w:szCs w:val="24"/>
                <w:lang w:eastAsia="en-GB"/>
              </w:rPr>
            </w:pPr>
            <w:r w:rsidRPr="00353650">
              <w:rPr>
                <w:rFonts w:cstheme="minorHAnsi"/>
                <w:b/>
                <w:bCs/>
                <w:color w:val="000000"/>
                <w:szCs w:val="24"/>
                <w:lang w:eastAsia="en-GB"/>
              </w:rPr>
              <w:t>0.952</w:t>
            </w:r>
          </w:p>
        </w:tc>
        <w:tc>
          <w:tcPr>
            <w:tcW w:w="772" w:type="dxa"/>
            <w:tcBorders>
              <w:left w:val="single" w:sz="8" w:space="0" w:color="auto"/>
              <w:bottom w:val="single" w:sz="8" w:space="0" w:color="auto"/>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0.031</w:t>
            </w:r>
          </w:p>
        </w:tc>
        <w:tc>
          <w:tcPr>
            <w:tcW w:w="772" w:type="dxa"/>
            <w:tcBorders>
              <w:bottom w:val="single" w:sz="8" w:space="0" w:color="auto"/>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0.014</w:t>
            </w:r>
          </w:p>
        </w:tc>
        <w:tc>
          <w:tcPr>
            <w:tcW w:w="773" w:type="dxa"/>
            <w:tcBorders>
              <w:bottom w:val="single" w:sz="8" w:space="0" w:color="auto"/>
            </w:tcBorders>
            <w:shd w:val="clear" w:color="000000" w:fill="F2F2F2"/>
            <w:noWrap/>
            <w:vAlign w:val="center"/>
            <w:hideMark/>
          </w:tcPr>
          <w:p w:rsidR="00B573A1" w:rsidRPr="00353650" w:rsidRDefault="00B573A1" w:rsidP="008B2934">
            <w:pPr>
              <w:spacing w:after="0"/>
              <w:jc w:val="center"/>
              <w:rPr>
                <w:rFonts w:cstheme="minorHAnsi"/>
                <w:b/>
                <w:bCs/>
                <w:color w:val="000000"/>
                <w:szCs w:val="24"/>
                <w:lang w:eastAsia="en-GB"/>
              </w:rPr>
            </w:pPr>
            <w:r w:rsidRPr="00353650">
              <w:rPr>
                <w:rFonts w:cstheme="minorHAnsi"/>
                <w:b/>
                <w:bCs/>
                <w:color w:val="000000"/>
                <w:szCs w:val="24"/>
                <w:lang w:eastAsia="en-GB"/>
              </w:rPr>
              <w:t>0.954</w:t>
            </w:r>
          </w:p>
        </w:tc>
      </w:tr>
      <w:tr w:rsidR="00B573A1" w:rsidRPr="00353650" w:rsidTr="008B2934">
        <w:trPr>
          <w:trHeight w:val="283"/>
        </w:trPr>
        <w:tc>
          <w:tcPr>
            <w:tcW w:w="1716" w:type="dxa"/>
            <w:tcBorders>
              <w:top w:val="single" w:sz="8" w:space="0" w:color="auto"/>
              <w:bottom w:val="nil"/>
              <w:right w:val="single" w:sz="24" w:space="0" w:color="auto"/>
            </w:tcBorders>
            <w:shd w:val="clear" w:color="auto" w:fill="auto"/>
            <w:noWrap/>
            <w:vAlign w:val="bottom"/>
            <w:hideMark/>
          </w:tcPr>
          <w:p w:rsidR="00B573A1" w:rsidRPr="00353650" w:rsidRDefault="00B573A1" w:rsidP="008B2934">
            <w:pPr>
              <w:spacing w:after="0"/>
              <w:rPr>
                <w:rFonts w:cstheme="minorHAnsi"/>
                <w:color w:val="000000"/>
                <w:szCs w:val="24"/>
                <w:lang w:eastAsia="en-GB"/>
              </w:rPr>
            </w:pPr>
            <w:r w:rsidRPr="00353650">
              <w:rPr>
                <w:rFonts w:cstheme="minorHAnsi"/>
                <w:color w:val="000000"/>
                <w:szCs w:val="24"/>
                <w:lang w:eastAsia="en-GB"/>
              </w:rPr>
              <w:t>Nordics</w:t>
            </w:r>
          </w:p>
        </w:tc>
        <w:tc>
          <w:tcPr>
            <w:tcW w:w="413" w:type="dxa"/>
            <w:tcBorders>
              <w:top w:val="single" w:sz="8" w:space="0" w:color="auto"/>
              <w:left w:val="single" w:sz="24" w:space="0" w:color="auto"/>
              <w:bottom w:val="nil"/>
              <w:right w:val="single" w:sz="24" w:space="0" w:color="auto"/>
            </w:tcBorders>
            <w:shd w:val="clear" w:color="auto" w:fill="auto"/>
            <w:noWrap/>
            <w:vAlign w:val="center"/>
            <w:hideMark/>
          </w:tcPr>
          <w:p w:rsidR="00B573A1" w:rsidRPr="00353650" w:rsidRDefault="00B573A1" w:rsidP="008B2934">
            <w:pPr>
              <w:spacing w:after="0"/>
              <w:jc w:val="center"/>
              <w:rPr>
                <w:rFonts w:cstheme="minorHAnsi"/>
                <w:b/>
                <w:color w:val="000000"/>
                <w:szCs w:val="24"/>
                <w:lang w:eastAsia="en-GB"/>
              </w:rPr>
            </w:pPr>
            <w:r w:rsidRPr="00353650">
              <w:rPr>
                <w:rFonts w:cstheme="minorHAnsi"/>
                <w:b/>
                <w:color w:val="000000"/>
                <w:szCs w:val="24"/>
                <w:lang w:eastAsia="en-GB"/>
              </w:rPr>
              <w:t>E</w:t>
            </w:r>
          </w:p>
        </w:tc>
        <w:tc>
          <w:tcPr>
            <w:tcW w:w="772" w:type="dxa"/>
            <w:tcBorders>
              <w:top w:val="single" w:sz="8" w:space="0" w:color="auto"/>
              <w:left w:val="single" w:sz="24" w:space="0" w:color="auto"/>
              <w:bottom w:val="nil"/>
            </w:tcBorders>
            <w:shd w:val="clear" w:color="000000" w:fill="F2F2F2"/>
            <w:noWrap/>
            <w:vAlign w:val="center"/>
            <w:hideMark/>
          </w:tcPr>
          <w:p w:rsidR="00B573A1" w:rsidRPr="00353650" w:rsidRDefault="00B573A1" w:rsidP="008B2934">
            <w:pPr>
              <w:spacing w:after="0"/>
              <w:jc w:val="center"/>
              <w:rPr>
                <w:rFonts w:cstheme="minorHAnsi"/>
                <w:b/>
                <w:bCs/>
                <w:color w:val="000000"/>
                <w:szCs w:val="24"/>
                <w:lang w:eastAsia="en-GB"/>
              </w:rPr>
            </w:pPr>
            <w:r w:rsidRPr="00353650">
              <w:rPr>
                <w:rFonts w:cstheme="minorHAnsi"/>
                <w:b/>
                <w:bCs/>
                <w:color w:val="000000"/>
                <w:szCs w:val="24"/>
                <w:lang w:eastAsia="en-GB"/>
              </w:rPr>
              <w:t>0.898</w:t>
            </w:r>
          </w:p>
        </w:tc>
        <w:tc>
          <w:tcPr>
            <w:tcW w:w="772" w:type="dxa"/>
            <w:tcBorders>
              <w:top w:val="single" w:sz="8" w:space="0" w:color="auto"/>
              <w:bottom w:val="nil"/>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0.016</w:t>
            </w:r>
          </w:p>
        </w:tc>
        <w:tc>
          <w:tcPr>
            <w:tcW w:w="773" w:type="dxa"/>
            <w:tcBorders>
              <w:top w:val="single" w:sz="8" w:space="0" w:color="auto"/>
              <w:bottom w:val="nil"/>
              <w:right w:val="single" w:sz="8" w:space="0" w:color="auto"/>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0.086</w:t>
            </w:r>
          </w:p>
        </w:tc>
        <w:tc>
          <w:tcPr>
            <w:tcW w:w="772" w:type="dxa"/>
            <w:tcBorders>
              <w:top w:val="single" w:sz="8" w:space="0" w:color="auto"/>
              <w:left w:val="single" w:sz="8" w:space="0" w:color="auto"/>
              <w:bottom w:val="nil"/>
            </w:tcBorders>
            <w:shd w:val="clear" w:color="000000" w:fill="F2F2F2"/>
            <w:noWrap/>
            <w:vAlign w:val="center"/>
            <w:hideMark/>
          </w:tcPr>
          <w:p w:rsidR="00B573A1" w:rsidRPr="00353650" w:rsidRDefault="00B573A1" w:rsidP="008B2934">
            <w:pPr>
              <w:spacing w:after="0"/>
              <w:jc w:val="center"/>
              <w:rPr>
                <w:rFonts w:cstheme="minorHAnsi"/>
                <w:b/>
                <w:bCs/>
                <w:color w:val="000000"/>
                <w:szCs w:val="24"/>
                <w:lang w:eastAsia="en-GB"/>
              </w:rPr>
            </w:pPr>
            <w:r w:rsidRPr="00353650">
              <w:rPr>
                <w:rFonts w:cstheme="minorHAnsi"/>
                <w:b/>
                <w:bCs/>
                <w:color w:val="000000"/>
                <w:szCs w:val="24"/>
                <w:lang w:eastAsia="en-GB"/>
              </w:rPr>
              <w:t>0.893</w:t>
            </w:r>
          </w:p>
        </w:tc>
        <w:tc>
          <w:tcPr>
            <w:tcW w:w="772" w:type="dxa"/>
            <w:tcBorders>
              <w:top w:val="single" w:sz="8" w:space="0" w:color="auto"/>
              <w:bottom w:val="nil"/>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0.027</w:t>
            </w:r>
          </w:p>
        </w:tc>
        <w:tc>
          <w:tcPr>
            <w:tcW w:w="773" w:type="dxa"/>
            <w:tcBorders>
              <w:top w:val="single" w:sz="8" w:space="0" w:color="auto"/>
              <w:bottom w:val="nil"/>
              <w:right w:val="single" w:sz="8" w:space="0" w:color="auto"/>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0.081</w:t>
            </w:r>
          </w:p>
        </w:tc>
        <w:tc>
          <w:tcPr>
            <w:tcW w:w="772" w:type="dxa"/>
            <w:tcBorders>
              <w:top w:val="single" w:sz="8" w:space="0" w:color="auto"/>
              <w:left w:val="single" w:sz="8" w:space="0" w:color="auto"/>
              <w:bottom w:val="nil"/>
            </w:tcBorders>
            <w:shd w:val="clear" w:color="000000" w:fill="F2F2F2"/>
            <w:noWrap/>
            <w:vAlign w:val="center"/>
            <w:hideMark/>
          </w:tcPr>
          <w:p w:rsidR="00B573A1" w:rsidRPr="00353650" w:rsidRDefault="00B573A1" w:rsidP="008B2934">
            <w:pPr>
              <w:spacing w:after="0"/>
              <w:jc w:val="center"/>
              <w:rPr>
                <w:rFonts w:cstheme="minorHAnsi"/>
                <w:b/>
                <w:bCs/>
                <w:color w:val="000000"/>
                <w:szCs w:val="24"/>
                <w:lang w:eastAsia="en-GB"/>
              </w:rPr>
            </w:pPr>
            <w:r w:rsidRPr="00353650">
              <w:rPr>
                <w:rFonts w:cstheme="minorHAnsi"/>
                <w:b/>
                <w:bCs/>
                <w:color w:val="000000"/>
                <w:szCs w:val="24"/>
                <w:lang w:eastAsia="en-GB"/>
              </w:rPr>
              <w:t>0.888</w:t>
            </w:r>
          </w:p>
        </w:tc>
        <w:tc>
          <w:tcPr>
            <w:tcW w:w="772" w:type="dxa"/>
            <w:tcBorders>
              <w:top w:val="single" w:sz="8" w:space="0" w:color="auto"/>
              <w:bottom w:val="nil"/>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0.032</w:t>
            </w:r>
          </w:p>
        </w:tc>
        <w:tc>
          <w:tcPr>
            <w:tcW w:w="773" w:type="dxa"/>
            <w:tcBorders>
              <w:top w:val="single" w:sz="8" w:space="0" w:color="auto"/>
              <w:bottom w:val="nil"/>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0.079</w:t>
            </w:r>
          </w:p>
        </w:tc>
      </w:tr>
      <w:tr w:rsidR="00B573A1" w:rsidRPr="00353650" w:rsidTr="008B2934">
        <w:trPr>
          <w:trHeight w:val="283"/>
        </w:trPr>
        <w:tc>
          <w:tcPr>
            <w:tcW w:w="1716" w:type="dxa"/>
            <w:tcBorders>
              <w:top w:val="nil"/>
              <w:right w:val="single" w:sz="24" w:space="0" w:color="auto"/>
            </w:tcBorders>
            <w:shd w:val="clear" w:color="auto" w:fill="auto"/>
            <w:noWrap/>
            <w:vAlign w:val="bottom"/>
            <w:hideMark/>
          </w:tcPr>
          <w:p w:rsidR="00B573A1" w:rsidRPr="00353650" w:rsidRDefault="00B573A1" w:rsidP="008B2934">
            <w:pPr>
              <w:spacing w:after="0"/>
              <w:rPr>
                <w:rFonts w:cstheme="minorHAnsi"/>
                <w:color w:val="000000"/>
                <w:szCs w:val="24"/>
                <w:lang w:eastAsia="en-GB"/>
              </w:rPr>
            </w:pPr>
          </w:p>
        </w:tc>
        <w:tc>
          <w:tcPr>
            <w:tcW w:w="413" w:type="dxa"/>
            <w:tcBorders>
              <w:top w:val="nil"/>
              <w:left w:val="single" w:sz="24" w:space="0" w:color="auto"/>
              <w:right w:val="single" w:sz="24" w:space="0" w:color="auto"/>
            </w:tcBorders>
            <w:shd w:val="clear" w:color="auto" w:fill="auto"/>
            <w:noWrap/>
            <w:vAlign w:val="center"/>
            <w:hideMark/>
          </w:tcPr>
          <w:p w:rsidR="00B573A1" w:rsidRPr="00353650" w:rsidRDefault="00B573A1" w:rsidP="008B2934">
            <w:pPr>
              <w:spacing w:after="0"/>
              <w:jc w:val="center"/>
              <w:rPr>
                <w:rFonts w:cstheme="minorHAnsi"/>
                <w:b/>
                <w:color w:val="000000"/>
                <w:szCs w:val="24"/>
                <w:lang w:eastAsia="en-GB"/>
              </w:rPr>
            </w:pPr>
            <w:r w:rsidRPr="00353650">
              <w:rPr>
                <w:rFonts w:cstheme="minorHAnsi"/>
                <w:b/>
                <w:color w:val="000000"/>
                <w:szCs w:val="24"/>
                <w:lang w:eastAsia="en-GB"/>
              </w:rPr>
              <w:t>U</w:t>
            </w:r>
          </w:p>
        </w:tc>
        <w:tc>
          <w:tcPr>
            <w:tcW w:w="772" w:type="dxa"/>
            <w:tcBorders>
              <w:top w:val="nil"/>
              <w:left w:val="single" w:sz="24" w:space="0" w:color="auto"/>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0.211</w:t>
            </w:r>
          </w:p>
        </w:tc>
        <w:tc>
          <w:tcPr>
            <w:tcW w:w="772" w:type="dxa"/>
            <w:tcBorders>
              <w:top w:val="nil"/>
            </w:tcBorders>
            <w:shd w:val="clear" w:color="000000" w:fill="F2F2F2"/>
            <w:noWrap/>
            <w:vAlign w:val="center"/>
            <w:hideMark/>
          </w:tcPr>
          <w:p w:rsidR="00B573A1" w:rsidRPr="00353650" w:rsidRDefault="00B573A1" w:rsidP="008B2934">
            <w:pPr>
              <w:spacing w:after="0"/>
              <w:jc w:val="center"/>
              <w:rPr>
                <w:rFonts w:cstheme="minorHAnsi"/>
                <w:b/>
                <w:bCs/>
                <w:color w:val="000000"/>
                <w:szCs w:val="24"/>
                <w:lang w:eastAsia="en-GB"/>
              </w:rPr>
            </w:pPr>
            <w:r w:rsidRPr="00353650">
              <w:rPr>
                <w:rFonts w:cstheme="minorHAnsi"/>
                <w:b/>
                <w:bCs/>
                <w:color w:val="000000"/>
                <w:szCs w:val="24"/>
                <w:lang w:eastAsia="en-GB"/>
              </w:rPr>
              <w:t>0.318</w:t>
            </w:r>
          </w:p>
        </w:tc>
        <w:tc>
          <w:tcPr>
            <w:tcW w:w="773" w:type="dxa"/>
            <w:tcBorders>
              <w:top w:val="nil"/>
              <w:right w:val="single" w:sz="8" w:space="0" w:color="auto"/>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0.471</w:t>
            </w:r>
          </w:p>
        </w:tc>
        <w:tc>
          <w:tcPr>
            <w:tcW w:w="772" w:type="dxa"/>
            <w:tcBorders>
              <w:top w:val="nil"/>
              <w:left w:val="single" w:sz="8" w:space="0" w:color="auto"/>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0.375</w:t>
            </w:r>
          </w:p>
        </w:tc>
        <w:tc>
          <w:tcPr>
            <w:tcW w:w="772" w:type="dxa"/>
            <w:tcBorders>
              <w:top w:val="nil"/>
            </w:tcBorders>
            <w:shd w:val="clear" w:color="000000" w:fill="F2F2F2"/>
            <w:noWrap/>
            <w:vAlign w:val="center"/>
            <w:hideMark/>
          </w:tcPr>
          <w:p w:rsidR="00B573A1" w:rsidRPr="00353650" w:rsidRDefault="00B573A1" w:rsidP="008B2934">
            <w:pPr>
              <w:spacing w:after="0"/>
              <w:jc w:val="center"/>
              <w:rPr>
                <w:rFonts w:cstheme="minorHAnsi"/>
                <w:b/>
                <w:bCs/>
                <w:color w:val="000000"/>
                <w:szCs w:val="24"/>
                <w:lang w:eastAsia="en-GB"/>
              </w:rPr>
            </w:pPr>
            <w:r w:rsidRPr="00353650">
              <w:rPr>
                <w:rFonts w:cstheme="minorHAnsi"/>
                <w:b/>
                <w:bCs/>
                <w:color w:val="000000"/>
                <w:szCs w:val="24"/>
                <w:lang w:eastAsia="en-GB"/>
              </w:rPr>
              <w:t>0.356</w:t>
            </w:r>
          </w:p>
        </w:tc>
        <w:tc>
          <w:tcPr>
            <w:tcW w:w="773" w:type="dxa"/>
            <w:tcBorders>
              <w:top w:val="nil"/>
              <w:right w:val="single" w:sz="8" w:space="0" w:color="auto"/>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0.269</w:t>
            </w:r>
          </w:p>
        </w:tc>
        <w:tc>
          <w:tcPr>
            <w:tcW w:w="772" w:type="dxa"/>
            <w:tcBorders>
              <w:top w:val="nil"/>
              <w:left w:val="single" w:sz="8" w:space="0" w:color="auto"/>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0.345</w:t>
            </w:r>
          </w:p>
        </w:tc>
        <w:tc>
          <w:tcPr>
            <w:tcW w:w="772" w:type="dxa"/>
            <w:tcBorders>
              <w:top w:val="nil"/>
            </w:tcBorders>
            <w:shd w:val="clear" w:color="000000" w:fill="F2F2F2"/>
            <w:noWrap/>
            <w:vAlign w:val="center"/>
            <w:hideMark/>
          </w:tcPr>
          <w:p w:rsidR="00B573A1" w:rsidRPr="00353650" w:rsidRDefault="00B573A1" w:rsidP="008B2934">
            <w:pPr>
              <w:spacing w:after="0"/>
              <w:jc w:val="center"/>
              <w:rPr>
                <w:rFonts w:cstheme="minorHAnsi"/>
                <w:b/>
                <w:bCs/>
                <w:color w:val="000000"/>
                <w:szCs w:val="24"/>
                <w:lang w:eastAsia="en-GB"/>
              </w:rPr>
            </w:pPr>
            <w:r w:rsidRPr="00353650">
              <w:rPr>
                <w:rFonts w:cstheme="minorHAnsi"/>
                <w:b/>
                <w:bCs/>
                <w:color w:val="000000"/>
                <w:szCs w:val="24"/>
                <w:lang w:eastAsia="en-GB"/>
              </w:rPr>
              <w:t>0.430</w:t>
            </w:r>
          </w:p>
        </w:tc>
        <w:tc>
          <w:tcPr>
            <w:tcW w:w="773" w:type="dxa"/>
            <w:tcBorders>
              <w:top w:val="nil"/>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0.226</w:t>
            </w:r>
          </w:p>
        </w:tc>
      </w:tr>
      <w:tr w:rsidR="00B573A1" w:rsidRPr="00353650" w:rsidTr="008B2934">
        <w:trPr>
          <w:trHeight w:val="283"/>
        </w:trPr>
        <w:tc>
          <w:tcPr>
            <w:tcW w:w="1716" w:type="dxa"/>
            <w:tcBorders>
              <w:bottom w:val="single" w:sz="8" w:space="0" w:color="auto"/>
              <w:right w:val="single" w:sz="24" w:space="0" w:color="auto"/>
            </w:tcBorders>
            <w:shd w:val="clear" w:color="auto" w:fill="auto"/>
            <w:noWrap/>
            <w:vAlign w:val="bottom"/>
            <w:hideMark/>
          </w:tcPr>
          <w:p w:rsidR="00B573A1" w:rsidRPr="00353650" w:rsidRDefault="00B573A1" w:rsidP="008B2934">
            <w:pPr>
              <w:spacing w:after="0"/>
              <w:rPr>
                <w:rFonts w:cstheme="minorHAnsi"/>
                <w:color w:val="000000"/>
                <w:szCs w:val="24"/>
                <w:lang w:eastAsia="en-GB"/>
              </w:rPr>
            </w:pPr>
          </w:p>
        </w:tc>
        <w:tc>
          <w:tcPr>
            <w:tcW w:w="413" w:type="dxa"/>
            <w:tcBorders>
              <w:left w:val="single" w:sz="24" w:space="0" w:color="auto"/>
              <w:bottom w:val="single" w:sz="8" w:space="0" w:color="auto"/>
              <w:right w:val="single" w:sz="24" w:space="0" w:color="auto"/>
            </w:tcBorders>
            <w:shd w:val="clear" w:color="auto" w:fill="auto"/>
            <w:noWrap/>
            <w:vAlign w:val="center"/>
            <w:hideMark/>
          </w:tcPr>
          <w:p w:rsidR="00B573A1" w:rsidRPr="00353650" w:rsidRDefault="00B573A1" w:rsidP="008B2934">
            <w:pPr>
              <w:spacing w:after="0"/>
              <w:jc w:val="center"/>
              <w:rPr>
                <w:rFonts w:cstheme="minorHAnsi"/>
                <w:b/>
                <w:color w:val="000000"/>
                <w:szCs w:val="24"/>
                <w:lang w:eastAsia="en-GB"/>
              </w:rPr>
            </w:pPr>
            <w:r w:rsidRPr="00353650">
              <w:rPr>
                <w:rFonts w:cstheme="minorHAnsi"/>
                <w:b/>
                <w:color w:val="000000"/>
                <w:szCs w:val="24"/>
                <w:lang w:eastAsia="en-GB"/>
              </w:rPr>
              <w:t>I</w:t>
            </w:r>
          </w:p>
        </w:tc>
        <w:tc>
          <w:tcPr>
            <w:tcW w:w="772" w:type="dxa"/>
            <w:tcBorders>
              <w:left w:val="single" w:sz="24" w:space="0" w:color="auto"/>
              <w:bottom w:val="single" w:sz="8" w:space="0" w:color="auto"/>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0.102</w:t>
            </w:r>
          </w:p>
        </w:tc>
        <w:tc>
          <w:tcPr>
            <w:tcW w:w="772" w:type="dxa"/>
            <w:tcBorders>
              <w:bottom w:val="single" w:sz="8" w:space="0" w:color="auto"/>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0.02</w:t>
            </w:r>
          </w:p>
        </w:tc>
        <w:tc>
          <w:tcPr>
            <w:tcW w:w="773" w:type="dxa"/>
            <w:tcBorders>
              <w:bottom w:val="single" w:sz="8" w:space="0" w:color="auto"/>
              <w:right w:val="single" w:sz="8" w:space="0" w:color="auto"/>
            </w:tcBorders>
            <w:shd w:val="clear" w:color="000000" w:fill="F2F2F2"/>
            <w:noWrap/>
            <w:vAlign w:val="center"/>
            <w:hideMark/>
          </w:tcPr>
          <w:p w:rsidR="00B573A1" w:rsidRPr="00353650" w:rsidRDefault="00B573A1" w:rsidP="008B2934">
            <w:pPr>
              <w:spacing w:after="0"/>
              <w:jc w:val="center"/>
              <w:rPr>
                <w:rFonts w:cstheme="minorHAnsi"/>
                <w:b/>
                <w:bCs/>
                <w:color w:val="000000"/>
                <w:szCs w:val="24"/>
                <w:lang w:eastAsia="en-GB"/>
              </w:rPr>
            </w:pPr>
            <w:r w:rsidRPr="00353650">
              <w:rPr>
                <w:rFonts w:cstheme="minorHAnsi"/>
                <w:b/>
                <w:bCs/>
                <w:color w:val="000000"/>
                <w:szCs w:val="24"/>
                <w:lang w:eastAsia="en-GB"/>
              </w:rPr>
              <w:t>0.878</w:t>
            </w:r>
          </w:p>
        </w:tc>
        <w:tc>
          <w:tcPr>
            <w:tcW w:w="772" w:type="dxa"/>
            <w:tcBorders>
              <w:left w:val="single" w:sz="8" w:space="0" w:color="auto"/>
              <w:bottom w:val="single" w:sz="8" w:space="0" w:color="auto"/>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0.094</w:t>
            </w:r>
          </w:p>
        </w:tc>
        <w:tc>
          <w:tcPr>
            <w:tcW w:w="772" w:type="dxa"/>
            <w:tcBorders>
              <w:bottom w:val="single" w:sz="8" w:space="0" w:color="auto"/>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0.028</w:t>
            </w:r>
          </w:p>
        </w:tc>
        <w:tc>
          <w:tcPr>
            <w:tcW w:w="773" w:type="dxa"/>
            <w:tcBorders>
              <w:bottom w:val="single" w:sz="8" w:space="0" w:color="auto"/>
              <w:right w:val="single" w:sz="8" w:space="0" w:color="auto"/>
            </w:tcBorders>
            <w:shd w:val="clear" w:color="000000" w:fill="F2F2F2"/>
            <w:noWrap/>
            <w:vAlign w:val="center"/>
            <w:hideMark/>
          </w:tcPr>
          <w:p w:rsidR="00B573A1" w:rsidRPr="00353650" w:rsidRDefault="00B573A1" w:rsidP="008B2934">
            <w:pPr>
              <w:spacing w:after="0"/>
              <w:jc w:val="center"/>
              <w:rPr>
                <w:rFonts w:cstheme="minorHAnsi"/>
                <w:b/>
                <w:bCs/>
                <w:color w:val="000000"/>
                <w:szCs w:val="24"/>
                <w:lang w:eastAsia="en-GB"/>
              </w:rPr>
            </w:pPr>
            <w:r w:rsidRPr="00353650">
              <w:rPr>
                <w:rFonts w:cstheme="minorHAnsi"/>
                <w:b/>
                <w:bCs/>
                <w:color w:val="000000"/>
                <w:szCs w:val="24"/>
                <w:lang w:eastAsia="en-GB"/>
              </w:rPr>
              <w:t>0.878</w:t>
            </w:r>
          </w:p>
        </w:tc>
        <w:tc>
          <w:tcPr>
            <w:tcW w:w="772" w:type="dxa"/>
            <w:tcBorders>
              <w:left w:val="single" w:sz="8" w:space="0" w:color="auto"/>
              <w:bottom w:val="single" w:sz="8" w:space="0" w:color="auto"/>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0.109</w:t>
            </w:r>
          </w:p>
        </w:tc>
        <w:tc>
          <w:tcPr>
            <w:tcW w:w="772" w:type="dxa"/>
            <w:tcBorders>
              <w:bottom w:val="single" w:sz="8" w:space="0" w:color="auto"/>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0.037</w:t>
            </w:r>
          </w:p>
        </w:tc>
        <w:tc>
          <w:tcPr>
            <w:tcW w:w="773" w:type="dxa"/>
            <w:tcBorders>
              <w:bottom w:val="single" w:sz="8" w:space="0" w:color="auto"/>
            </w:tcBorders>
            <w:shd w:val="clear" w:color="000000" w:fill="F2F2F2"/>
            <w:noWrap/>
            <w:vAlign w:val="center"/>
            <w:hideMark/>
          </w:tcPr>
          <w:p w:rsidR="00B573A1" w:rsidRPr="00353650" w:rsidRDefault="00B573A1" w:rsidP="008B2934">
            <w:pPr>
              <w:spacing w:after="0"/>
              <w:jc w:val="center"/>
              <w:rPr>
                <w:rFonts w:cstheme="minorHAnsi"/>
                <w:b/>
                <w:bCs/>
                <w:color w:val="000000"/>
                <w:szCs w:val="24"/>
                <w:lang w:eastAsia="en-GB"/>
              </w:rPr>
            </w:pPr>
            <w:r w:rsidRPr="00353650">
              <w:rPr>
                <w:rFonts w:cstheme="minorHAnsi"/>
                <w:b/>
                <w:bCs/>
                <w:color w:val="000000"/>
                <w:szCs w:val="24"/>
                <w:lang w:eastAsia="en-GB"/>
              </w:rPr>
              <w:t>0.855</w:t>
            </w:r>
          </w:p>
        </w:tc>
      </w:tr>
      <w:tr w:rsidR="00B573A1" w:rsidRPr="00353650" w:rsidTr="008B2934">
        <w:trPr>
          <w:trHeight w:val="283"/>
        </w:trPr>
        <w:tc>
          <w:tcPr>
            <w:tcW w:w="1716" w:type="dxa"/>
            <w:tcBorders>
              <w:top w:val="single" w:sz="8" w:space="0" w:color="auto"/>
              <w:bottom w:val="nil"/>
              <w:right w:val="single" w:sz="24" w:space="0" w:color="auto"/>
            </w:tcBorders>
            <w:shd w:val="clear" w:color="auto" w:fill="auto"/>
            <w:noWrap/>
            <w:vAlign w:val="bottom"/>
            <w:hideMark/>
          </w:tcPr>
          <w:p w:rsidR="00B573A1" w:rsidRPr="00353650" w:rsidRDefault="00B573A1" w:rsidP="008B2934">
            <w:pPr>
              <w:spacing w:after="0"/>
              <w:rPr>
                <w:rFonts w:cstheme="minorHAnsi"/>
                <w:color w:val="000000"/>
                <w:szCs w:val="24"/>
                <w:lang w:eastAsia="en-GB"/>
              </w:rPr>
            </w:pPr>
            <w:r w:rsidRPr="00353650">
              <w:rPr>
                <w:rFonts w:cstheme="minorHAnsi"/>
                <w:color w:val="000000"/>
                <w:szCs w:val="24"/>
                <w:lang w:eastAsia="en-GB"/>
              </w:rPr>
              <w:t>Continental</w:t>
            </w:r>
          </w:p>
        </w:tc>
        <w:tc>
          <w:tcPr>
            <w:tcW w:w="413" w:type="dxa"/>
            <w:tcBorders>
              <w:top w:val="single" w:sz="8" w:space="0" w:color="auto"/>
              <w:left w:val="single" w:sz="24" w:space="0" w:color="auto"/>
              <w:bottom w:val="nil"/>
              <w:right w:val="single" w:sz="24" w:space="0" w:color="auto"/>
            </w:tcBorders>
            <w:shd w:val="clear" w:color="auto" w:fill="auto"/>
            <w:noWrap/>
            <w:vAlign w:val="center"/>
            <w:hideMark/>
          </w:tcPr>
          <w:p w:rsidR="00B573A1" w:rsidRPr="00353650" w:rsidRDefault="00B573A1" w:rsidP="008B2934">
            <w:pPr>
              <w:spacing w:after="0"/>
              <w:jc w:val="center"/>
              <w:rPr>
                <w:rFonts w:cstheme="minorHAnsi"/>
                <w:b/>
                <w:color w:val="000000"/>
                <w:szCs w:val="24"/>
                <w:lang w:eastAsia="en-GB"/>
              </w:rPr>
            </w:pPr>
            <w:r w:rsidRPr="00353650">
              <w:rPr>
                <w:rFonts w:cstheme="minorHAnsi"/>
                <w:b/>
                <w:color w:val="000000"/>
                <w:szCs w:val="24"/>
                <w:lang w:eastAsia="en-GB"/>
              </w:rPr>
              <w:t>E</w:t>
            </w:r>
          </w:p>
        </w:tc>
        <w:tc>
          <w:tcPr>
            <w:tcW w:w="772" w:type="dxa"/>
            <w:tcBorders>
              <w:top w:val="single" w:sz="8" w:space="0" w:color="auto"/>
              <w:left w:val="single" w:sz="24" w:space="0" w:color="auto"/>
              <w:bottom w:val="nil"/>
            </w:tcBorders>
            <w:shd w:val="clear" w:color="000000" w:fill="F2F2F2"/>
            <w:noWrap/>
            <w:vAlign w:val="center"/>
            <w:hideMark/>
          </w:tcPr>
          <w:p w:rsidR="00B573A1" w:rsidRPr="00353650" w:rsidRDefault="00B573A1" w:rsidP="008B2934">
            <w:pPr>
              <w:spacing w:after="0"/>
              <w:jc w:val="center"/>
              <w:rPr>
                <w:rFonts w:cstheme="minorHAnsi"/>
                <w:b/>
                <w:bCs/>
                <w:color w:val="000000"/>
                <w:szCs w:val="24"/>
                <w:lang w:eastAsia="en-GB"/>
              </w:rPr>
            </w:pPr>
            <w:r w:rsidRPr="00353650">
              <w:rPr>
                <w:rFonts w:cstheme="minorHAnsi"/>
                <w:b/>
                <w:bCs/>
                <w:color w:val="000000"/>
                <w:szCs w:val="24"/>
                <w:lang w:eastAsia="en-GB"/>
              </w:rPr>
              <w:t>0.933</w:t>
            </w:r>
          </w:p>
        </w:tc>
        <w:tc>
          <w:tcPr>
            <w:tcW w:w="772" w:type="dxa"/>
            <w:tcBorders>
              <w:top w:val="single" w:sz="8" w:space="0" w:color="auto"/>
              <w:bottom w:val="nil"/>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0.033</w:t>
            </w:r>
          </w:p>
        </w:tc>
        <w:tc>
          <w:tcPr>
            <w:tcW w:w="773" w:type="dxa"/>
            <w:tcBorders>
              <w:top w:val="single" w:sz="8" w:space="0" w:color="auto"/>
              <w:bottom w:val="nil"/>
              <w:right w:val="single" w:sz="8" w:space="0" w:color="auto"/>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0.034</w:t>
            </w:r>
          </w:p>
        </w:tc>
        <w:tc>
          <w:tcPr>
            <w:tcW w:w="772" w:type="dxa"/>
            <w:tcBorders>
              <w:top w:val="single" w:sz="8" w:space="0" w:color="auto"/>
              <w:left w:val="single" w:sz="8" w:space="0" w:color="auto"/>
              <w:bottom w:val="nil"/>
            </w:tcBorders>
            <w:shd w:val="clear" w:color="000000" w:fill="F2F2F2"/>
            <w:noWrap/>
            <w:vAlign w:val="center"/>
            <w:hideMark/>
          </w:tcPr>
          <w:p w:rsidR="00B573A1" w:rsidRPr="00353650" w:rsidRDefault="00B573A1" w:rsidP="008B2934">
            <w:pPr>
              <w:spacing w:after="0"/>
              <w:jc w:val="center"/>
              <w:rPr>
                <w:rFonts w:cstheme="minorHAnsi"/>
                <w:b/>
                <w:bCs/>
                <w:color w:val="000000"/>
                <w:szCs w:val="24"/>
                <w:lang w:eastAsia="en-GB"/>
              </w:rPr>
            </w:pPr>
            <w:r w:rsidRPr="00353650">
              <w:rPr>
                <w:rFonts w:cstheme="minorHAnsi"/>
                <w:b/>
                <w:bCs/>
                <w:color w:val="000000"/>
                <w:szCs w:val="24"/>
                <w:lang w:eastAsia="en-GB"/>
              </w:rPr>
              <w:t>0.923</w:t>
            </w:r>
          </w:p>
        </w:tc>
        <w:tc>
          <w:tcPr>
            <w:tcW w:w="772" w:type="dxa"/>
            <w:tcBorders>
              <w:top w:val="single" w:sz="8" w:space="0" w:color="auto"/>
              <w:bottom w:val="nil"/>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0.041</w:t>
            </w:r>
          </w:p>
        </w:tc>
        <w:tc>
          <w:tcPr>
            <w:tcW w:w="773" w:type="dxa"/>
            <w:tcBorders>
              <w:top w:val="single" w:sz="8" w:space="0" w:color="auto"/>
              <w:bottom w:val="nil"/>
              <w:right w:val="single" w:sz="8" w:space="0" w:color="auto"/>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0.035</w:t>
            </w:r>
          </w:p>
        </w:tc>
        <w:tc>
          <w:tcPr>
            <w:tcW w:w="772" w:type="dxa"/>
            <w:tcBorders>
              <w:top w:val="single" w:sz="8" w:space="0" w:color="auto"/>
              <w:left w:val="single" w:sz="8" w:space="0" w:color="auto"/>
              <w:bottom w:val="nil"/>
            </w:tcBorders>
            <w:shd w:val="clear" w:color="000000" w:fill="F2F2F2"/>
            <w:noWrap/>
            <w:vAlign w:val="center"/>
            <w:hideMark/>
          </w:tcPr>
          <w:p w:rsidR="00B573A1" w:rsidRPr="00353650" w:rsidRDefault="00B573A1" w:rsidP="008B2934">
            <w:pPr>
              <w:spacing w:after="0"/>
              <w:jc w:val="center"/>
              <w:rPr>
                <w:rFonts w:cstheme="minorHAnsi"/>
                <w:b/>
                <w:bCs/>
                <w:color w:val="000000"/>
                <w:szCs w:val="24"/>
                <w:lang w:eastAsia="en-GB"/>
              </w:rPr>
            </w:pPr>
            <w:r w:rsidRPr="00353650">
              <w:rPr>
                <w:rFonts w:cstheme="minorHAnsi"/>
                <w:b/>
                <w:bCs/>
                <w:color w:val="000000"/>
                <w:szCs w:val="24"/>
                <w:lang w:eastAsia="en-GB"/>
              </w:rPr>
              <w:t>0.920</w:t>
            </w:r>
          </w:p>
        </w:tc>
        <w:tc>
          <w:tcPr>
            <w:tcW w:w="772" w:type="dxa"/>
            <w:tcBorders>
              <w:top w:val="single" w:sz="8" w:space="0" w:color="auto"/>
              <w:bottom w:val="nil"/>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0.043</w:t>
            </w:r>
          </w:p>
        </w:tc>
        <w:tc>
          <w:tcPr>
            <w:tcW w:w="773" w:type="dxa"/>
            <w:tcBorders>
              <w:top w:val="single" w:sz="8" w:space="0" w:color="auto"/>
              <w:bottom w:val="nil"/>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0.037</w:t>
            </w:r>
          </w:p>
        </w:tc>
      </w:tr>
      <w:tr w:rsidR="00B573A1" w:rsidRPr="00353650" w:rsidTr="008B2934">
        <w:trPr>
          <w:trHeight w:val="283"/>
        </w:trPr>
        <w:tc>
          <w:tcPr>
            <w:tcW w:w="1716" w:type="dxa"/>
            <w:tcBorders>
              <w:top w:val="nil"/>
              <w:right w:val="single" w:sz="24" w:space="0" w:color="auto"/>
            </w:tcBorders>
            <w:shd w:val="clear" w:color="auto" w:fill="auto"/>
            <w:noWrap/>
            <w:vAlign w:val="bottom"/>
            <w:hideMark/>
          </w:tcPr>
          <w:p w:rsidR="00B573A1" w:rsidRPr="00353650" w:rsidRDefault="00B573A1" w:rsidP="008B2934">
            <w:pPr>
              <w:spacing w:after="0"/>
              <w:rPr>
                <w:rFonts w:cstheme="minorHAnsi"/>
                <w:color w:val="000000"/>
                <w:szCs w:val="24"/>
                <w:lang w:eastAsia="en-GB"/>
              </w:rPr>
            </w:pPr>
          </w:p>
        </w:tc>
        <w:tc>
          <w:tcPr>
            <w:tcW w:w="413" w:type="dxa"/>
            <w:tcBorders>
              <w:top w:val="nil"/>
              <w:left w:val="single" w:sz="24" w:space="0" w:color="auto"/>
              <w:right w:val="single" w:sz="24" w:space="0" w:color="auto"/>
            </w:tcBorders>
            <w:shd w:val="clear" w:color="auto" w:fill="auto"/>
            <w:noWrap/>
            <w:vAlign w:val="center"/>
            <w:hideMark/>
          </w:tcPr>
          <w:p w:rsidR="00B573A1" w:rsidRPr="00353650" w:rsidRDefault="00B573A1" w:rsidP="008B2934">
            <w:pPr>
              <w:spacing w:after="0"/>
              <w:jc w:val="center"/>
              <w:rPr>
                <w:rFonts w:cstheme="minorHAnsi"/>
                <w:b/>
                <w:color w:val="000000"/>
                <w:szCs w:val="24"/>
                <w:lang w:eastAsia="en-GB"/>
              </w:rPr>
            </w:pPr>
            <w:r w:rsidRPr="00353650">
              <w:rPr>
                <w:rFonts w:cstheme="minorHAnsi"/>
                <w:b/>
                <w:color w:val="000000"/>
                <w:szCs w:val="24"/>
                <w:lang w:eastAsia="en-GB"/>
              </w:rPr>
              <w:t>U</w:t>
            </w:r>
          </w:p>
        </w:tc>
        <w:tc>
          <w:tcPr>
            <w:tcW w:w="772" w:type="dxa"/>
            <w:tcBorders>
              <w:top w:val="nil"/>
              <w:left w:val="single" w:sz="24" w:space="0" w:color="auto"/>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0.321</w:t>
            </w:r>
          </w:p>
        </w:tc>
        <w:tc>
          <w:tcPr>
            <w:tcW w:w="772" w:type="dxa"/>
            <w:tcBorders>
              <w:top w:val="nil"/>
            </w:tcBorders>
            <w:shd w:val="clear" w:color="000000" w:fill="F2F2F2"/>
            <w:noWrap/>
            <w:vAlign w:val="center"/>
            <w:hideMark/>
          </w:tcPr>
          <w:p w:rsidR="00B573A1" w:rsidRPr="00353650" w:rsidRDefault="00B573A1" w:rsidP="008B2934">
            <w:pPr>
              <w:spacing w:after="0"/>
              <w:jc w:val="center"/>
              <w:rPr>
                <w:rFonts w:cstheme="minorHAnsi"/>
                <w:b/>
                <w:bCs/>
                <w:color w:val="000000"/>
                <w:szCs w:val="24"/>
                <w:lang w:eastAsia="en-GB"/>
              </w:rPr>
            </w:pPr>
            <w:r w:rsidRPr="00353650">
              <w:rPr>
                <w:rFonts w:cstheme="minorHAnsi"/>
                <w:b/>
                <w:bCs/>
                <w:color w:val="000000"/>
                <w:szCs w:val="24"/>
                <w:lang w:eastAsia="en-GB"/>
              </w:rPr>
              <w:t>0.597</w:t>
            </w:r>
          </w:p>
        </w:tc>
        <w:tc>
          <w:tcPr>
            <w:tcW w:w="773" w:type="dxa"/>
            <w:tcBorders>
              <w:top w:val="nil"/>
              <w:right w:val="single" w:sz="8" w:space="0" w:color="auto"/>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0.083</w:t>
            </w:r>
          </w:p>
        </w:tc>
        <w:tc>
          <w:tcPr>
            <w:tcW w:w="772" w:type="dxa"/>
            <w:tcBorders>
              <w:top w:val="nil"/>
              <w:left w:val="single" w:sz="8" w:space="0" w:color="auto"/>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0.308</w:t>
            </w:r>
          </w:p>
        </w:tc>
        <w:tc>
          <w:tcPr>
            <w:tcW w:w="772" w:type="dxa"/>
            <w:tcBorders>
              <w:top w:val="nil"/>
            </w:tcBorders>
            <w:shd w:val="clear" w:color="000000" w:fill="F2F2F2"/>
            <w:noWrap/>
            <w:vAlign w:val="center"/>
            <w:hideMark/>
          </w:tcPr>
          <w:p w:rsidR="00B573A1" w:rsidRPr="00353650" w:rsidRDefault="00B573A1" w:rsidP="008B2934">
            <w:pPr>
              <w:spacing w:after="0"/>
              <w:jc w:val="center"/>
              <w:rPr>
                <w:rFonts w:cstheme="minorHAnsi"/>
                <w:b/>
                <w:bCs/>
                <w:color w:val="000000"/>
                <w:szCs w:val="24"/>
                <w:lang w:eastAsia="en-GB"/>
              </w:rPr>
            </w:pPr>
            <w:r w:rsidRPr="00353650">
              <w:rPr>
                <w:rFonts w:cstheme="minorHAnsi"/>
                <w:b/>
                <w:bCs/>
                <w:color w:val="000000"/>
                <w:szCs w:val="24"/>
                <w:lang w:eastAsia="en-GB"/>
              </w:rPr>
              <w:t>0.594</w:t>
            </w:r>
          </w:p>
        </w:tc>
        <w:tc>
          <w:tcPr>
            <w:tcW w:w="773" w:type="dxa"/>
            <w:tcBorders>
              <w:top w:val="nil"/>
              <w:right w:val="single" w:sz="8" w:space="0" w:color="auto"/>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0.097</w:t>
            </w:r>
          </w:p>
        </w:tc>
        <w:tc>
          <w:tcPr>
            <w:tcW w:w="772" w:type="dxa"/>
            <w:tcBorders>
              <w:top w:val="nil"/>
              <w:left w:val="single" w:sz="8" w:space="0" w:color="auto"/>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0.280</w:t>
            </w:r>
          </w:p>
        </w:tc>
        <w:tc>
          <w:tcPr>
            <w:tcW w:w="772" w:type="dxa"/>
            <w:tcBorders>
              <w:top w:val="nil"/>
            </w:tcBorders>
            <w:shd w:val="clear" w:color="000000" w:fill="F2F2F2"/>
            <w:noWrap/>
            <w:vAlign w:val="center"/>
            <w:hideMark/>
          </w:tcPr>
          <w:p w:rsidR="00B573A1" w:rsidRPr="00353650" w:rsidRDefault="00B573A1" w:rsidP="008B2934">
            <w:pPr>
              <w:spacing w:after="0"/>
              <w:jc w:val="center"/>
              <w:rPr>
                <w:rFonts w:cstheme="minorHAnsi"/>
                <w:b/>
                <w:bCs/>
                <w:color w:val="000000"/>
                <w:szCs w:val="24"/>
                <w:lang w:eastAsia="en-GB"/>
              </w:rPr>
            </w:pPr>
            <w:r w:rsidRPr="00353650">
              <w:rPr>
                <w:rFonts w:cstheme="minorHAnsi"/>
                <w:b/>
                <w:bCs/>
                <w:color w:val="000000"/>
                <w:szCs w:val="24"/>
                <w:lang w:eastAsia="en-GB"/>
              </w:rPr>
              <w:t>0.639</w:t>
            </w:r>
          </w:p>
        </w:tc>
        <w:tc>
          <w:tcPr>
            <w:tcW w:w="773" w:type="dxa"/>
            <w:tcBorders>
              <w:top w:val="nil"/>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0.080</w:t>
            </w:r>
          </w:p>
        </w:tc>
      </w:tr>
      <w:tr w:rsidR="00B573A1" w:rsidRPr="00353650" w:rsidTr="008B2934">
        <w:trPr>
          <w:trHeight w:val="283"/>
        </w:trPr>
        <w:tc>
          <w:tcPr>
            <w:tcW w:w="1716" w:type="dxa"/>
            <w:tcBorders>
              <w:bottom w:val="single" w:sz="8" w:space="0" w:color="auto"/>
              <w:right w:val="single" w:sz="24" w:space="0" w:color="auto"/>
            </w:tcBorders>
            <w:shd w:val="clear" w:color="auto" w:fill="auto"/>
            <w:noWrap/>
            <w:vAlign w:val="bottom"/>
            <w:hideMark/>
          </w:tcPr>
          <w:p w:rsidR="00B573A1" w:rsidRPr="00353650" w:rsidRDefault="00B573A1" w:rsidP="008B2934">
            <w:pPr>
              <w:spacing w:after="0"/>
              <w:rPr>
                <w:rFonts w:cstheme="minorHAnsi"/>
                <w:color w:val="000000"/>
                <w:szCs w:val="24"/>
                <w:lang w:eastAsia="en-GB"/>
              </w:rPr>
            </w:pPr>
          </w:p>
        </w:tc>
        <w:tc>
          <w:tcPr>
            <w:tcW w:w="413" w:type="dxa"/>
            <w:tcBorders>
              <w:left w:val="single" w:sz="24" w:space="0" w:color="auto"/>
              <w:bottom w:val="single" w:sz="8" w:space="0" w:color="auto"/>
              <w:right w:val="single" w:sz="24" w:space="0" w:color="auto"/>
            </w:tcBorders>
            <w:shd w:val="clear" w:color="auto" w:fill="auto"/>
            <w:noWrap/>
            <w:vAlign w:val="center"/>
            <w:hideMark/>
          </w:tcPr>
          <w:p w:rsidR="00B573A1" w:rsidRPr="00353650" w:rsidRDefault="00B573A1" w:rsidP="008B2934">
            <w:pPr>
              <w:spacing w:after="0"/>
              <w:jc w:val="center"/>
              <w:rPr>
                <w:rFonts w:cstheme="minorHAnsi"/>
                <w:b/>
                <w:color w:val="000000"/>
                <w:szCs w:val="24"/>
                <w:lang w:eastAsia="en-GB"/>
              </w:rPr>
            </w:pPr>
            <w:r w:rsidRPr="00353650">
              <w:rPr>
                <w:rFonts w:cstheme="minorHAnsi"/>
                <w:b/>
                <w:color w:val="000000"/>
                <w:szCs w:val="24"/>
                <w:lang w:eastAsia="en-GB"/>
              </w:rPr>
              <w:t>I</w:t>
            </w:r>
          </w:p>
        </w:tc>
        <w:tc>
          <w:tcPr>
            <w:tcW w:w="772" w:type="dxa"/>
            <w:tcBorders>
              <w:left w:val="single" w:sz="24" w:space="0" w:color="auto"/>
              <w:bottom w:val="single" w:sz="8" w:space="0" w:color="auto"/>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0.038</w:t>
            </w:r>
          </w:p>
        </w:tc>
        <w:tc>
          <w:tcPr>
            <w:tcW w:w="772" w:type="dxa"/>
            <w:tcBorders>
              <w:bottom w:val="single" w:sz="8" w:space="0" w:color="auto"/>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0.013</w:t>
            </w:r>
          </w:p>
        </w:tc>
        <w:tc>
          <w:tcPr>
            <w:tcW w:w="773" w:type="dxa"/>
            <w:tcBorders>
              <w:bottom w:val="single" w:sz="8" w:space="0" w:color="auto"/>
              <w:right w:val="single" w:sz="8" w:space="0" w:color="auto"/>
            </w:tcBorders>
            <w:shd w:val="clear" w:color="000000" w:fill="F2F2F2"/>
            <w:noWrap/>
            <w:vAlign w:val="center"/>
            <w:hideMark/>
          </w:tcPr>
          <w:p w:rsidR="00B573A1" w:rsidRPr="00353650" w:rsidRDefault="00B573A1" w:rsidP="008B2934">
            <w:pPr>
              <w:spacing w:after="0"/>
              <w:jc w:val="center"/>
              <w:rPr>
                <w:rFonts w:cstheme="minorHAnsi"/>
                <w:b/>
                <w:bCs/>
                <w:color w:val="000000"/>
                <w:szCs w:val="24"/>
                <w:lang w:eastAsia="en-GB"/>
              </w:rPr>
            </w:pPr>
            <w:r w:rsidRPr="00353650">
              <w:rPr>
                <w:rFonts w:cstheme="minorHAnsi"/>
                <w:b/>
                <w:bCs/>
                <w:color w:val="000000"/>
                <w:szCs w:val="24"/>
                <w:lang w:eastAsia="en-GB"/>
              </w:rPr>
              <w:t>0.949</w:t>
            </w:r>
          </w:p>
        </w:tc>
        <w:tc>
          <w:tcPr>
            <w:tcW w:w="772" w:type="dxa"/>
            <w:tcBorders>
              <w:left w:val="single" w:sz="8" w:space="0" w:color="auto"/>
              <w:bottom w:val="single" w:sz="8" w:space="0" w:color="auto"/>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0.044</w:t>
            </w:r>
          </w:p>
        </w:tc>
        <w:tc>
          <w:tcPr>
            <w:tcW w:w="772" w:type="dxa"/>
            <w:tcBorders>
              <w:bottom w:val="single" w:sz="8" w:space="0" w:color="auto"/>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0.021</w:t>
            </w:r>
          </w:p>
        </w:tc>
        <w:tc>
          <w:tcPr>
            <w:tcW w:w="773" w:type="dxa"/>
            <w:tcBorders>
              <w:bottom w:val="single" w:sz="8" w:space="0" w:color="auto"/>
              <w:right w:val="single" w:sz="8" w:space="0" w:color="auto"/>
            </w:tcBorders>
            <w:shd w:val="clear" w:color="000000" w:fill="F2F2F2"/>
            <w:noWrap/>
            <w:vAlign w:val="center"/>
            <w:hideMark/>
          </w:tcPr>
          <w:p w:rsidR="00B573A1" w:rsidRPr="00353650" w:rsidRDefault="00B573A1" w:rsidP="008B2934">
            <w:pPr>
              <w:spacing w:after="0"/>
              <w:jc w:val="center"/>
              <w:rPr>
                <w:rFonts w:cstheme="minorHAnsi"/>
                <w:b/>
                <w:bCs/>
                <w:color w:val="000000"/>
                <w:szCs w:val="24"/>
                <w:lang w:eastAsia="en-GB"/>
              </w:rPr>
            </w:pPr>
            <w:r w:rsidRPr="00353650">
              <w:rPr>
                <w:rFonts w:cstheme="minorHAnsi"/>
                <w:b/>
                <w:bCs/>
                <w:color w:val="000000"/>
                <w:szCs w:val="24"/>
                <w:lang w:eastAsia="en-GB"/>
              </w:rPr>
              <w:t>0.936</w:t>
            </w:r>
          </w:p>
        </w:tc>
        <w:tc>
          <w:tcPr>
            <w:tcW w:w="772" w:type="dxa"/>
            <w:tcBorders>
              <w:left w:val="single" w:sz="8" w:space="0" w:color="auto"/>
              <w:bottom w:val="single" w:sz="8" w:space="0" w:color="auto"/>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0.040</w:t>
            </w:r>
          </w:p>
        </w:tc>
        <w:tc>
          <w:tcPr>
            <w:tcW w:w="772" w:type="dxa"/>
            <w:tcBorders>
              <w:bottom w:val="single" w:sz="8" w:space="0" w:color="auto"/>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0.02</w:t>
            </w:r>
          </w:p>
        </w:tc>
        <w:tc>
          <w:tcPr>
            <w:tcW w:w="773" w:type="dxa"/>
            <w:tcBorders>
              <w:bottom w:val="single" w:sz="8" w:space="0" w:color="auto"/>
            </w:tcBorders>
            <w:shd w:val="clear" w:color="000000" w:fill="F2F2F2"/>
            <w:noWrap/>
            <w:vAlign w:val="center"/>
            <w:hideMark/>
          </w:tcPr>
          <w:p w:rsidR="00B573A1" w:rsidRPr="00353650" w:rsidRDefault="00B573A1" w:rsidP="008B2934">
            <w:pPr>
              <w:spacing w:after="0"/>
              <w:jc w:val="center"/>
              <w:rPr>
                <w:rFonts w:cstheme="minorHAnsi"/>
                <w:b/>
                <w:bCs/>
                <w:color w:val="000000"/>
                <w:szCs w:val="24"/>
                <w:lang w:eastAsia="en-GB"/>
              </w:rPr>
            </w:pPr>
            <w:r w:rsidRPr="00353650">
              <w:rPr>
                <w:rFonts w:cstheme="minorHAnsi"/>
                <w:b/>
                <w:bCs/>
                <w:color w:val="000000"/>
                <w:szCs w:val="24"/>
                <w:lang w:eastAsia="en-GB"/>
              </w:rPr>
              <w:t>0.940</w:t>
            </w:r>
          </w:p>
        </w:tc>
      </w:tr>
      <w:tr w:rsidR="00B573A1" w:rsidRPr="00353650" w:rsidTr="008B2934">
        <w:trPr>
          <w:trHeight w:val="283"/>
        </w:trPr>
        <w:tc>
          <w:tcPr>
            <w:tcW w:w="1716" w:type="dxa"/>
            <w:tcBorders>
              <w:top w:val="single" w:sz="8" w:space="0" w:color="auto"/>
              <w:bottom w:val="nil"/>
              <w:right w:val="single" w:sz="24" w:space="0" w:color="auto"/>
            </w:tcBorders>
            <w:shd w:val="clear" w:color="auto" w:fill="auto"/>
            <w:noWrap/>
            <w:vAlign w:val="bottom"/>
            <w:hideMark/>
          </w:tcPr>
          <w:p w:rsidR="00B573A1" w:rsidRPr="00353650" w:rsidRDefault="00B573A1" w:rsidP="008B2934">
            <w:pPr>
              <w:spacing w:after="0"/>
              <w:rPr>
                <w:rFonts w:cstheme="minorHAnsi"/>
                <w:color w:val="000000"/>
                <w:szCs w:val="24"/>
                <w:lang w:eastAsia="en-GB"/>
              </w:rPr>
            </w:pPr>
            <w:r w:rsidRPr="00353650">
              <w:rPr>
                <w:rFonts w:cstheme="minorHAnsi"/>
                <w:color w:val="000000"/>
                <w:szCs w:val="24"/>
                <w:lang w:eastAsia="en-GB"/>
              </w:rPr>
              <w:t>Mediterranean</w:t>
            </w:r>
          </w:p>
        </w:tc>
        <w:tc>
          <w:tcPr>
            <w:tcW w:w="413" w:type="dxa"/>
            <w:tcBorders>
              <w:top w:val="single" w:sz="8" w:space="0" w:color="auto"/>
              <w:left w:val="single" w:sz="24" w:space="0" w:color="auto"/>
              <w:bottom w:val="nil"/>
              <w:right w:val="single" w:sz="24" w:space="0" w:color="auto"/>
            </w:tcBorders>
            <w:shd w:val="clear" w:color="auto" w:fill="auto"/>
            <w:noWrap/>
            <w:vAlign w:val="center"/>
            <w:hideMark/>
          </w:tcPr>
          <w:p w:rsidR="00B573A1" w:rsidRPr="00353650" w:rsidRDefault="00B573A1" w:rsidP="008B2934">
            <w:pPr>
              <w:spacing w:after="0"/>
              <w:jc w:val="center"/>
              <w:rPr>
                <w:rFonts w:cstheme="minorHAnsi"/>
                <w:b/>
                <w:color w:val="000000"/>
                <w:szCs w:val="24"/>
                <w:lang w:eastAsia="en-GB"/>
              </w:rPr>
            </w:pPr>
            <w:r w:rsidRPr="00353650">
              <w:rPr>
                <w:rFonts w:cstheme="minorHAnsi"/>
                <w:b/>
                <w:color w:val="000000"/>
                <w:szCs w:val="24"/>
                <w:lang w:eastAsia="en-GB"/>
              </w:rPr>
              <w:t>E</w:t>
            </w:r>
          </w:p>
        </w:tc>
        <w:tc>
          <w:tcPr>
            <w:tcW w:w="772" w:type="dxa"/>
            <w:tcBorders>
              <w:top w:val="single" w:sz="8" w:space="0" w:color="auto"/>
              <w:left w:val="single" w:sz="24" w:space="0" w:color="auto"/>
              <w:bottom w:val="nil"/>
            </w:tcBorders>
            <w:shd w:val="clear" w:color="000000" w:fill="F2F2F2"/>
            <w:noWrap/>
            <w:vAlign w:val="center"/>
            <w:hideMark/>
          </w:tcPr>
          <w:p w:rsidR="00B573A1" w:rsidRPr="00353650" w:rsidRDefault="00B573A1" w:rsidP="008B2934">
            <w:pPr>
              <w:spacing w:after="0"/>
              <w:jc w:val="center"/>
              <w:rPr>
                <w:rFonts w:cstheme="minorHAnsi"/>
                <w:b/>
                <w:bCs/>
                <w:color w:val="000000"/>
                <w:szCs w:val="24"/>
                <w:lang w:eastAsia="en-GB"/>
              </w:rPr>
            </w:pPr>
            <w:r w:rsidRPr="00353650">
              <w:rPr>
                <w:rFonts w:cstheme="minorHAnsi"/>
                <w:b/>
                <w:bCs/>
                <w:color w:val="000000"/>
                <w:szCs w:val="24"/>
                <w:lang w:eastAsia="en-GB"/>
              </w:rPr>
              <w:t>0.936</w:t>
            </w:r>
          </w:p>
        </w:tc>
        <w:tc>
          <w:tcPr>
            <w:tcW w:w="772" w:type="dxa"/>
            <w:tcBorders>
              <w:top w:val="single" w:sz="8" w:space="0" w:color="auto"/>
              <w:bottom w:val="nil"/>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0.032</w:t>
            </w:r>
          </w:p>
        </w:tc>
        <w:tc>
          <w:tcPr>
            <w:tcW w:w="773" w:type="dxa"/>
            <w:tcBorders>
              <w:top w:val="single" w:sz="8" w:space="0" w:color="auto"/>
              <w:bottom w:val="nil"/>
              <w:right w:val="single" w:sz="8" w:space="0" w:color="auto"/>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0.032</w:t>
            </w:r>
          </w:p>
        </w:tc>
        <w:tc>
          <w:tcPr>
            <w:tcW w:w="772" w:type="dxa"/>
            <w:tcBorders>
              <w:top w:val="single" w:sz="8" w:space="0" w:color="auto"/>
              <w:left w:val="single" w:sz="8" w:space="0" w:color="auto"/>
              <w:bottom w:val="nil"/>
            </w:tcBorders>
            <w:shd w:val="clear" w:color="000000" w:fill="F2F2F2"/>
            <w:noWrap/>
            <w:vAlign w:val="center"/>
            <w:hideMark/>
          </w:tcPr>
          <w:p w:rsidR="00B573A1" w:rsidRPr="00353650" w:rsidRDefault="00B573A1" w:rsidP="008B2934">
            <w:pPr>
              <w:spacing w:after="0"/>
              <w:jc w:val="center"/>
              <w:rPr>
                <w:rFonts w:cstheme="minorHAnsi"/>
                <w:b/>
                <w:bCs/>
                <w:color w:val="000000"/>
                <w:szCs w:val="24"/>
                <w:lang w:eastAsia="en-GB"/>
              </w:rPr>
            </w:pPr>
            <w:r w:rsidRPr="00353650">
              <w:rPr>
                <w:rFonts w:cstheme="minorHAnsi"/>
                <w:b/>
                <w:bCs/>
                <w:color w:val="000000"/>
                <w:szCs w:val="24"/>
                <w:lang w:eastAsia="en-GB"/>
              </w:rPr>
              <w:t>0.914</w:t>
            </w:r>
          </w:p>
        </w:tc>
        <w:tc>
          <w:tcPr>
            <w:tcW w:w="772" w:type="dxa"/>
            <w:tcBorders>
              <w:top w:val="single" w:sz="8" w:space="0" w:color="auto"/>
              <w:bottom w:val="nil"/>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0.054</w:t>
            </w:r>
          </w:p>
        </w:tc>
        <w:tc>
          <w:tcPr>
            <w:tcW w:w="773" w:type="dxa"/>
            <w:tcBorders>
              <w:top w:val="single" w:sz="8" w:space="0" w:color="auto"/>
              <w:bottom w:val="nil"/>
              <w:right w:val="single" w:sz="8" w:space="0" w:color="auto"/>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0.031</w:t>
            </w:r>
          </w:p>
        </w:tc>
        <w:tc>
          <w:tcPr>
            <w:tcW w:w="772" w:type="dxa"/>
            <w:tcBorders>
              <w:top w:val="single" w:sz="8" w:space="0" w:color="auto"/>
              <w:left w:val="single" w:sz="8" w:space="0" w:color="auto"/>
              <w:bottom w:val="nil"/>
            </w:tcBorders>
            <w:shd w:val="clear" w:color="000000" w:fill="F2F2F2"/>
            <w:noWrap/>
            <w:vAlign w:val="center"/>
            <w:hideMark/>
          </w:tcPr>
          <w:p w:rsidR="00B573A1" w:rsidRPr="00353650" w:rsidRDefault="00B573A1" w:rsidP="008B2934">
            <w:pPr>
              <w:spacing w:after="0"/>
              <w:jc w:val="center"/>
              <w:rPr>
                <w:rFonts w:cstheme="minorHAnsi"/>
                <w:b/>
                <w:bCs/>
                <w:color w:val="000000"/>
                <w:szCs w:val="24"/>
                <w:lang w:eastAsia="en-GB"/>
              </w:rPr>
            </w:pPr>
            <w:r w:rsidRPr="00353650">
              <w:rPr>
                <w:rFonts w:cstheme="minorHAnsi"/>
                <w:b/>
                <w:bCs/>
                <w:color w:val="000000"/>
                <w:szCs w:val="24"/>
                <w:lang w:eastAsia="en-GB"/>
              </w:rPr>
              <w:t>0.930</w:t>
            </w:r>
          </w:p>
        </w:tc>
        <w:tc>
          <w:tcPr>
            <w:tcW w:w="772" w:type="dxa"/>
            <w:tcBorders>
              <w:top w:val="single" w:sz="8" w:space="0" w:color="auto"/>
              <w:bottom w:val="nil"/>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0.044</w:t>
            </w:r>
          </w:p>
        </w:tc>
        <w:tc>
          <w:tcPr>
            <w:tcW w:w="773" w:type="dxa"/>
            <w:tcBorders>
              <w:top w:val="single" w:sz="8" w:space="0" w:color="auto"/>
              <w:bottom w:val="nil"/>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0.026</w:t>
            </w:r>
          </w:p>
        </w:tc>
      </w:tr>
      <w:tr w:rsidR="00B573A1" w:rsidRPr="00353650" w:rsidTr="008B2934">
        <w:trPr>
          <w:trHeight w:val="283"/>
        </w:trPr>
        <w:tc>
          <w:tcPr>
            <w:tcW w:w="1716" w:type="dxa"/>
            <w:tcBorders>
              <w:top w:val="nil"/>
              <w:right w:val="single" w:sz="24" w:space="0" w:color="auto"/>
            </w:tcBorders>
            <w:shd w:val="clear" w:color="auto" w:fill="auto"/>
            <w:noWrap/>
            <w:vAlign w:val="bottom"/>
            <w:hideMark/>
          </w:tcPr>
          <w:p w:rsidR="00B573A1" w:rsidRPr="00353650" w:rsidRDefault="00B573A1" w:rsidP="008B2934">
            <w:pPr>
              <w:spacing w:after="0"/>
              <w:rPr>
                <w:rFonts w:cstheme="minorHAnsi"/>
                <w:color w:val="000000"/>
                <w:szCs w:val="24"/>
                <w:lang w:eastAsia="en-GB"/>
              </w:rPr>
            </w:pPr>
          </w:p>
        </w:tc>
        <w:tc>
          <w:tcPr>
            <w:tcW w:w="413" w:type="dxa"/>
            <w:tcBorders>
              <w:top w:val="nil"/>
              <w:left w:val="single" w:sz="24" w:space="0" w:color="auto"/>
              <w:right w:val="single" w:sz="24" w:space="0" w:color="auto"/>
            </w:tcBorders>
            <w:shd w:val="clear" w:color="auto" w:fill="auto"/>
            <w:noWrap/>
            <w:vAlign w:val="center"/>
            <w:hideMark/>
          </w:tcPr>
          <w:p w:rsidR="00B573A1" w:rsidRPr="00353650" w:rsidRDefault="00B573A1" w:rsidP="008B2934">
            <w:pPr>
              <w:spacing w:after="0"/>
              <w:jc w:val="center"/>
              <w:rPr>
                <w:rFonts w:cstheme="minorHAnsi"/>
                <w:b/>
                <w:color w:val="000000"/>
                <w:szCs w:val="24"/>
                <w:lang w:eastAsia="en-GB"/>
              </w:rPr>
            </w:pPr>
            <w:r w:rsidRPr="00353650">
              <w:rPr>
                <w:rFonts w:cstheme="minorHAnsi"/>
                <w:b/>
                <w:color w:val="000000"/>
                <w:szCs w:val="24"/>
                <w:lang w:eastAsia="en-GB"/>
              </w:rPr>
              <w:t>U</w:t>
            </w:r>
          </w:p>
        </w:tc>
        <w:tc>
          <w:tcPr>
            <w:tcW w:w="772" w:type="dxa"/>
            <w:tcBorders>
              <w:top w:val="nil"/>
              <w:left w:val="single" w:sz="24" w:space="0" w:color="auto"/>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0.314</w:t>
            </w:r>
          </w:p>
        </w:tc>
        <w:tc>
          <w:tcPr>
            <w:tcW w:w="772" w:type="dxa"/>
            <w:tcBorders>
              <w:top w:val="nil"/>
            </w:tcBorders>
            <w:shd w:val="clear" w:color="000000" w:fill="F2F2F2"/>
            <w:noWrap/>
            <w:vAlign w:val="center"/>
            <w:hideMark/>
          </w:tcPr>
          <w:p w:rsidR="00B573A1" w:rsidRPr="00353650" w:rsidRDefault="00B573A1" w:rsidP="008B2934">
            <w:pPr>
              <w:spacing w:after="0"/>
              <w:jc w:val="center"/>
              <w:rPr>
                <w:rFonts w:cstheme="minorHAnsi"/>
                <w:b/>
                <w:bCs/>
                <w:color w:val="000000"/>
                <w:szCs w:val="24"/>
                <w:lang w:eastAsia="en-GB"/>
              </w:rPr>
            </w:pPr>
            <w:r w:rsidRPr="00353650">
              <w:rPr>
                <w:rFonts w:cstheme="minorHAnsi"/>
                <w:b/>
                <w:bCs/>
                <w:color w:val="000000"/>
                <w:szCs w:val="24"/>
                <w:lang w:eastAsia="en-GB"/>
              </w:rPr>
              <w:t>0.588</w:t>
            </w:r>
          </w:p>
        </w:tc>
        <w:tc>
          <w:tcPr>
            <w:tcW w:w="773" w:type="dxa"/>
            <w:tcBorders>
              <w:top w:val="nil"/>
              <w:right w:val="single" w:sz="8" w:space="0" w:color="auto"/>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0.098</w:t>
            </w:r>
          </w:p>
        </w:tc>
        <w:tc>
          <w:tcPr>
            <w:tcW w:w="772" w:type="dxa"/>
            <w:tcBorders>
              <w:top w:val="nil"/>
              <w:left w:val="single" w:sz="8" w:space="0" w:color="auto"/>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0.214</w:t>
            </w:r>
          </w:p>
        </w:tc>
        <w:tc>
          <w:tcPr>
            <w:tcW w:w="772" w:type="dxa"/>
            <w:tcBorders>
              <w:top w:val="nil"/>
            </w:tcBorders>
            <w:shd w:val="clear" w:color="000000" w:fill="F2F2F2"/>
            <w:noWrap/>
            <w:vAlign w:val="center"/>
            <w:hideMark/>
          </w:tcPr>
          <w:p w:rsidR="00B573A1" w:rsidRPr="00353650" w:rsidRDefault="00B573A1" w:rsidP="008B2934">
            <w:pPr>
              <w:spacing w:after="0"/>
              <w:jc w:val="center"/>
              <w:rPr>
                <w:rFonts w:cstheme="minorHAnsi"/>
                <w:b/>
                <w:bCs/>
                <w:color w:val="000000"/>
                <w:szCs w:val="24"/>
                <w:lang w:eastAsia="en-GB"/>
              </w:rPr>
            </w:pPr>
            <w:r w:rsidRPr="00353650">
              <w:rPr>
                <w:rFonts w:cstheme="minorHAnsi"/>
                <w:b/>
                <w:bCs/>
                <w:color w:val="000000"/>
                <w:szCs w:val="24"/>
                <w:lang w:eastAsia="en-GB"/>
              </w:rPr>
              <w:t>0.704</w:t>
            </w:r>
          </w:p>
        </w:tc>
        <w:tc>
          <w:tcPr>
            <w:tcW w:w="773" w:type="dxa"/>
            <w:tcBorders>
              <w:top w:val="nil"/>
              <w:right w:val="single" w:sz="8" w:space="0" w:color="auto"/>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0.082</w:t>
            </w:r>
          </w:p>
        </w:tc>
        <w:tc>
          <w:tcPr>
            <w:tcW w:w="772" w:type="dxa"/>
            <w:tcBorders>
              <w:top w:val="nil"/>
              <w:left w:val="single" w:sz="8" w:space="0" w:color="auto"/>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0.208</w:t>
            </w:r>
          </w:p>
        </w:tc>
        <w:tc>
          <w:tcPr>
            <w:tcW w:w="772" w:type="dxa"/>
            <w:tcBorders>
              <w:top w:val="nil"/>
            </w:tcBorders>
            <w:shd w:val="clear" w:color="000000" w:fill="F2F2F2"/>
            <w:noWrap/>
            <w:vAlign w:val="center"/>
            <w:hideMark/>
          </w:tcPr>
          <w:p w:rsidR="00B573A1" w:rsidRPr="00353650" w:rsidRDefault="00B573A1" w:rsidP="008B2934">
            <w:pPr>
              <w:spacing w:after="0"/>
              <w:jc w:val="center"/>
              <w:rPr>
                <w:rFonts w:cstheme="minorHAnsi"/>
                <w:b/>
                <w:bCs/>
                <w:color w:val="000000"/>
                <w:szCs w:val="24"/>
                <w:lang w:eastAsia="en-GB"/>
              </w:rPr>
            </w:pPr>
            <w:r w:rsidRPr="00353650">
              <w:rPr>
                <w:rFonts w:cstheme="minorHAnsi"/>
                <w:b/>
                <w:bCs/>
                <w:color w:val="000000"/>
                <w:szCs w:val="24"/>
                <w:lang w:eastAsia="en-GB"/>
              </w:rPr>
              <w:t>0.712</w:t>
            </w:r>
          </w:p>
        </w:tc>
        <w:tc>
          <w:tcPr>
            <w:tcW w:w="773" w:type="dxa"/>
            <w:tcBorders>
              <w:top w:val="nil"/>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0.080</w:t>
            </w:r>
          </w:p>
        </w:tc>
      </w:tr>
      <w:tr w:rsidR="00B573A1" w:rsidRPr="00353650" w:rsidTr="008B2934">
        <w:trPr>
          <w:trHeight w:val="283"/>
        </w:trPr>
        <w:tc>
          <w:tcPr>
            <w:tcW w:w="1716" w:type="dxa"/>
            <w:tcBorders>
              <w:bottom w:val="single" w:sz="24" w:space="0" w:color="auto"/>
              <w:right w:val="single" w:sz="24" w:space="0" w:color="auto"/>
            </w:tcBorders>
            <w:shd w:val="clear" w:color="auto" w:fill="auto"/>
            <w:noWrap/>
            <w:vAlign w:val="bottom"/>
            <w:hideMark/>
          </w:tcPr>
          <w:p w:rsidR="00B573A1" w:rsidRPr="00353650" w:rsidRDefault="00B573A1" w:rsidP="008B2934">
            <w:pPr>
              <w:spacing w:after="0"/>
              <w:rPr>
                <w:rFonts w:cstheme="minorHAnsi"/>
                <w:color w:val="000000"/>
                <w:szCs w:val="24"/>
                <w:lang w:eastAsia="en-GB"/>
              </w:rPr>
            </w:pPr>
          </w:p>
        </w:tc>
        <w:tc>
          <w:tcPr>
            <w:tcW w:w="413" w:type="dxa"/>
            <w:tcBorders>
              <w:left w:val="single" w:sz="24" w:space="0" w:color="auto"/>
              <w:bottom w:val="single" w:sz="24" w:space="0" w:color="auto"/>
              <w:right w:val="single" w:sz="24" w:space="0" w:color="auto"/>
            </w:tcBorders>
            <w:shd w:val="clear" w:color="auto" w:fill="auto"/>
            <w:noWrap/>
            <w:vAlign w:val="center"/>
            <w:hideMark/>
          </w:tcPr>
          <w:p w:rsidR="00B573A1" w:rsidRPr="00353650" w:rsidRDefault="00B573A1" w:rsidP="008B2934">
            <w:pPr>
              <w:spacing w:after="0"/>
              <w:jc w:val="center"/>
              <w:rPr>
                <w:rFonts w:cstheme="minorHAnsi"/>
                <w:b/>
                <w:color w:val="000000"/>
                <w:szCs w:val="24"/>
                <w:lang w:eastAsia="en-GB"/>
              </w:rPr>
            </w:pPr>
            <w:r w:rsidRPr="00353650">
              <w:rPr>
                <w:rFonts w:cstheme="minorHAnsi"/>
                <w:b/>
                <w:color w:val="000000"/>
                <w:szCs w:val="24"/>
                <w:lang w:eastAsia="en-GB"/>
              </w:rPr>
              <w:t>I</w:t>
            </w:r>
          </w:p>
        </w:tc>
        <w:tc>
          <w:tcPr>
            <w:tcW w:w="772" w:type="dxa"/>
            <w:tcBorders>
              <w:left w:val="single" w:sz="24" w:space="0" w:color="auto"/>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0.035</w:t>
            </w:r>
          </w:p>
        </w:tc>
        <w:tc>
          <w:tcPr>
            <w:tcW w:w="772" w:type="dxa"/>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0.025</w:t>
            </w:r>
          </w:p>
        </w:tc>
        <w:tc>
          <w:tcPr>
            <w:tcW w:w="773" w:type="dxa"/>
            <w:tcBorders>
              <w:bottom w:val="single" w:sz="24" w:space="0" w:color="auto"/>
              <w:right w:val="single" w:sz="8" w:space="0" w:color="auto"/>
            </w:tcBorders>
            <w:shd w:val="clear" w:color="000000" w:fill="F2F2F2"/>
            <w:noWrap/>
            <w:vAlign w:val="center"/>
            <w:hideMark/>
          </w:tcPr>
          <w:p w:rsidR="00B573A1" w:rsidRPr="00353650" w:rsidRDefault="00B573A1" w:rsidP="008B2934">
            <w:pPr>
              <w:spacing w:after="0"/>
              <w:jc w:val="center"/>
              <w:rPr>
                <w:rFonts w:cstheme="minorHAnsi"/>
                <w:b/>
                <w:bCs/>
                <w:color w:val="000000"/>
                <w:szCs w:val="24"/>
                <w:lang w:eastAsia="en-GB"/>
              </w:rPr>
            </w:pPr>
            <w:r w:rsidRPr="00353650">
              <w:rPr>
                <w:rFonts w:cstheme="minorHAnsi"/>
                <w:b/>
                <w:bCs/>
                <w:color w:val="000000"/>
                <w:szCs w:val="24"/>
                <w:lang w:eastAsia="en-GB"/>
              </w:rPr>
              <w:t>0.940</w:t>
            </w:r>
          </w:p>
        </w:tc>
        <w:tc>
          <w:tcPr>
            <w:tcW w:w="772" w:type="dxa"/>
            <w:tcBorders>
              <w:left w:val="single" w:sz="8" w:space="0" w:color="auto"/>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0.024</w:t>
            </w:r>
          </w:p>
        </w:tc>
        <w:tc>
          <w:tcPr>
            <w:tcW w:w="772" w:type="dxa"/>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0.031</w:t>
            </w:r>
          </w:p>
        </w:tc>
        <w:tc>
          <w:tcPr>
            <w:tcW w:w="773" w:type="dxa"/>
            <w:tcBorders>
              <w:bottom w:val="single" w:sz="24" w:space="0" w:color="auto"/>
              <w:right w:val="single" w:sz="8" w:space="0" w:color="auto"/>
            </w:tcBorders>
            <w:shd w:val="clear" w:color="000000" w:fill="F2F2F2"/>
            <w:noWrap/>
            <w:vAlign w:val="center"/>
            <w:hideMark/>
          </w:tcPr>
          <w:p w:rsidR="00B573A1" w:rsidRPr="00353650" w:rsidRDefault="00B573A1" w:rsidP="008B2934">
            <w:pPr>
              <w:spacing w:after="0"/>
              <w:jc w:val="center"/>
              <w:rPr>
                <w:rFonts w:cstheme="minorHAnsi"/>
                <w:b/>
                <w:bCs/>
                <w:color w:val="000000"/>
                <w:szCs w:val="24"/>
                <w:lang w:eastAsia="en-GB"/>
              </w:rPr>
            </w:pPr>
            <w:r w:rsidRPr="00353650">
              <w:rPr>
                <w:rFonts w:cstheme="minorHAnsi"/>
                <w:b/>
                <w:bCs/>
                <w:color w:val="000000"/>
                <w:szCs w:val="24"/>
                <w:lang w:eastAsia="en-GB"/>
              </w:rPr>
              <w:t>0.945</w:t>
            </w:r>
          </w:p>
        </w:tc>
        <w:tc>
          <w:tcPr>
            <w:tcW w:w="772" w:type="dxa"/>
            <w:tcBorders>
              <w:left w:val="single" w:sz="8" w:space="0" w:color="auto"/>
            </w:tcBorders>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0.021</w:t>
            </w:r>
          </w:p>
        </w:tc>
        <w:tc>
          <w:tcPr>
            <w:tcW w:w="772" w:type="dxa"/>
            <w:shd w:val="clear" w:color="000000" w:fill="F2F2F2"/>
            <w:noWrap/>
            <w:vAlign w:val="center"/>
            <w:hideMark/>
          </w:tcPr>
          <w:p w:rsidR="00B573A1" w:rsidRPr="00353650" w:rsidRDefault="00B573A1" w:rsidP="008B2934">
            <w:pPr>
              <w:spacing w:after="0"/>
              <w:jc w:val="center"/>
              <w:rPr>
                <w:rFonts w:cstheme="minorHAnsi"/>
                <w:color w:val="000000"/>
                <w:szCs w:val="24"/>
                <w:lang w:eastAsia="en-GB"/>
              </w:rPr>
            </w:pPr>
            <w:r w:rsidRPr="00353650">
              <w:rPr>
                <w:rFonts w:cstheme="minorHAnsi"/>
                <w:color w:val="000000"/>
                <w:szCs w:val="24"/>
                <w:lang w:eastAsia="en-GB"/>
              </w:rPr>
              <w:t>0.031</w:t>
            </w:r>
          </w:p>
        </w:tc>
        <w:tc>
          <w:tcPr>
            <w:tcW w:w="773" w:type="dxa"/>
            <w:shd w:val="clear" w:color="000000" w:fill="F2F2F2"/>
            <w:noWrap/>
            <w:vAlign w:val="center"/>
            <w:hideMark/>
          </w:tcPr>
          <w:p w:rsidR="00B573A1" w:rsidRPr="00353650" w:rsidRDefault="00B573A1" w:rsidP="008B2934">
            <w:pPr>
              <w:spacing w:after="0"/>
              <w:jc w:val="center"/>
              <w:rPr>
                <w:rFonts w:cstheme="minorHAnsi"/>
                <w:b/>
                <w:bCs/>
                <w:color w:val="000000"/>
                <w:szCs w:val="24"/>
                <w:lang w:eastAsia="en-GB"/>
              </w:rPr>
            </w:pPr>
            <w:r w:rsidRPr="00353650">
              <w:rPr>
                <w:rFonts w:cstheme="minorHAnsi"/>
                <w:b/>
                <w:bCs/>
                <w:color w:val="000000"/>
                <w:szCs w:val="24"/>
                <w:lang w:eastAsia="en-GB"/>
              </w:rPr>
              <w:t>0.948</w:t>
            </w:r>
          </w:p>
        </w:tc>
      </w:tr>
    </w:tbl>
    <w:p w:rsidR="00B573A1" w:rsidRPr="00FA3F88" w:rsidRDefault="00B573A1" w:rsidP="00B573A1">
      <w:pPr>
        <w:spacing w:after="0"/>
        <w:rPr>
          <w:rFonts w:cstheme="minorHAnsi"/>
          <w:sz w:val="20"/>
        </w:rPr>
      </w:pPr>
      <w:r w:rsidRPr="00FA3F88">
        <w:rPr>
          <w:rFonts w:cstheme="minorHAnsi"/>
          <w:sz w:val="20"/>
        </w:rPr>
        <w:t xml:space="preserve">Note:  E=employed; U=unemployed; I=inactive. Observations are weighted according to the labour force share (15-64) in each country over the aggregate. Elements showing a probability of remaining in the same labour market state (employment, unemployment and inactivity) are in bold. </w:t>
      </w:r>
    </w:p>
    <w:p w:rsidR="00B573A1" w:rsidRPr="00FA3F88" w:rsidRDefault="00B573A1" w:rsidP="00B573A1">
      <w:pPr>
        <w:spacing w:after="0"/>
        <w:rPr>
          <w:rFonts w:cstheme="minorHAnsi"/>
          <w:sz w:val="20"/>
        </w:rPr>
      </w:pPr>
      <w:r w:rsidRPr="00FA3F88">
        <w:rPr>
          <w:rFonts w:cstheme="minorHAnsi"/>
          <w:sz w:val="20"/>
        </w:rPr>
        <w:t xml:space="preserve">Sources: EU-LFS </w:t>
      </w:r>
      <w:proofErr w:type="spellStart"/>
      <w:r w:rsidRPr="00FA3F88">
        <w:rPr>
          <w:rFonts w:cstheme="minorHAnsi"/>
          <w:sz w:val="20"/>
        </w:rPr>
        <w:t>microdata</w:t>
      </w:r>
      <w:proofErr w:type="spellEnd"/>
      <w:r w:rsidRPr="00FA3F88">
        <w:rPr>
          <w:rFonts w:cstheme="minorHAnsi"/>
          <w:sz w:val="20"/>
        </w:rPr>
        <w:t>, authors’ computations.</w:t>
      </w:r>
    </w:p>
    <w:p w:rsidR="00B573A1" w:rsidRDefault="00B573A1" w:rsidP="00B573A1"/>
    <w:p w:rsidR="007E055B" w:rsidRPr="00353650" w:rsidRDefault="007E055B" w:rsidP="00FA3F88">
      <w:pPr>
        <w:autoSpaceDE w:val="0"/>
        <w:autoSpaceDN w:val="0"/>
        <w:adjustRightInd w:val="0"/>
        <w:spacing w:after="0"/>
        <w:rPr>
          <w:rFonts w:asciiTheme="minorHAnsi" w:hAnsiTheme="minorHAnsi" w:cstheme="minorHAnsi"/>
          <w:b/>
          <w:iCs/>
          <w:szCs w:val="24"/>
        </w:rPr>
      </w:pPr>
    </w:p>
    <w:sectPr w:rsidR="007E055B" w:rsidRPr="00353650" w:rsidSect="007E055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C26" w:rsidRDefault="00C83C26">
      <w:r>
        <w:separator/>
      </w:r>
    </w:p>
  </w:endnote>
  <w:endnote w:type="continuationSeparator" w:id="0">
    <w:p w:rsidR="00C83C26" w:rsidRDefault="00C83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dcr10">
    <w:panose1 w:val="020B05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21E" w:rsidRPr="006B26AA" w:rsidRDefault="00AC521E" w:rsidP="006B26AA">
    <w:pPr>
      <w:pStyle w:val="Footer"/>
      <w:rPr>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C26" w:rsidRDefault="00C83C26">
      <w:r>
        <w:separator/>
      </w:r>
    </w:p>
  </w:footnote>
  <w:footnote w:type="continuationSeparator" w:id="0">
    <w:p w:rsidR="00C83C26" w:rsidRDefault="00C83C26">
      <w:r>
        <w:continuationSeparator/>
      </w:r>
    </w:p>
  </w:footnote>
  <w:footnote w:id="1">
    <w:p w:rsidR="00AC521E" w:rsidRPr="00A13D70" w:rsidRDefault="00AC521E" w:rsidP="006E6256">
      <w:pPr>
        <w:pStyle w:val="FootnoteText"/>
        <w:spacing w:after="0"/>
        <w:ind w:left="0" w:firstLine="0"/>
        <w:rPr>
          <w:rFonts w:asciiTheme="minorHAnsi" w:hAnsiTheme="minorHAnsi" w:cstheme="minorHAnsi"/>
        </w:rPr>
      </w:pPr>
      <w:r w:rsidRPr="00A13D70">
        <w:rPr>
          <w:rStyle w:val="FootnoteReference"/>
          <w:rFonts w:asciiTheme="minorHAnsi" w:hAnsiTheme="minorHAnsi" w:cstheme="minorHAnsi"/>
        </w:rPr>
        <w:footnoteRef/>
      </w:r>
      <w:r w:rsidRPr="00A13D70">
        <w:rPr>
          <w:rFonts w:asciiTheme="minorHAnsi" w:hAnsiTheme="minorHAnsi" w:cstheme="minorHAnsi"/>
        </w:rPr>
        <w:t xml:space="preserve"> </w:t>
      </w:r>
      <w:r w:rsidRPr="00A13D70">
        <w:rPr>
          <w:rStyle w:val="FootnoteReference"/>
          <w:rFonts w:asciiTheme="minorHAnsi" w:hAnsiTheme="minorHAnsi" w:cstheme="minorHAnsi"/>
          <w:vertAlign w:val="baseline"/>
        </w:rPr>
        <w:t>Due to missing data on recall questions (past employment status), Germany, the UK and Ireland are excluded f</w:t>
      </w:r>
      <w:r w:rsidRPr="00A13D70">
        <w:rPr>
          <w:rFonts w:asciiTheme="minorHAnsi" w:hAnsiTheme="minorHAnsi" w:cstheme="minorHAnsi"/>
        </w:rPr>
        <w:t>rom the analysis</w:t>
      </w:r>
      <w:r w:rsidRPr="00A13D70">
        <w:rPr>
          <w:rStyle w:val="FootnoteReference"/>
          <w:rFonts w:asciiTheme="minorHAnsi" w:hAnsiTheme="minorHAnsi" w:cstheme="minorHAnsi"/>
          <w:vertAlign w:val="baseline"/>
        </w:rPr>
        <w:t xml:space="preserve">. Data availability is also limited for some years for some other countries – namely for </w:t>
      </w:r>
      <w:r w:rsidRPr="00A13D70">
        <w:rPr>
          <w:rFonts w:asciiTheme="minorHAnsi" w:hAnsiTheme="minorHAnsi" w:cstheme="minorHAnsi"/>
        </w:rPr>
        <w:t xml:space="preserve">France, Austria and Spain in 2004-2005; </w:t>
      </w:r>
      <w:r w:rsidRPr="00A13D70">
        <w:rPr>
          <w:rStyle w:val="FootnoteReference"/>
          <w:rFonts w:asciiTheme="minorHAnsi" w:hAnsiTheme="minorHAnsi" w:cstheme="minorHAnsi"/>
          <w:vertAlign w:val="baseline"/>
        </w:rPr>
        <w:t xml:space="preserve">for </w:t>
      </w:r>
      <w:r w:rsidRPr="00A13D70">
        <w:rPr>
          <w:rFonts w:asciiTheme="minorHAnsi" w:hAnsiTheme="minorHAnsi" w:cstheme="minorHAnsi"/>
        </w:rPr>
        <w:t xml:space="preserve">Sweden in </w:t>
      </w:r>
      <w:r w:rsidRPr="00A13D70">
        <w:rPr>
          <w:rStyle w:val="FootnoteReference"/>
          <w:rFonts w:asciiTheme="minorHAnsi" w:hAnsiTheme="minorHAnsi" w:cstheme="minorHAnsi"/>
          <w:vertAlign w:val="baseline"/>
        </w:rPr>
        <w:t xml:space="preserve">2004-2006; for </w:t>
      </w:r>
      <w:r w:rsidRPr="00A13D70">
        <w:rPr>
          <w:rFonts w:asciiTheme="minorHAnsi" w:hAnsiTheme="minorHAnsi" w:cstheme="minorHAnsi"/>
        </w:rPr>
        <w:t>Bulgaria and the Netherlands in 2004-2007; and for Malta in 2004-2008</w:t>
      </w:r>
      <w:r w:rsidRPr="00A13D70">
        <w:rPr>
          <w:rStyle w:val="FootnoteReference"/>
          <w:rFonts w:asciiTheme="minorHAnsi" w:hAnsiTheme="minorHAnsi" w:cstheme="minorHAnsi"/>
          <w:vertAlign w:val="baseline"/>
        </w:rPr>
        <w:t>.</w:t>
      </w:r>
      <w:r w:rsidRPr="00A13D70">
        <w:rPr>
          <w:rStyle w:val="FootnoteReference"/>
          <w:rFonts w:asciiTheme="minorHAnsi" w:hAnsiTheme="minorHAnsi" w:cstheme="minorHAnsi"/>
        </w:rPr>
        <w:t xml:space="preserve"> </w:t>
      </w:r>
    </w:p>
  </w:footnote>
  <w:footnote w:id="2">
    <w:p w:rsidR="00AC521E" w:rsidRPr="00A13D70" w:rsidRDefault="00AC521E" w:rsidP="00AC521E">
      <w:pPr>
        <w:pStyle w:val="FootnoteText"/>
        <w:spacing w:after="0"/>
        <w:ind w:left="0" w:firstLine="0"/>
        <w:rPr>
          <w:rStyle w:val="FootnoteReference"/>
          <w:rFonts w:asciiTheme="minorHAnsi" w:hAnsiTheme="minorHAnsi" w:cstheme="minorHAnsi"/>
          <w:vertAlign w:val="baseline"/>
        </w:rPr>
      </w:pPr>
      <w:r w:rsidRPr="00A13D70">
        <w:rPr>
          <w:rStyle w:val="FootnoteReference"/>
          <w:rFonts w:asciiTheme="minorHAnsi" w:hAnsiTheme="minorHAnsi" w:cstheme="minorHAnsi"/>
        </w:rPr>
        <w:footnoteRef/>
      </w:r>
      <w:r w:rsidRPr="00A13D70">
        <w:rPr>
          <w:rStyle w:val="FootnoteReference"/>
          <w:rFonts w:asciiTheme="minorHAnsi" w:hAnsiTheme="minorHAnsi" w:cstheme="minorHAnsi"/>
          <w:vertAlign w:val="baseline"/>
        </w:rPr>
        <w:t xml:space="preserve"> </w:t>
      </w:r>
      <w:r>
        <w:rPr>
          <w:rStyle w:val="FootnoteReference"/>
          <w:rFonts w:asciiTheme="minorHAnsi" w:hAnsiTheme="minorHAnsi" w:cstheme="minorHAnsi"/>
          <w:vertAlign w:val="baseline"/>
        </w:rPr>
        <w:t xml:space="preserve">We identify four such groups: </w:t>
      </w:r>
      <w:r w:rsidRPr="007A4EE0">
        <w:rPr>
          <w:rFonts w:asciiTheme="minorHAnsi" w:hAnsiTheme="minorHAnsi" w:cstheme="minorHAnsi"/>
        </w:rPr>
        <w:t>Central Eastern</w:t>
      </w:r>
      <w:r>
        <w:rPr>
          <w:rFonts w:asciiTheme="minorHAnsi" w:hAnsiTheme="minorHAnsi" w:cstheme="minorHAnsi"/>
        </w:rPr>
        <w:t xml:space="preserve"> (</w:t>
      </w:r>
      <w:r w:rsidRPr="007A4EE0">
        <w:rPr>
          <w:rFonts w:asciiTheme="minorHAnsi" w:hAnsiTheme="minorHAnsi" w:cstheme="minorHAnsi"/>
        </w:rPr>
        <w:t xml:space="preserve">Bulgaria, </w:t>
      </w:r>
      <w:r>
        <w:rPr>
          <w:rFonts w:asciiTheme="minorHAnsi" w:hAnsiTheme="minorHAnsi" w:cstheme="minorHAnsi"/>
        </w:rPr>
        <w:t>Czech Republic, Estonia, Croatia, Latvia, Lithuania, Hungary, Poland, Romania</w:t>
      </w:r>
      <w:r w:rsidRPr="007A4EE0">
        <w:rPr>
          <w:rFonts w:asciiTheme="minorHAnsi" w:hAnsiTheme="minorHAnsi" w:cstheme="minorHAnsi"/>
        </w:rPr>
        <w:t xml:space="preserve">, Slovakia </w:t>
      </w:r>
      <w:r>
        <w:rPr>
          <w:rFonts w:asciiTheme="minorHAnsi" w:hAnsiTheme="minorHAnsi" w:cstheme="minorHAnsi"/>
        </w:rPr>
        <w:t>and Slovenia)</w:t>
      </w:r>
      <w:r w:rsidRPr="007A4EE0">
        <w:rPr>
          <w:rFonts w:asciiTheme="minorHAnsi" w:hAnsiTheme="minorHAnsi" w:cstheme="minorHAnsi"/>
        </w:rPr>
        <w:t>;</w:t>
      </w:r>
      <w:r>
        <w:rPr>
          <w:rFonts w:asciiTheme="minorHAnsi" w:hAnsiTheme="minorHAnsi" w:cstheme="minorHAnsi"/>
        </w:rPr>
        <w:t xml:space="preserve"> </w:t>
      </w:r>
      <w:r w:rsidRPr="007A4EE0">
        <w:rPr>
          <w:rFonts w:asciiTheme="minorHAnsi" w:hAnsiTheme="minorHAnsi" w:cstheme="minorHAnsi"/>
        </w:rPr>
        <w:t>Nordics</w:t>
      </w:r>
      <w:r>
        <w:rPr>
          <w:rFonts w:asciiTheme="minorHAnsi" w:hAnsiTheme="minorHAnsi" w:cstheme="minorHAnsi"/>
        </w:rPr>
        <w:t xml:space="preserve"> (Netherlands, Finland</w:t>
      </w:r>
      <w:r w:rsidRPr="007A4EE0">
        <w:rPr>
          <w:rFonts w:asciiTheme="minorHAnsi" w:hAnsiTheme="minorHAnsi" w:cstheme="minorHAnsi"/>
        </w:rPr>
        <w:t xml:space="preserve">, Denmark </w:t>
      </w:r>
      <w:r>
        <w:rPr>
          <w:rFonts w:asciiTheme="minorHAnsi" w:hAnsiTheme="minorHAnsi" w:cstheme="minorHAnsi"/>
        </w:rPr>
        <w:t>and Sweden</w:t>
      </w:r>
      <w:r w:rsidRPr="007A4EE0">
        <w:rPr>
          <w:rFonts w:asciiTheme="minorHAnsi" w:hAnsiTheme="minorHAnsi" w:cstheme="minorHAnsi"/>
        </w:rPr>
        <w:t>);</w:t>
      </w:r>
      <w:r>
        <w:rPr>
          <w:rFonts w:asciiTheme="minorHAnsi" w:hAnsiTheme="minorHAnsi" w:cstheme="minorHAnsi"/>
        </w:rPr>
        <w:t xml:space="preserve"> </w:t>
      </w:r>
      <w:r w:rsidRPr="007A4EE0">
        <w:rPr>
          <w:rFonts w:asciiTheme="minorHAnsi" w:hAnsiTheme="minorHAnsi" w:cstheme="minorHAnsi"/>
        </w:rPr>
        <w:t>Continental</w:t>
      </w:r>
      <w:r>
        <w:rPr>
          <w:rFonts w:asciiTheme="minorHAnsi" w:hAnsiTheme="minorHAnsi" w:cstheme="minorHAnsi"/>
        </w:rPr>
        <w:t xml:space="preserve"> (Belgium, France</w:t>
      </w:r>
      <w:r w:rsidRPr="007A4EE0">
        <w:rPr>
          <w:rFonts w:asciiTheme="minorHAnsi" w:hAnsiTheme="minorHAnsi" w:cstheme="minorHAnsi"/>
        </w:rPr>
        <w:t xml:space="preserve">, Luxemburg </w:t>
      </w:r>
      <w:r>
        <w:rPr>
          <w:rFonts w:asciiTheme="minorHAnsi" w:hAnsiTheme="minorHAnsi" w:cstheme="minorHAnsi"/>
        </w:rPr>
        <w:t>and Austria</w:t>
      </w:r>
      <w:r w:rsidRPr="007A4EE0">
        <w:rPr>
          <w:rFonts w:asciiTheme="minorHAnsi" w:hAnsiTheme="minorHAnsi" w:cstheme="minorHAnsi"/>
        </w:rPr>
        <w:t>);</w:t>
      </w:r>
      <w:r>
        <w:rPr>
          <w:rFonts w:asciiTheme="minorHAnsi" w:hAnsiTheme="minorHAnsi" w:cstheme="minorHAnsi"/>
        </w:rPr>
        <w:t xml:space="preserve"> and M</w:t>
      </w:r>
      <w:r w:rsidRPr="007A4EE0">
        <w:rPr>
          <w:rFonts w:asciiTheme="minorHAnsi" w:hAnsiTheme="minorHAnsi" w:cstheme="minorHAnsi"/>
        </w:rPr>
        <w:t>editerranean</w:t>
      </w:r>
      <w:r>
        <w:rPr>
          <w:rFonts w:asciiTheme="minorHAnsi" w:hAnsiTheme="minorHAnsi" w:cstheme="minorHAnsi"/>
        </w:rPr>
        <w:t xml:space="preserve"> (Greece, Spain, Italy, Cyprus</w:t>
      </w:r>
      <w:r w:rsidRPr="007A4EE0">
        <w:rPr>
          <w:rFonts w:asciiTheme="minorHAnsi" w:hAnsiTheme="minorHAnsi" w:cstheme="minorHAnsi"/>
        </w:rPr>
        <w:t xml:space="preserve">, Portugal </w:t>
      </w:r>
      <w:r>
        <w:rPr>
          <w:rFonts w:asciiTheme="minorHAnsi" w:hAnsiTheme="minorHAnsi" w:cstheme="minorHAnsi"/>
        </w:rPr>
        <w:t>and Malta</w:t>
      </w:r>
      <w:r w:rsidRPr="007A4EE0">
        <w:rPr>
          <w:rFonts w:asciiTheme="minorHAnsi" w:hAnsiTheme="minorHAnsi" w:cstheme="minorHAnsi"/>
        </w:rPr>
        <w:t>).</w:t>
      </w:r>
      <w:r>
        <w:rPr>
          <w:rFonts w:asciiTheme="minorHAnsi" w:hAnsiTheme="minorHAnsi" w:cstheme="minorHAnsi"/>
        </w:rPr>
        <w:t xml:space="preserve"> </w:t>
      </w:r>
      <w:r w:rsidRPr="00A13D70">
        <w:rPr>
          <w:rStyle w:val="FootnoteReference"/>
          <w:rFonts w:asciiTheme="minorHAnsi" w:hAnsiTheme="minorHAnsi" w:cstheme="minorHAnsi"/>
          <w:vertAlign w:val="baseline"/>
        </w:rPr>
        <w:t>To produce the groups we weight each country on the basis of their GDP. Similar groupings have been used elsewhere in the literature of European labour market dynamics</w:t>
      </w:r>
      <w:r>
        <w:rPr>
          <w:rStyle w:val="FootnoteReference"/>
          <w:rFonts w:asciiTheme="minorHAnsi" w:hAnsiTheme="minorHAnsi" w:cstheme="minorHAnsi"/>
          <w:vertAlign w:val="baseline"/>
        </w:rPr>
        <w:t xml:space="preserve"> (see, for example, Boeri, 2002</w:t>
      </w:r>
      <w:r w:rsidRPr="00A13D70">
        <w:rPr>
          <w:rStyle w:val="FootnoteReference"/>
          <w:rFonts w:asciiTheme="minorHAnsi" w:hAnsiTheme="minorHAnsi" w:cstheme="minorHAnsi"/>
          <w:vertAlign w:val="baseline"/>
        </w:rPr>
        <w:t xml:space="preserve">; Sapir, 2006; and </w:t>
      </w:r>
      <w:r w:rsidRPr="00A4482E">
        <w:rPr>
          <w:rFonts w:asciiTheme="minorHAnsi" w:hAnsiTheme="minorHAnsi" w:cstheme="minorHAnsi"/>
          <w:iCs/>
          <w:szCs w:val="24"/>
        </w:rPr>
        <w:t>Ward-</w:t>
      </w:r>
      <w:proofErr w:type="spellStart"/>
      <w:r w:rsidRPr="00A4482E">
        <w:rPr>
          <w:rFonts w:asciiTheme="minorHAnsi" w:hAnsiTheme="minorHAnsi" w:cstheme="minorHAnsi"/>
          <w:iCs/>
          <w:szCs w:val="24"/>
        </w:rPr>
        <w:t>Warmedinger</w:t>
      </w:r>
      <w:proofErr w:type="spellEnd"/>
      <w:r w:rsidRPr="00A4482E">
        <w:rPr>
          <w:rFonts w:asciiTheme="minorHAnsi" w:hAnsiTheme="minorHAnsi" w:cstheme="minorHAnsi"/>
          <w:iCs/>
          <w:szCs w:val="24"/>
        </w:rPr>
        <w:t xml:space="preserve"> and </w:t>
      </w:r>
      <w:proofErr w:type="spellStart"/>
      <w:r w:rsidRPr="00A4482E">
        <w:rPr>
          <w:rFonts w:asciiTheme="minorHAnsi" w:hAnsiTheme="minorHAnsi" w:cstheme="minorHAnsi"/>
          <w:iCs/>
          <w:szCs w:val="24"/>
        </w:rPr>
        <w:t>Macchiarelli</w:t>
      </w:r>
      <w:proofErr w:type="spellEnd"/>
      <w:r w:rsidRPr="00A13D70">
        <w:rPr>
          <w:rStyle w:val="FootnoteReference"/>
          <w:rFonts w:asciiTheme="minorHAnsi" w:hAnsiTheme="minorHAnsi" w:cstheme="minorHAnsi"/>
          <w:vertAlign w:val="baseline"/>
        </w:rPr>
        <w:t>, 2014).</w:t>
      </w:r>
    </w:p>
  </w:footnote>
  <w:footnote w:id="3">
    <w:p w:rsidR="00AC521E" w:rsidRPr="00A13D70" w:rsidRDefault="00AC521E" w:rsidP="006E6256">
      <w:pPr>
        <w:pStyle w:val="FootnoteText"/>
        <w:spacing w:after="0"/>
        <w:ind w:left="0" w:firstLine="0"/>
        <w:rPr>
          <w:rFonts w:asciiTheme="minorHAnsi" w:hAnsiTheme="minorHAnsi" w:cstheme="minorHAnsi"/>
        </w:rPr>
      </w:pPr>
      <w:r w:rsidRPr="00A13D70">
        <w:rPr>
          <w:rStyle w:val="FootnoteReference"/>
          <w:rFonts w:asciiTheme="minorHAnsi" w:hAnsiTheme="minorHAnsi" w:cstheme="minorHAnsi"/>
        </w:rPr>
        <w:footnoteRef/>
      </w:r>
      <w:r w:rsidRPr="00A13D70">
        <w:rPr>
          <w:rFonts w:asciiTheme="minorHAnsi" w:hAnsiTheme="minorHAnsi" w:cstheme="minorHAnsi"/>
        </w:rPr>
        <w:t xml:space="preserve"> For a recent analysis of transition probabilities using more granular labour market states see </w:t>
      </w:r>
      <w:proofErr w:type="spellStart"/>
      <w:r w:rsidRPr="00A13D70">
        <w:rPr>
          <w:rFonts w:asciiTheme="minorHAnsi" w:hAnsiTheme="minorHAnsi" w:cstheme="minorHAnsi"/>
        </w:rPr>
        <w:t>Macchiarelli</w:t>
      </w:r>
      <w:proofErr w:type="spellEnd"/>
      <w:r w:rsidRPr="00A13D70">
        <w:rPr>
          <w:rFonts w:asciiTheme="minorHAnsi" w:hAnsiTheme="minorHAnsi" w:cstheme="minorHAnsi"/>
        </w:rPr>
        <w:t xml:space="preserve"> et al (2018). </w:t>
      </w:r>
    </w:p>
  </w:footnote>
  <w:footnote w:id="4">
    <w:p w:rsidR="00AC521E" w:rsidRPr="00A13D70" w:rsidRDefault="00AC521E" w:rsidP="006E6256">
      <w:pPr>
        <w:pStyle w:val="FootnoteText"/>
        <w:spacing w:after="0"/>
        <w:ind w:left="0" w:firstLine="0"/>
        <w:rPr>
          <w:rFonts w:asciiTheme="minorHAnsi" w:hAnsiTheme="minorHAnsi" w:cstheme="minorHAnsi"/>
        </w:rPr>
      </w:pPr>
      <w:r w:rsidRPr="00A13D70">
        <w:rPr>
          <w:rStyle w:val="FootnoteReference"/>
          <w:rFonts w:asciiTheme="minorHAnsi" w:hAnsiTheme="minorHAnsi" w:cstheme="minorHAnsi"/>
        </w:rPr>
        <w:footnoteRef/>
      </w:r>
      <w:r w:rsidRPr="00A13D70">
        <w:rPr>
          <w:rFonts w:asciiTheme="minorHAnsi" w:hAnsiTheme="minorHAnsi" w:cstheme="minorHAnsi"/>
        </w:rPr>
        <w:t xml:space="preserve"> This is essentially a transformation matrix, transforming the past distribution of employment outcomes (‘states’) into the current one – or, in matrix notation, </w:t>
      </w:r>
      <w:r w:rsidRPr="00A13D70">
        <w:rPr>
          <w:rFonts w:asciiTheme="minorHAnsi" w:hAnsiTheme="minorHAnsi" w:cstheme="minorHAnsi"/>
          <w:i/>
        </w:rPr>
        <w:t>F</w:t>
      </w:r>
      <w:r w:rsidRPr="00A13D70">
        <w:rPr>
          <w:rFonts w:asciiTheme="minorHAnsi" w:hAnsiTheme="minorHAnsi" w:cstheme="minorHAnsi"/>
          <w:i/>
          <w:vertAlign w:val="subscript"/>
        </w:rPr>
        <w:t xml:space="preserve">t </w:t>
      </w:r>
      <w:r w:rsidRPr="00A13D70">
        <w:rPr>
          <w:rFonts w:asciiTheme="minorHAnsi" w:hAnsiTheme="minorHAnsi" w:cstheme="minorHAnsi"/>
          <w:i/>
        </w:rPr>
        <w:t>= P*F</w:t>
      </w:r>
      <w:r w:rsidRPr="00A13D70">
        <w:rPr>
          <w:rFonts w:asciiTheme="minorHAnsi" w:hAnsiTheme="minorHAnsi" w:cstheme="minorHAnsi"/>
          <w:i/>
          <w:vertAlign w:val="subscript"/>
        </w:rPr>
        <w:t>t-1</w:t>
      </w:r>
      <w:r w:rsidRPr="00A13D70">
        <w:rPr>
          <w:rFonts w:asciiTheme="minorHAnsi" w:hAnsiTheme="minorHAnsi" w:cstheme="minorHAnsi"/>
        </w:rPr>
        <w:t xml:space="preserve">. </w:t>
      </w:r>
    </w:p>
  </w:footnote>
  <w:footnote w:id="5">
    <w:p w:rsidR="00AC521E" w:rsidRPr="00A13D70" w:rsidRDefault="00AC521E" w:rsidP="006E6256">
      <w:pPr>
        <w:pStyle w:val="FootnoteText"/>
        <w:spacing w:after="0"/>
        <w:ind w:left="0" w:firstLine="0"/>
        <w:rPr>
          <w:rFonts w:asciiTheme="minorHAnsi" w:hAnsiTheme="minorHAnsi" w:cstheme="minorHAnsi"/>
        </w:rPr>
      </w:pPr>
      <w:r w:rsidRPr="00A13D70">
        <w:rPr>
          <w:rStyle w:val="FootnoteReference"/>
          <w:rFonts w:asciiTheme="minorHAnsi" w:hAnsiTheme="minorHAnsi" w:cstheme="minorHAnsi"/>
        </w:rPr>
        <w:footnoteRef/>
      </w:r>
      <w:r w:rsidRPr="00A13D70">
        <w:rPr>
          <w:rFonts w:asciiTheme="minorHAnsi" w:hAnsiTheme="minorHAnsi" w:cstheme="minorHAnsi"/>
        </w:rPr>
        <w:t xml:space="preserve"> </w:t>
      </w:r>
      <w:r w:rsidRPr="00A13D70">
        <w:rPr>
          <w:rFonts w:asciiTheme="minorHAnsi" w:eastAsia="Batang" w:hAnsiTheme="minorHAnsi" w:cstheme="minorHAnsi"/>
          <w:lang w:bidi="ur-PK"/>
        </w:rPr>
        <w:t xml:space="preserve">This index is bounded between [0, 1] and can thus be interpreted as a percentage. The inverse of this measure is the well-known </w:t>
      </w:r>
      <w:proofErr w:type="spellStart"/>
      <w:r w:rsidRPr="00A13D70">
        <w:rPr>
          <w:rFonts w:asciiTheme="minorHAnsi" w:eastAsia="Batang" w:hAnsiTheme="minorHAnsi" w:cstheme="minorHAnsi"/>
          <w:lang w:bidi="ur-PK"/>
        </w:rPr>
        <w:t>Shorrocks</w:t>
      </w:r>
      <w:proofErr w:type="spellEnd"/>
      <w:r w:rsidRPr="00A13D70">
        <w:rPr>
          <w:rFonts w:asciiTheme="minorHAnsi" w:eastAsia="Batang" w:hAnsiTheme="minorHAnsi" w:cstheme="minorHAnsi"/>
          <w:lang w:bidi="ur-PK"/>
        </w:rPr>
        <w:t xml:space="preserve">’ (1987) mobility index, which shows in turn the aggregate probability of individuals changing their labour market status between </w:t>
      </w:r>
      <w:r w:rsidRPr="00A13D70">
        <w:rPr>
          <w:rFonts w:asciiTheme="minorHAnsi" w:eastAsia="Batang" w:hAnsiTheme="minorHAnsi" w:cstheme="minorHAnsi"/>
          <w:i/>
          <w:lang w:bidi="ur-PK"/>
        </w:rPr>
        <w:t>t</w:t>
      </w:r>
      <w:r w:rsidRPr="00A13D70">
        <w:rPr>
          <w:rFonts w:asciiTheme="minorHAnsi" w:eastAsia="Batang" w:hAnsiTheme="minorHAnsi" w:cstheme="minorHAnsi"/>
          <w:lang w:bidi="ur-PK"/>
        </w:rPr>
        <w:t xml:space="preserve"> and </w:t>
      </w:r>
      <w:r w:rsidRPr="00A13D70">
        <w:rPr>
          <w:rFonts w:asciiTheme="minorHAnsi" w:eastAsia="Batang" w:hAnsiTheme="minorHAnsi" w:cstheme="minorHAnsi"/>
          <w:i/>
          <w:lang w:bidi="ur-PK"/>
        </w:rPr>
        <w:t>t+1</w:t>
      </w:r>
      <w:r w:rsidRPr="00A13D70">
        <w:rPr>
          <w:rFonts w:asciiTheme="minorHAnsi" w:eastAsia="Batang" w:hAnsiTheme="minorHAnsi" w:cstheme="minorHAnsi"/>
          <w:lang w:bidi="ur-PK"/>
        </w:rPr>
        <w:t xml:space="preserve">, on the basis of matrix </w:t>
      </w:r>
      <w:r w:rsidRPr="00A13D70">
        <w:rPr>
          <w:rFonts w:asciiTheme="minorHAnsi" w:eastAsia="Batang" w:hAnsiTheme="minorHAnsi" w:cstheme="minorHAnsi"/>
          <w:i/>
          <w:lang w:bidi="ur-PK"/>
        </w:rPr>
        <w:t>P</w:t>
      </w:r>
      <w:r w:rsidRPr="00A13D70">
        <w:rPr>
          <w:rFonts w:asciiTheme="minorHAnsi" w:eastAsia="Batang" w:hAnsiTheme="minorHAnsi" w:cstheme="minorHAnsi"/>
          <w:lang w:bidi="ur-PK"/>
        </w:rPr>
        <w:t xml:space="preserve">. </w:t>
      </w:r>
    </w:p>
  </w:footnote>
  <w:footnote w:id="6">
    <w:p w:rsidR="00AC521E" w:rsidRPr="00A13D70" w:rsidRDefault="00AC521E" w:rsidP="006E6256">
      <w:pPr>
        <w:pStyle w:val="FootnoteText"/>
        <w:spacing w:after="0"/>
        <w:ind w:left="0" w:firstLine="0"/>
        <w:rPr>
          <w:rFonts w:asciiTheme="minorHAnsi" w:hAnsiTheme="minorHAnsi" w:cstheme="minorHAnsi"/>
        </w:rPr>
      </w:pPr>
      <w:r w:rsidRPr="00A13D70">
        <w:rPr>
          <w:rStyle w:val="FootnoteReference"/>
          <w:rFonts w:asciiTheme="minorHAnsi" w:hAnsiTheme="minorHAnsi" w:cstheme="minorHAnsi"/>
        </w:rPr>
        <w:footnoteRef/>
      </w:r>
      <w:r w:rsidRPr="00A13D70">
        <w:rPr>
          <w:rFonts w:asciiTheme="minorHAnsi" w:hAnsiTheme="minorHAnsi" w:cstheme="minorHAnsi"/>
        </w:rPr>
        <w:t xml:space="preserve"> In Markov Chain analysis an ergodic distribution is the distribution deriving from multiplying an initial distribution (here, of employment states) </w:t>
      </w:r>
      <w:r w:rsidRPr="00A13D70">
        <w:rPr>
          <w:rFonts w:asciiTheme="minorHAnsi" w:hAnsiTheme="minorHAnsi" w:cstheme="minorHAnsi"/>
          <w:i/>
        </w:rPr>
        <w:t>F</w:t>
      </w:r>
      <w:r w:rsidRPr="00A13D70">
        <w:rPr>
          <w:rFonts w:asciiTheme="minorHAnsi" w:hAnsiTheme="minorHAnsi" w:cstheme="minorHAnsi"/>
          <w:i/>
          <w:vertAlign w:val="subscript"/>
        </w:rPr>
        <w:t>t</w:t>
      </w:r>
      <w:r w:rsidRPr="00A13D70">
        <w:rPr>
          <w:rFonts w:asciiTheme="minorHAnsi" w:hAnsiTheme="minorHAnsi" w:cstheme="minorHAnsi"/>
        </w:rPr>
        <w:t xml:space="preserve"> by a power </w:t>
      </w:r>
      <w:r w:rsidRPr="00A13D70">
        <w:rPr>
          <w:rFonts w:asciiTheme="minorHAnsi" w:hAnsiTheme="minorHAnsi" w:cstheme="minorHAnsi"/>
          <w:i/>
        </w:rPr>
        <w:t>n</w:t>
      </w:r>
      <w:r w:rsidRPr="00A13D70">
        <w:rPr>
          <w:rFonts w:asciiTheme="minorHAnsi" w:hAnsiTheme="minorHAnsi" w:cstheme="minorHAnsi"/>
        </w:rPr>
        <w:t xml:space="preserve"> of the transition matrix </w:t>
      </w:r>
      <w:r w:rsidRPr="00A13D70">
        <w:rPr>
          <w:rFonts w:asciiTheme="minorHAnsi" w:hAnsiTheme="minorHAnsi" w:cstheme="minorHAnsi"/>
          <w:i/>
        </w:rPr>
        <w:t>P</w:t>
      </w:r>
      <w:r w:rsidRPr="00A13D70">
        <w:rPr>
          <w:rFonts w:asciiTheme="minorHAnsi" w:hAnsiTheme="minorHAnsi" w:cstheme="minorHAnsi"/>
        </w:rPr>
        <w:t xml:space="preserve"> such that, for any </w:t>
      </w:r>
      <w:r w:rsidRPr="00A13D70">
        <w:rPr>
          <w:rFonts w:asciiTheme="minorHAnsi" w:hAnsiTheme="minorHAnsi" w:cstheme="minorHAnsi"/>
          <w:i/>
        </w:rPr>
        <w:t>k</w:t>
      </w:r>
      <w:r w:rsidRPr="00A13D70">
        <w:rPr>
          <w:rFonts w:asciiTheme="minorHAnsi" w:hAnsiTheme="minorHAnsi" w:cstheme="minorHAnsi"/>
        </w:rPr>
        <w:t xml:space="preserve">&gt;0, </w:t>
      </w:r>
      <w:proofErr w:type="spellStart"/>
      <w:r w:rsidRPr="00A13D70">
        <w:rPr>
          <w:rFonts w:asciiTheme="minorHAnsi" w:hAnsiTheme="minorHAnsi" w:cstheme="minorHAnsi"/>
          <w:i/>
        </w:rPr>
        <w:t>F</w:t>
      </w:r>
      <w:r w:rsidRPr="00A13D70">
        <w:rPr>
          <w:rFonts w:asciiTheme="minorHAnsi" w:hAnsiTheme="minorHAnsi" w:cstheme="minorHAnsi"/>
          <w:i/>
          <w:vertAlign w:val="subscript"/>
        </w:rPr>
        <w:t>t+s</w:t>
      </w:r>
      <w:proofErr w:type="spellEnd"/>
      <w:r w:rsidRPr="00A13D70">
        <w:rPr>
          <w:rFonts w:asciiTheme="minorHAnsi" w:hAnsiTheme="minorHAnsi" w:cstheme="minorHAnsi"/>
          <w:i/>
        </w:rPr>
        <w:t xml:space="preserve"> = </w:t>
      </w:r>
      <w:proofErr w:type="spellStart"/>
      <w:r w:rsidRPr="00A13D70">
        <w:rPr>
          <w:rFonts w:asciiTheme="minorHAnsi" w:hAnsiTheme="minorHAnsi" w:cstheme="minorHAnsi"/>
          <w:i/>
        </w:rPr>
        <w:t>P</w:t>
      </w:r>
      <w:r w:rsidRPr="00A13D70">
        <w:rPr>
          <w:rFonts w:asciiTheme="minorHAnsi" w:hAnsiTheme="minorHAnsi" w:cstheme="minorHAnsi"/>
          <w:i/>
          <w:vertAlign w:val="superscript"/>
        </w:rPr>
        <w:t>n</w:t>
      </w:r>
      <w:r w:rsidRPr="00A13D70">
        <w:rPr>
          <w:rFonts w:asciiTheme="minorHAnsi" w:hAnsiTheme="minorHAnsi" w:cstheme="minorHAnsi"/>
          <w:i/>
        </w:rPr>
        <w:t>F</w:t>
      </w:r>
      <w:r w:rsidRPr="00A13D70">
        <w:rPr>
          <w:rFonts w:asciiTheme="minorHAnsi" w:hAnsiTheme="minorHAnsi" w:cstheme="minorHAnsi"/>
          <w:i/>
          <w:vertAlign w:val="subscript"/>
        </w:rPr>
        <w:t>t</w:t>
      </w:r>
      <w:proofErr w:type="spellEnd"/>
      <w:r w:rsidRPr="00A13D70">
        <w:rPr>
          <w:rFonts w:asciiTheme="minorHAnsi" w:hAnsiTheme="minorHAnsi" w:cstheme="minorHAnsi"/>
          <w:i/>
        </w:rPr>
        <w:t xml:space="preserve"> = </w:t>
      </w:r>
      <w:proofErr w:type="spellStart"/>
      <w:r w:rsidRPr="00A13D70">
        <w:rPr>
          <w:rFonts w:asciiTheme="minorHAnsi" w:hAnsiTheme="minorHAnsi" w:cstheme="minorHAnsi"/>
          <w:i/>
        </w:rPr>
        <w:t>P</w:t>
      </w:r>
      <w:r w:rsidRPr="00A13D70">
        <w:rPr>
          <w:rFonts w:asciiTheme="minorHAnsi" w:hAnsiTheme="minorHAnsi" w:cstheme="minorHAnsi"/>
          <w:i/>
          <w:vertAlign w:val="superscript"/>
        </w:rPr>
        <w:t>n+k</w:t>
      </w:r>
      <w:r w:rsidRPr="00A13D70">
        <w:rPr>
          <w:rFonts w:asciiTheme="minorHAnsi" w:hAnsiTheme="minorHAnsi" w:cstheme="minorHAnsi"/>
          <w:i/>
        </w:rPr>
        <w:t>F</w:t>
      </w:r>
      <w:r w:rsidRPr="00A13D70">
        <w:rPr>
          <w:rFonts w:asciiTheme="minorHAnsi" w:hAnsiTheme="minorHAnsi" w:cstheme="minorHAnsi"/>
          <w:i/>
          <w:vertAlign w:val="subscript"/>
        </w:rPr>
        <w:t>t</w:t>
      </w:r>
      <w:proofErr w:type="spellEnd"/>
      <w:r w:rsidRPr="00A13D70">
        <w:rPr>
          <w:rFonts w:asciiTheme="minorHAnsi" w:hAnsiTheme="minorHAnsi" w:cstheme="minorHAnsi"/>
          <w:i/>
        </w:rPr>
        <w:t xml:space="preserve"> = </w:t>
      </w:r>
      <w:proofErr w:type="spellStart"/>
      <w:r w:rsidRPr="00A13D70">
        <w:rPr>
          <w:rFonts w:asciiTheme="minorHAnsi" w:hAnsiTheme="minorHAnsi" w:cstheme="minorHAnsi"/>
          <w:i/>
        </w:rPr>
        <w:t>F</w:t>
      </w:r>
      <w:r w:rsidRPr="00A13D70">
        <w:rPr>
          <w:rFonts w:asciiTheme="minorHAnsi" w:hAnsiTheme="minorHAnsi" w:cstheme="minorHAnsi"/>
          <w:i/>
          <w:vertAlign w:val="subscript"/>
        </w:rPr>
        <w:t>t+s+k</w:t>
      </w:r>
      <w:proofErr w:type="spellEnd"/>
      <w:r w:rsidRPr="00A13D70">
        <w:rPr>
          <w:rFonts w:asciiTheme="minorHAnsi" w:hAnsiTheme="minorHAnsi" w:cstheme="minorHAnsi"/>
        </w:rPr>
        <w:t xml:space="preserve">. It is thus equivalent to the notion of steady-state. </w:t>
      </w:r>
      <w:r w:rsidRPr="00A13D70">
        <w:rPr>
          <w:rFonts w:asciiTheme="minorHAnsi" w:hAnsiTheme="minorHAnsi" w:cstheme="minorHAnsi"/>
          <w:lang w:val="en-US"/>
        </w:rPr>
        <w:t xml:space="preserve">Such a distribution </w:t>
      </w:r>
      <w:r w:rsidRPr="00A13D70">
        <w:rPr>
          <w:rFonts w:asciiTheme="minorHAnsi" w:hAnsiTheme="minorHAnsi" w:cstheme="minorHAnsi"/>
        </w:rPr>
        <w:t xml:space="preserve">exists if and only if the transition matrix is positive-recurrent, meaning that each and every state can re-occur with a positive probability (i.e., for any state in period </w:t>
      </w:r>
      <w:proofErr w:type="spellStart"/>
      <w:r w:rsidRPr="00A13D70">
        <w:rPr>
          <w:rFonts w:asciiTheme="minorHAnsi" w:hAnsiTheme="minorHAnsi" w:cstheme="minorHAnsi"/>
          <w:i/>
        </w:rPr>
        <w:t>t</w:t>
      </w:r>
      <w:proofErr w:type="spellEnd"/>
      <w:r w:rsidRPr="00A13D70">
        <w:rPr>
          <w:rFonts w:asciiTheme="minorHAnsi" w:hAnsiTheme="minorHAnsi" w:cstheme="minorHAnsi"/>
        </w:rPr>
        <w:t xml:space="preserve"> the transition dynamics guarantee that a return to that state will occur in the future, no matter how distant). The ergodic distribution can be calculated by using the left eigenvector that corresponds to the unit (isolated) eigenvalue.</w:t>
      </w:r>
    </w:p>
  </w:footnote>
  <w:footnote w:id="7">
    <w:p w:rsidR="00AC521E" w:rsidRPr="00A13D70" w:rsidRDefault="00AC521E" w:rsidP="006E6256">
      <w:pPr>
        <w:pStyle w:val="FootnoteText"/>
        <w:spacing w:after="0"/>
        <w:ind w:left="0" w:firstLine="0"/>
        <w:rPr>
          <w:rFonts w:asciiTheme="minorHAnsi" w:hAnsiTheme="minorHAnsi" w:cstheme="minorHAnsi"/>
        </w:rPr>
      </w:pPr>
      <w:r w:rsidRPr="00E76337">
        <w:rPr>
          <w:rStyle w:val="FootnoteReference"/>
          <w:rFonts w:asciiTheme="minorHAnsi" w:hAnsiTheme="minorHAnsi" w:cstheme="minorHAnsi"/>
        </w:rPr>
        <w:footnoteRef/>
      </w:r>
      <w:r w:rsidRPr="00E76337">
        <w:rPr>
          <w:rFonts w:asciiTheme="minorHAnsi" w:hAnsiTheme="minorHAnsi" w:cstheme="minorHAnsi"/>
        </w:rPr>
        <w:t xml:space="preserve"> Full results are available from the authors upon request.</w:t>
      </w:r>
      <w:r w:rsidRPr="00A13D70">
        <w:rPr>
          <w:rFonts w:asciiTheme="minorHAnsi" w:hAnsiTheme="minorHAnsi" w:cstheme="minorHAnsi"/>
        </w:rPr>
        <w:t xml:space="preserve"> </w:t>
      </w:r>
    </w:p>
  </w:footnote>
  <w:footnote w:id="8">
    <w:p w:rsidR="00AC521E" w:rsidRPr="00A13D70" w:rsidRDefault="00AC521E" w:rsidP="006E6256">
      <w:pPr>
        <w:pStyle w:val="FootnoteText"/>
        <w:spacing w:after="0"/>
        <w:ind w:left="0" w:firstLine="0"/>
        <w:rPr>
          <w:rFonts w:asciiTheme="minorHAnsi" w:hAnsiTheme="minorHAnsi" w:cstheme="minorHAnsi"/>
        </w:rPr>
      </w:pPr>
      <w:r w:rsidRPr="00A13D70">
        <w:rPr>
          <w:rStyle w:val="FootnoteReference"/>
          <w:rFonts w:asciiTheme="minorHAnsi" w:hAnsiTheme="minorHAnsi" w:cstheme="minorHAnsi"/>
        </w:rPr>
        <w:footnoteRef/>
      </w:r>
      <w:r w:rsidRPr="00A13D70">
        <w:rPr>
          <w:rFonts w:asciiTheme="minorHAnsi" w:hAnsiTheme="minorHAnsi" w:cstheme="minorHAnsi"/>
        </w:rPr>
        <w:t xml:space="preserve"> Our measure of employment includes successful job-to-job transitions (‘labour market churn’). From results not shown (but available upon request), it appears that the percentage of labour market churn is rather constant both across countries and over time (at around 10%), with few exceptions (e.g., falling in Spain from 15% pre-crisis to 8% post-crisis). </w:t>
      </w:r>
    </w:p>
  </w:footnote>
  <w:footnote w:id="9">
    <w:p w:rsidR="00AC521E" w:rsidRPr="00A13D70" w:rsidRDefault="00AC521E" w:rsidP="006E6256">
      <w:pPr>
        <w:pStyle w:val="FootnoteText"/>
        <w:spacing w:after="0"/>
        <w:ind w:left="0" w:firstLine="0"/>
        <w:rPr>
          <w:rFonts w:asciiTheme="minorHAnsi" w:hAnsiTheme="minorHAnsi" w:cstheme="minorHAnsi"/>
        </w:rPr>
      </w:pPr>
      <w:r w:rsidRPr="00A13D70">
        <w:rPr>
          <w:rStyle w:val="FootnoteReference"/>
          <w:rFonts w:asciiTheme="minorHAnsi" w:hAnsiTheme="minorHAnsi" w:cstheme="minorHAnsi"/>
        </w:rPr>
        <w:footnoteRef/>
      </w:r>
      <w:r w:rsidRPr="00A13D70">
        <w:rPr>
          <w:rFonts w:asciiTheme="minorHAnsi" w:hAnsiTheme="minorHAnsi" w:cstheme="minorHAnsi"/>
        </w:rPr>
        <w:t xml:space="preserve"> This was accompanied by a substantial decline of transitions from unemployment to inactivity, suggesting perhaps a stronger ‘added worker’ effect in this group.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21E" w:rsidRPr="00623ED0" w:rsidRDefault="00AC521E" w:rsidP="00623ED0">
    <w:pPr>
      <w:pStyle w:val="Header"/>
      <w:tabs>
        <w:tab w:val="left" w:pos="7513"/>
      </w:tabs>
      <w:spacing w:after="0"/>
      <w:jc w:val="center"/>
      <w:rPr>
        <w:noProof/>
        <w:lang w:eastAsia="en-GB"/>
      </w:rPr>
    </w:pPr>
    <w:r>
      <w:rPr>
        <w:noProof/>
        <w:lang w:eastAsia="en-GB"/>
      </w:rPr>
      <w:drawing>
        <wp:anchor distT="0" distB="0" distL="114300" distR="114300" simplePos="0" relativeHeight="251664384" behindDoc="1" locked="0" layoutInCell="1" allowOverlap="1" wp14:anchorId="4C7CB605" wp14:editId="675FACA4">
          <wp:simplePos x="0" y="0"/>
          <wp:positionH relativeFrom="margin">
            <wp:posOffset>-914285</wp:posOffset>
          </wp:positionH>
          <wp:positionV relativeFrom="margin">
            <wp:posOffset>15240</wp:posOffset>
          </wp:positionV>
          <wp:extent cx="7868188" cy="8188036"/>
          <wp:effectExtent l="0" t="0" r="0" b="3810"/>
          <wp:wrapNone/>
          <wp:docPr id="15" name="Picture 1" descr="Description: Description: Description: C:\Documents and Settings\lenain\Local Settings\Temporary Internet Files\Content.Word\griff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Documents and Settings\lenain\Local Settings\Temporary Internet Files\Content.Word\griffe_2.jpg"/>
                  <pic:cNvPicPr>
                    <a:picLocks noChangeAspect="1" noChangeArrowheads="1"/>
                  </pic:cNvPicPr>
                </pic:nvPicPr>
                <pic:blipFill>
                  <a:blip r:embed="rId1"/>
                  <a:srcRect/>
                  <a:stretch>
                    <a:fillRect/>
                  </a:stretch>
                </pic:blipFill>
                <pic:spPr bwMode="auto">
                  <a:xfrm>
                    <a:off x="0" y="0"/>
                    <a:ext cx="7870190" cy="8190119"/>
                  </a:xfrm>
                  <a:prstGeom prst="rect">
                    <a:avLst/>
                  </a:prstGeom>
                  <a:noFill/>
                  <a:ln w="9525">
                    <a:no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90E0962"/>
    <w:multiLevelType w:val="hybridMultilevel"/>
    <w:tmpl w:val="308AA5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330796"/>
    <w:multiLevelType w:val="multilevel"/>
    <w:tmpl w:val="6BE0F1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nsid w:val="1048426E"/>
    <w:multiLevelType w:val="hybridMultilevel"/>
    <w:tmpl w:val="F76EC6AC"/>
    <w:lvl w:ilvl="0" w:tplc="1DBAE22A">
      <w:start w:val="1"/>
      <w:numFmt w:val="bullet"/>
      <w:pStyle w:val="Bulletpoint1"/>
      <w:lvlText w:val=""/>
      <w:lvlJc w:val="left"/>
      <w:pPr>
        <w:ind w:left="717" w:hanging="360"/>
      </w:pPr>
      <w:rPr>
        <w:rFonts w:ascii="Symbol" w:hAnsi="Symbol" w:hint="default"/>
        <w:color w:val="00AE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DD697C"/>
    <w:multiLevelType w:val="hybridMultilevel"/>
    <w:tmpl w:val="1FFEBAAC"/>
    <w:lvl w:ilvl="0" w:tplc="F3F497FC">
      <w:start w:val="1"/>
      <w:numFmt w:val="bullet"/>
      <w:lvlText w:val=""/>
      <w:lvlJc w:val="left"/>
      <w:pPr>
        <w:tabs>
          <w:tab w:val="num" w:pos="720"/>
        </w:tabs>
        <w:ind w:left="720" w:hanging="360"/>
      </w:pPr>
      <w:rPr>
        <w:rFonts w:ascii="Wingdings" w:hAnsi="Wingdings" w:hint="default"/>
      </w:rPr>
    </w:lvl>
    <w:lvl w:ilvl="1" w:tplc="14FED19A" w:tentative="1">
      <w:start w:val="1"/>
      <w:numFmt w:val="bullet"/>
      <w:lvlText w:val=""/>
      <w:lvlJc w:val="left"/>
      <w:pPr>
        <w:tabs>
          <w:tab w:val="num" w:pos="1440"/>
        </w:tabs>
        <w:ind w:left="1440" w:hanging="360"/>
      </w:pPr>
      <w:rPr>
        <w:rFonts w:ascii="Wingdings" w:hAnsi="Wingdings" w:hint="default"/>
      </w:rPr>
    </w:lvl>
    <w:lvl w:ilvl="2" w:tplc="A7482338" w:tentative="1">
      <w:start w:val="1"/>
      <w:numFmt w:val="bullet"/>
      <w:lvlText w:val=""/>
      <w:lvlJc w:val="left"/>
      <w:pPr>
        <w:tabs>
          <w:tab w:val="num" w:pos="2160"/>
        </w:tabs>
        <w:ind w:left="2160" w:hanging="360"/>
      </w:pPr>
      <w:rPr>
        <w:rFonts w:ascii="Wingdings" w:hAnsi="Wingdings" w:hint="default"/>
      </w:rPr>
    </w:lvl>
    <w:lvl w:ilvl="3" w:tplc="8C2CE448" w:tentative="1">
      <w:start w:val="1"/>
      <w:numFmt w:val="bullet"/>
      <w:lvlText w:val=""/>
      <w:lvlJc w:val="left"/>
      <w:pPr>
        <w:tabs>
          <w:tab w:val="num" w:pos="2880"/>
        </w:tabs>
        <w:ind w:left="2880" w:hanging="360"/>
      </w:pPr>
      <w:rPr>
        <w:rFonts w:ascii="Wingdings" w:hAnsi="Wingdings" w:hint="default"/>
      </w:rPr>
    </w:lvl>
    <w:lvl w:ilvl="4" w:tplc="33EAEC8C" w:tentative="1">
      <w:start w:val="1"/>
      <w:numFmt w:val="bullet"/>
      <w:lvlText w:val=""/>
      <w:lvlJc w:val="left"/>
      <w:pPr>
        <w:tabs>
          <w:tab w:val="num" w:pos="3600"/>
        </w:tabs>
        <w:ind w:left="3600" w:hanging="360"/>
      </w:pPr>
      <w:rPr>
        <w:rFonts w:ascii="Wingdings" w:hAnsi="Wingdings" w:hint="default"/>
      </w:rPr>
    </w:lvl>
    <w:lvl w:ilvl="5" w:tplc="7A3E4264" w:tentative="1">
      <w:start w:val="1"/>
      <w:numFmt w:val="bullet"/>
      <w:lvlText w:val=""/>
      <w:lvlJc w:val="left"/>
      <w:pPr>
        <w:tabs>
          <w:tab w:val="num" w:pos="4320"/>
        </w:tabs>
        <w:ind w:left="4320" w:hanging="360"/>
      </w:pPr>
      <w:rPr>
        <w:rFonts w:ascii="Wingdings" w:hAnsi="Wingdings" w:hint="default"/>
      </w:rPr>
    </w:lvl>
    <w:lvl w:ilvl="6" w:tplc="454E5496" w:tentative="1">
      <w:start w:val="1"/>
      <w:numFmt w:val="bullet"/>
      <w:lvlText w:val=""/>
      <w:lvlJc w:val="left"/>
      <w:pPr>
        <w:tabs>
          <w:tab w:val="num" w:pos="5040"/>
        </w:tabs>
        <w:ind w:left="5040" w:hanging="360"/>
      </w:pPr>
      <w:rPr>
        <w:rFonts w:ascii="Wingdings" w:hAnsi="Wingdings" w:hint="default"/>
      </w:rPr>
    </w:lvl>
    <w:lvl w:ilvl="7" w:tplc="73C01B12" w:tentative="1">
      <w:start w:val="1"/>
      <w:numFmt w:val="bullet"/>
      <w:lvlText w:val=""/>
      <w:lvlJc w:val="left"/>
      <w:pPr>
        <w:tabs>
          <w:tab w:val="num" w:pos="5760"/>
        </w:tabs>
        <w:ind w:left="5760" w:hanging="360"/>
      </w:pPr>
      <w:rPr>
        <w:rFonts w:ascii="Wingdings" w:hAnsi="Wingdings" w:hint="default"/>
      </w:rPr>
    </w:lvl>
    <w:lvl w:ilvl="8" w:tplc="CF34788C" w:tentative="1">
      <w:start w:val="1"/>
      <w:numFmt w:val="bullet"/>
      <w:lvlText w:val=""/>
      <w:lvlJc w:val="left"/>
      <w:pPr>
        <w:tabs>
          <w:tab w:val="num" w:pos="6480"/>
        </w:tabs>
        <w:ind w:left="6480" w:hanging="360"/>
      </w:pPr>
      <w:rPr>
        <w:rFonts w:ascii="Wingdings" w:hAnsi="Wingdings" w:hint="default"/>
      </w:rPr>
    </w:lvl>
  </w:abstractNum>
  <w:abstractNum w:abstractNumId="6">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3961937"/>
    <w:multiLevelType w:val="hybridMultilevel"/>
    <w:tmpl w:val="86CCC2E6"/>
    <w:lvl w:ilvl="0" w:tplc="E73EE7D6">
      <w:numFmt w:val="bullet"/>
      <w:lvlText w:val="-"/>
      <w:lvlJc w:val="left"/>
      <w:pPr>
        <w:ind w:left="778" w:hanging="360"/>
      </w:pPr>
      <w:rPr>
        <w:rFonts w:ascii="Verdana" w:eastAsia="Times New Roman" w:hAnsi="Verdana" w:cs="Times New Roman" w:hint="default"/>
        <w:i/>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8">
    <w:nsid w:val="17817779"/>
    <w:multiLevelType w:val="hybridMultilevel"/>
    <w:tmpl w:val="308AA5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A154B9A"/>
    <w:multiLevelType w:val="hybridMultilevel"/>
    <w:tmpl w:val="308AA5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9166CCD"/>
    <w:multiLevelType w:val="hybridMultilevel"/>
    <w:tmpl w:val="C6FC6DEA"/>
    <w:lvl w:ilvl="0" w:tplc="BF4087D2">
      <w:start w:val="1"/>
      <w:numFmt w:val="lowerLetter"/>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5">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7">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6CC670A"/>
    <w:multiLevelType w:val="hybridMultilevel"/>
    <w:tmpl w:val="4738AA04"/>
    <w:lvl w:ilvl="0" w:tplc="749ACBAE">
      <w:start w:val="1"/>
      <w:numFmt w:val="lowerLetter"/>
      <w:lvlText w:val="(%1)"/>
      <w:lvlJc w:val="left"/>
      <w:pPr>
        <w:ind w:left="418" w:hanging="360"/>
      </w:pPr>
      <w:rPr>
        <w:rFonts w:hint="default"/>
      </w:rPr>
    </w:lvl>
    <w:lvl w:ilvl="1" w:tplc="08090019" w:tentative="1">
      <w:start w:val="1"/>
      <w:numFmt w:val="lowerLetter"/>
      <w:lvlText w:val="%2."/>
      <w:lvlJc w:val="left"/>
      <w:pPr>
        <w:ind w:left="1138" w:hanging="360"/>
      </w:pPr>
    </w:lvl>
    <w:lvl w:ilvl="2" w:tplc="0809001B" w:tentative="1">
      <w:start w:val="1"/>
      <w:numFmt w:val="lowerRoman"/>
      <w:lvlText w:val="%3."/>
      <w:lvlJc w:val="right"/>
      <w:pPr>
        <w:ind w:left="1858" w:hanging="180"/>
      </w:pPr>
    </w:lvl>
    <w:lvl w:ilvl="3" w:tplc="0809000F" w:tentative="1">
      <w:start w:val="1"/>
      <w:numFmt w:val="decimal"/>
      <w:lvlText w:val="%4."/>
      <w:lvlJc w:val="left"/>
      <w:pPr>
        <w:ind w:left="2578" w:hanging="360"/>
      </w:pPr>
    </w:lvl>
    <w:lvl w:ilvl="4" w:tplc="08090019" w:tentative="1">
      <w:start w:val="1"/>
      <w:numFmt w:val="lowerLetter"/>
      <w:lvlText w:val="%5."/>
      <w:lvlJc w:val="left"/>
      <w:pPr>
        <w:ind w:left="3298" w:hanging="360"/>
      </w:pPr>
    </w:lvl>
    <w:lvl w:ilvl="5" w:tplc="0809001B" w:tentative="1">
      <w:start w:val="1"/>
      <w:numFmt w:val="lowerRoman"/>
      <w:lvlText w:val="%6."/>
      <w:lvlJc w:val="right"/>
      <w:pPr>
        <w:ind w:left="4018" w:hanging="180"/>
      </w:pPr>
    </w:lvl>
    <w:lvl w:ilvl="6" w:tplc="0809000F" w:tentative="1">
      <w:start w:val="1"/>
      <w:numFmt w:val="decimal"/>
      <w:lvlText w:val="%7."/>
      <w:lvlJc w:val="left"/>
      <w:pPr>
        <w:ind w:left="4738" w:hanging="360"/>
      </w:pPr>
    </w:lvl>
    <w:lvl w:ilvl="7" w:tplc="08090019" w:tentative="1">
      <w:start w:val="1"/>
      <w:numFmt w:val="lowerLetter"/>
      <w:lvlText w:val="%8."/>
      <w:lvlJc w:val="left"/>
      <w:pPr>
        <w:ind w:left="5458" w:hanging="360"/>
      </w:pPr>
    </w:lvl>
    <w:lvl w:ilvl="8" w:tplc="0809001B" w:tentative="1">
      <w:start w:val="1"/>
      <w:numFmt w:val="lowerRoman"/>
      <w:lvlText w:val="%9."/>
      <w:lvlJc w:val="right"/>
      <w:pPr>
        <w:ind w:left="6178" w:hanging="180"/>
      </w:pPr>
    </w:lvl>
  </w:abstractNum>
  <w:abstractNum w:abstractNumId="19">
    <w:nsid w:val="36ED64BE"/>
    <w:multiLevelType w:val="multilevel"/>
    <w:tmpl w:val="6BE0F1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1">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2">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3">
    <w:nsid w:val="4B4A1CE1"/>
    <w:multiLevelType w:val="hybridMultilevel"/>
    <w:tmpl w:val="2EEA4DF0"/>
    <w:lvl w:ilvl="0" w:tplc="508EE518">
      <w:start w:val="1"/>
      <w:numFmt w:val="bullet"/>
      <w:pStyle w:val="BulletPoint2"/>
      <w:lvlText w:val=""/>
      <w:lvlJc w:val="left"/>
      <w:pPr>
        <w:ind w:left="1080" w:hanging="360"/>
      </w:pPr>
      <w:rPr>
        <w:rFonts w:ascii="Symbol" w:hAnsi="Symbol" w:hint="default"/>
        <w:color w:val="7F7F7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E8D3084"/>
    <w:multiLevelType w:val="hybridMultilevel"/>
    <w:tmpl w:val="D8B4EFBA"/>
    <w:lvl w:ilvl="0" w:tplc="E83E1136">
      <w:start w:val="1"/>
      <w:numFmt w:val="decimal"/>
      <w:pStyle w:val="Title2"/>
      <w:lvlText w:val="%1.1"/>
      <w:lvlJc w:val="left"/>
      <w:pPr>
        <w:ind w:left="1202" w:hanging="360"/>
      </w:pPr>
      <w:rPr>
        <w:rFonts w:hint="default"/>
      </w:rPr>
    </w:lvl>
    <w:lvl w:ilvl="1" w:tplc="08130019" w:tentative="1">
      <w:start w:val="1"/>
      <w:numFmt w:val="lowerLetter"/>
      <w:lvlText w:val="%2."/>
      <w:lvlJc w:val="left"/>
      <w:pPr>
        <w:ind w:left="1922" w:hanging="360"/>
      </w:pPr>
    </w:lvl>
    <w:lvl w:ilvl="2" w:tplc="0813001B" w:tentative="1">
      <w:start w:val="1"/>
      <w:numFmt w:val="lowerRoman"/>
      <w:lvlText w:val="%3."/>
      <w:lvlJc w:val="right"/>
      <w:pPr>
        <w:ind w:left="2642" w:hanging="180"/>
      </w:pPr>
    </w:lvl>
    <w:lvl w:ilvl="3" w:tplc="0813000F" w:tentative="1">
      <w:start w:val="1"/>
      <w:numFmt w:val="decimal"/>
      <w:lvlText w:val="%4."/>
      <w:lvlJc w:val="left"/>
      <w:pPr>
        <w:ind w:left="3362" w:hanging="360"/>
      </w:pPr>
    </w:lvl>
    <w:lvl w:ilvl="4" w:tplc="08130019" w:tentative="1">
      <w:start w:val="1"/>
      <w:numFmt w:val="lowerLetter"/>
      <w:lvlText w:val="%5."/>
      <w:lvlJc w:val="left"/>
      <w:pPr>
        <w:ind w:left="4082" w:hanging="360"/>
      </w:pPr>
    </w:lvl>
    <w:lvl w:ilvl="5" w:tplc="0813001B" w:tentative="1">
      <w:start w:val="1"/>
      <w:numFmt w:val="lowerRoman"/>
      <w:lvlText w:val="%6."/>
      <w:lvlJc w:val="right"/>
      <w:pPr>
        <w:ind w:left="4802" w:hanging="180"/>
      </w:pPr>
    </w:lvl>
    <w:lvl w:ilvl="6" w:tplc="0813000F" w:tentative="1">
      <w:start w:val="1"/>
      <w:numFmt w:val="decimal"/>
      <w:lvlText w:val="%7."/>
      <w:lvlJc w:val="left"/>
      <w:pPr>
        <w:ind w:left="5522" w:hanging="360"/>
      </w:pPr>
    </w:lvl>
    <w:lvl w:ilvl="7" w:tplc="08130019" w:tentative="1">
      <w:start w:val="1"/>
      <w:numFmt w:val="lowerLetter"/>
      <w:lvlText w:val="%8."/>
      <w:lvlJc w:val="left"/>
      <w:pPr>
        <w:ind w:left="6242" w:hanging="360"/>
      </w:pPr>
    </w:lvl>
    <w:lvl w:ilvl="8" w:tplc="0813001B" w:tentative="1">
      <w:start w:val="1"/>
      <w:numFmt w:val="lowerRoman"/>
      <w:lvlText w:val="%9."/>
      <w:lvlJc w:val="right"/>
      <w:pPr>
        <w:ind w:left="6962" w:hanging="180"/>
      </w:pPr>
    </w:lvl>
  </w:abstractNum>
  <w:abstractNum w:abstractNumId="25">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6">
    <w:nsid w:val="581444EB"/>
    <w:multiLevelType w:val="multilevel"/>
    <w:tmpl w:val="6BE0F1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8">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9">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1">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79B14A9D"/>
    <w:multiLevelType w:val="multilevel"/>
    <w:tmpl w:val="6BE0F1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 w:numId="3">
    <w:abstractNumId w:val="11"/>
  </w:num>
  <w:num w:numId="4">
    <w:abstractNumId w:val="21"/>
  </w:num>
  <w:num w:numId="5">
    <w:abstractNumId w:val="14"/>
  </w:num>
  <w:num w:numId="6">
    <w:abstractNumId w:val="20"/>
  </w:num>
  <w:num w:numId="7">
    <w:abstractNumId w:val="29"/>
  </w:num>
  <w:num w:numId="8">
    <w:abstractNumId w:val="30"/>
  </w:num>
  <w:num w:numId="9">
    <w:abstractNumId w:val="16"/>
  </w:num>
  <w:num w:numId="10">
    <w:abstractNumId w:val="28"/>
  </w:num>
  <w:num w:numId="11">
    <w:abstractNumId w:val="27"/>
  </w:num>
  <w:num w:numId="12">
    <w:abstractNumId w:val="22"/>
  </w:num>
  <w:num w:numId="13">
    <w:abstractNumId w:val="25"/>
  </w:num>
  <w:num w:numId="14">
    <w:abstractNumId w:val="12"/>
  </w:num>
  <w:num w:numId="15">
    <w:abstractNumId w:val="17"/>
  </w:num>
  <w:num w:numId="16">
    <w:abstractNumId w:val="10"/>
  </w:num>
  <w:num w:numId="17">
    <w:abstractNumId w:val="15"/>
  </w:num>
  <w:num w:numId="18">
    <w:abstractNumId w:val="31"/>
  </w:num>
  <w:num w:numId="19">
    <w:abstractNumId w:val="23"/>
  </w:num>
  <w:num w:numId="20">
    <w:abstractNumId w:val="4"/>
  </w:num>
  <w:num w:numId="21">
    <w:abstractNumId w:val="24"/>
  </w:num>
  <w:num w:numId="22">
    <w:abstractNumId w:val="6"/>
  </w:num>
  <w:num w:numId="23">
    <w:abstractNumId w:val="2"/>
  </w:num>
  <w:num w:numId="24">
    <w:abstractNumId w:val="8"/>
  </w:num>
  <w:num w:numId="25">
    <w:abstractNumId w:val="18"/>
  </w:num>
  <w:num w:numId="26">
    <w:abstractNumId w:val="3"/>
  </w:num>
  <w:num w:numId="27">
    <w:abstractNumId w:val="13"/>
  </w:num>
  <w:num w:numId="28">
    <w:abstractNumId w:val="32"/>
  </w:num>
  <w:num w:numId="29">
    <w:abstractNumId w:val="19"/>
  </w:num>
  <w:num w:numId="30">
    <w:abstractNumId w:val="9"/>
  </w:num>
  <w:num w:numId="31">
    <w:abstractNumId w:val="5"/>
  </w:num>
  <w:num w:numId="32">
    <w:abstractNumId w:val="26"/>
  </w:num>
  <w:num w:numId="33">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evenAndOddHeaders/>
  <w:drawingGridHorizontalSpacing w:val="120"/>
  <w:displayHorizontalDrawingGridEvery w:val="0"/>
  <w:displayVerticalDrawingGridEvery w:val="0"/>
  <w:noPunctuationKerning/>
  <w:characterSpacingControl w:val="doNotCompress"/>
  <w:hdrShapeDefaults>
    <o:shapedefaults v:ext="edit" spidmax="2049" style="mso-position-vertical-relative:margin" fillcolor="#002395" stroke="f">
      <v:fill color="#002395"/>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EwNTSzNAXSFqaWZko6SsGpxcWZ+XkgBaa1AMkq6V4sAAAA"/>
    <w:docVar w:name="LW_DocType" w:val="REP"/>
  </w:docVars>
  <w:rsids>
    <w:rsidRoot w:val="00D63776"/>
    <w:rsid w:val="00000294"/>
    <w:rsid w:val="00001268"/>
    <w:rsid w:val="0000127F"/>
    <w:rsid w:val="00002D9D"/>
    <w:rsid w:val="00006F3F"/>
    <w:rsid w:val="00012209"/>
    <w:rsid w:val="00012596"/>
    <w:rsid w:val="0001748A"/>
    <w:rsid w:val="000179C1"/>
    <w:rsid w:val="00020077"/>
    <w:rsid w:val="00021F9A"/>
    <w:rsid w:val="0002439A"/>
    <w:rsid w:val="00030154"/>
    <w:rsid w:val="00032B5E"/>
    <w:rsid w:val="0003531E"/>
    <w:rsid w:val="00036B56"/>
    <w:rsid w:val="000376A2"/>
    <w:rsid w:val="00041E23"/>
    <w:rsid w:val="000420DD"/>
    <w:rsid w:val="0004357A"/>
    <w:rsid w:val="00050692"/>
    <w:rsid w:val="00052009"/>
    <w:rsid w:val="000533C2"/>
    <w:rsid w:val="000535B3"/>
    <w:rsid w:val="000624B2"/>
    <w:rsid w:val="00063AF0"/>
    <w:rsid w:val="00064037"/>
    <w:rsid w:val="00072CEC"/>
    <w:rsid w:val="00077550"/>
    <w:rsid w:val="000846B0"/>
    <w:rsid w:val="00091A82"/>
    <w:rsid w:val="0009555A"/>
    <w:rsid w:val="00097276"/>
    <w:rsid w:val="000A043D"/>
    <w:rsid w:val="000A0FBE"/>
    <w:rsid w:val="000A26C4"/>
    <w:rsid w:val="000A44E0"/>
    <w:rsid w:val="000A5212"/>
    <w:rsid w:val="000A7FCF"/>
    <w:rsid w:val="000B34C4"/>
    <w:rsid w:val="000B62F1"/>
    <w:rsid w:val="000C073A"/>
    <w:rsid w:val="000C260A"/>
    <w:rsid w:val="000C5348"/>
    <w:rsid w:val="000C6DE9"/>
    <w:rsid w:val="000C70EA"/>
    <w:rsid w:val="000D0B51"/>
    <w:rsid w:val="000D17BE"/>
    <w:rsid w:val="000D203C"/>
    <w:rsid w:val="000D2EC9"/>
    <w:rsid w:val="000D52C0"/>
    <w:rsid w:val="000E2787"/>
    <w:rsid w:val="000F1813"/>
    <w:rsid w:val="000F2D3B"/>
    <w:rsid w:val="0010339F"/>
    <w:rsid w:val="001053D1"/>
    <w:rsid w:val="0011681E"/>
    <w:rsid w:val="00121ECE"/>
    <w:rsid w:val="00123799"/>
    <w:rsid w:val="0012614A"/>
    <w:rsid w:val="001308FD"/>
    <w:rsid w:val="00131BE7"/>
    <w:rsid w:val="00136138"/>
    <w:rsid w:val="0014045E"/>
    <w:rsid w:val="00141116"/>
    <w:rsid w:val="0014596A"/>
    <w:rsid w:val="00150783"/>
    <w:rsid w:val="001528E8"/>
    <w:rsid w:val="00160BD7"/>
    <w:rsid w:val="001636EC"/>
    <w:rsid w:val="00170246"/>
    <w:rsid w:val="0017557C"/>
    <w:rsid w:val="001868B2"/>
    <w:rsid w:val="001901AA"/>
    <w:rsid w:val="001959F2"/>
    <w:rsid w:val="001A3654"/>
    <w:rsid w:val="001C2398"/>
    <w:rsid w:val="001D2A51"/>
    <w:rsid w:val="001D33A8"/>
    <w:rsid w:val="001D6366"/>
    <w:rsid w:val="001E3845"/>
    <w:rsid w:val="001E6AC6"/>
    <w:rsid w:val="001F4CB2"/>
    <w:rsid w:val="001F6418"/>
    <w:rsid w:val="00201E77"/>
    <w:rsid w:val="00202922"/>
    <w:rsid w:val="00203347"/>
    <w:rsid w:val="002067A1"/>
    <w:rsid w:val="002072EB"/>
    <w:rsid w:val="0021201F"/>
    <w:rsid w:val="00213AE8"/>
    <w:rsid w:val="002146E5"/>
    <w:rsid w:val="00215A57"/>
    <w:rsid w:val="00221BF6"/>
    <w:rsid w:val="00224B93"/>
    <w:rsid w:val="00225290"/>
    <w:rsid w:val="00234AFB"/>
    <w:rsid w:val="002367E6"/>
    <w:rsid w:val="00241A4D"/>
    <w:rsid w:val="00251971"/>
    <w:rsid w:val="00255775"/>
    <w:rsid w:val="002604A8"/>
    <w:rsid w:val="002639C5"/>
    <w:rsid w:val="00264CA0"/>
    <w:rsid w:val="00266ED9"/>
    <w:rsid w:val="0026795B"/>
    <w:rsid w:val="00267B3F"/>
    <w:rsid w:val="00277164"/>
    <w:rsid w:val="00277A20"/>
    <w:rsid w:val="00282256"/>
    <w:rsid w:val="00297ED1"/>
    <w:rsid w:val="002A726D"/>
    <w:rsid w:val="002B452F"/>
    <w:rsid w:val="002B5706"/>
    <w:rsid w:val="002C2B7A"/>
    <w:rsid w:val="002D26BD"/>
    <w:rsid w:val="002D2C3E"/>
    <w:rsid w:val="002D47BE"/>
    <w:rsid w:val="002D52C0"/>
    <w:rsid w:val="002E234E"/>
    <w:rsid w:val="002E2FBF"/>
    <w:rsid w:val="002E3D60"/>
    <w:rsid w:val="002E4BA1"/>
    <w:rsid w:val="002E65B6"/>
    <w:rsid w:val="002E782C"/>
    <w:rsid w:val="002F1592"/>
    <w:rsid w:val="003018CC"/>
    <w:rsid w:val="0030325A"/>
    <w:rsid w:val="003055E7"/>
    <w:rsid w:val="003123AC"/>
    <w:rsid w:val="003125B6"/>
    <w:rsid w:val="0031320E"/>
    <w:rsid w:val="00331BA5"/>
    <w:rsid w:val="00333D28"/>
    <w:rsid w:val="00340442"/>
    <w:rsid w:val="00341638"/>
    <w:rsid w:val="003416C6"/>
    <w:rsid w:val="00342414"/>
    <w:rsid w:val="00345096"/>
    <w:rsid w:val="0034518D"/>
    <w:rsid w:val="00347E7E"/>
    <w:rsid w:val="00350D85"/>
    <w:rsid w:val="00353650"/>
    <w:rsid w:val="003566D6"/>
    <w:rsid w:val="003662DA"/>
    <w:rsid w:val="00367149"/>
    <w:rsid w:val="00367CF5"/>
    <w:rsid w:val="003752F8"/>
    <w:rsid w:val="00380075"/>
    <w:rsid w:val="00382FF6"/>
    <w:rsid w:val="00385323"/>
    <w:rsid w:val="0038553A"/>
    <w:rsid w:val="0039110A"/>
    <w:rsid w:val="00392316"/>
    <w:rsid w:val="0039462A"/>
    <w:rsid w:val="003A356C"/>
    <w:rsid w:val="003A4447"/>
    <w:rsid w:val="003A54A2"/>
    <w:rsid w:val="003B68BC"/>
    <w:rsid w:val="003C5213"/>
    <w:rsid w:val="003C7A25"/>
    <w:rsid w:val="003D102D"/>
    <w:rsid w:val="003D6E0A"/>
    <w:rsid w:val="003E1C2A"/>
    <w:rsid w:val="003E1CCA"/>
    <w:rsid w:val="003F02EE"/>
    <w:rsid w:val="003F220D"/>
    <w:rsid w:val="004010EE"/>
    <w:rsid w:val="004036AC"/>
    <w:rsid w:val="00411576"/>
    <w:rsid w:val="00416DDC"/>
    <w:rsid w:val="00416F5F"/>
    <w:rsid w:val="00417FF4"/>
    <w:rsid w:val="004216D1"/>
    <w:rsid w:val="004273C6"/>
    <w:rsid w:val="00430977"/>
    <w:rsid w:val="004341CA"/>
    <w:rsid w:val="004365D4"/>
    <w:rsid w:val="0044503B"/>
    <w:rsid w:val="00446FD7"/>
    <w:rsid w:val="00447F0A"/>
    <w:rsid w:val="004524C7"/>
    <w:rsid w:val="0045360B"/>
    <w:rsid w:val="00455233"/>
    <w:rsid w:val="00456FC8"/>
    <w:rsid w:val="00461747"/>
    <w:rsid w:val="004619CD"/>
    <w:rsid w:val="00461D0A"/>
    <w:rsid w:val="00462166"/>
    <w:rsid w:val="0046664D"/>
    <w:rsid w:val="004705CB"/>
    <w:rsid w:val="00483B49"/>
    <w:rsid w:val="004849C6"/>
    <w:rsid w:val="00484ABB"/>
    <w:rsid w:val="00492D6B"/>
    <w:rsid w:val="00493AA2"/>
    <w:rsid w:val="0049526D"/>
    <w:rsid w:val="004952CF"/>
    <w:rsid w:val="004A0885"/>
    <w:rsid w:val="004A4550"/>
    <w:rsid w:val="004A4C16"/>
    <w:rsid w:val="004A50AD"/>
    <w:rsid w:val="004A6099"/>
    <w:rsid w:val="004B2E99"/>
    <w:rsid w:val="004B378A"/>
    <w:rsid w:val="004B4778"/>
    <w:rsid w:val="004B4D19"/>
    <w:rsid w:val="004D11C6"/>
    <w:rsid w:val="004D7911"/>
    <w:rsid w:val="004E26FB"/>
    <w:rsid w:val="004E3DB9"/>
    <w:rsid w:val="004F2BE0"/>
    <w:rsid w:val="004F4A9D"/>
    <w:rsid w:val="00503625"/>
    <w:rsid w:val="00503DA8"/>
    <w:rsid w:val="0050497E"/>
    <w:rsid w:val="00506408"/>
    <w:rsid w:val="00506C01"/>
    <w:rsid w:val="00515F27"/>
    <w:rsid w:val="00516A2D"/>
    <w:rsid w:val="0052452A"/>
    <w:rsid w:val="00537AED"/>
    <w:rsid w:val="0054225E"/>
    <w:rsid w:val="00542908"/>
    <w:rsid w:val="00546527"/>
    <w:rsid w:val="0054698A"/>
    <w:rsid w:val="005476E7"/>
    <w:rsid w:val="0055434B"/>
    <w:rsid w:val="00557D20"/>
    <w:rsid w:val="00564348"/>
    <w:rsid w:val="0056442A"/>
    <w:rsid w:val="005677CD"/>
    <w:rsid w:val="005731DE"/>
    <w:rsid w:val="00577EC6"/>
    <w:rsid w:val="005816A2"/>
    <w:rsid w:val="00582E52"/>
    <w:rsid w:val="005837FC"/>
    <w:rsid w:val="005848E1"/>
    <w:rsid w:val="00592685"/>
    <w:rsid w:val="005931F7"/>
    <w:rsid w:val="005A3087"/>
    <w:rsid w:val="005A59E2"/>
    <w:rsid w:val="005B4538"/>
    <w:rsid w:val="005B6CBB"/>
    <w:rsid w:val="005C2EEF"/>
    <w:rsid w:val="005C41DC"/>
    <w:rsid w:val="005C4246"/>
    <w:rsid w:val="005C6427"/>
    <w:rsid w:val="005C672B"/>
    <w:rsid w:val="005C714C"/>
    <w:rsid w:val="005D1304"/>
    <w:rsid w:val="005D37A2"/>
    <w:rsid w:val="005D51A6"/>
    <w:rsid w:val="005D6AC7"/>
    <w:rsid w:val="005E1162"/>
    <w:rsid w:val="005E1893"/>
    <w:rsid w:val="005E5BB2"/>
    <w:rsid w:val="005E73F0"/>
    <w:rsid w:val="005F1B3E"/>
    <w:rsid w:val="005F38C1"/>
    <w:rsid w:val="005F49D5"/>
    <w:rsid w:val="00601B08"/>
    <w:rsid w:val="00605453"/>
    <w:rsid w:val="00611039"/>
    <w:rsid w:val="00612D83"/>
    <w:rsid w:val="00623C28"/>
    <w:rsid w:val="00623ED0"/>
    <w:rsid w:val="006310BA"/>
    <w:rsid w:val="00633774"/>
    <w:rsid w:val="00634C85"/>
    <w:rsid w:val="00637B31"/>
    <w:rsid w:val="00640767"/>
    <w:rsid w:val="00645652"/>
    <w:rsid w:val="00646C13"/>
    <w:rsid w:val="006544D4"/>
    <w:rsid w:val="00660F1F"/>
    <w:rsid w:val="006616A4"/>
    <w:rsid w:val="00662E0B"/>
    <w:rsid w:val="00663DA8"/>
    <w:rsid w:val="00667EF5"/>
    <w:rsid w:val="006839AC"/>
    <w:rsid w:val="006849FF"/>
    <w:rsid w:val="006875E7"/>
    <w:rsid w:val="00690DA5"/>
    <w:rsid w:val="00690E99"/>
    <w:rsid w:val="006914AD"/>
    <w:rsid w:val="0069155A"/>
    <w:rsid w:val="00693978"/>
    <w:rsid w:val="006943F5"/>
    <w:rsid w:val="00696241"/>
    <w:rsid w:val="006A41B0"/>
    <w:rsid w:val="006A4A6A"/>
    <w:rsid w:val="006A6301"/>
    <w:rsid w:val="006B2165"/>
    <w:rsid w:val="006B26AA"/>
    <w:rsid w:val="006B39CD"/>
    <w:rsid w:val="006B5044"/>
    <w:rsid w:val="006C2636"/>
    <w:rsid w:val="006C3751"/>
    <w:rsid w:val="006C4F1A"/>
    <w:rsid w:val="006D13C5"/>
    <w:rsid w:val="006D3819"/>
    <w:rsid w:val="006D578F"/>
    <w:rsid w:val="006E23A8"/>
    <w:rsid w:val="006E614E"/>
    <w:rsid w:val="006E6256"/>
    <w:rsid w:val="006F3042"/>
    <w:rsid w:val="006F5536"/>
    <w:rsid w:val="00703163"/>
    <w:rsid w:val="00707F5B"/>
    <w:rsid w:val="0071242D"/>
    <w:rsid w:val="00713494"/>
    <w:rsid w:val="00715F11"/>
    <w:rsid w:val="007254A4"/>
    <w:rsid w:val="00726E1F"/>
    <w:rsid w:val="007319BA"/>
    <w:rsid w:val="00732852"/>
    <w:rsid w:val="007354C7"/>
    <w:rsid w:val="00756994"/>
    <w:rsid w:val="007609F1"/>
    <w:rsid w:val="00761AB6"/>
    <w:rsid w:val="00773036"/>
    <w:rsid w:val="00773DCF"/>
    <w:rsid w:val="00777197"/>
    <w:rsid w:val="00777C4D"/>
    <w:rsid w:val="00781294"/>
    <w:rsid w:val="00785D4A"/>
    <w:rsid w:val="0079010D"/>
    <w:rsid w:val="00793D3F"/>
    <w:rsid w:val="00794334"/>
    <w:rsid w:val="007A0562"/>
    <w:rsid w:val="007A0E3E"/>
    <w:rsid w:val="007A4813"/>
    <w:rsid w:val="007A4EE0"/>
    <w:rsid w:val="007A4F38"/>
    <w:rsid w:val="007A6399"/>
    <w:rsid w:val="007A772C"/>
    <w:rsid w:val="007B0724"/>
    <w:rsid w:val="007B134E"/>
    <w:rsid w:val="007C0ACB"/>
    <w:rsid w:val="007C1114"/>
    <w:rsid w:val="007C391A"/>
    <w:rsid w:val="007C3E92"/>
    <w:rsid w:val="007D46C5"/>
    <w:rsid w:val="007D53CA"/>
    <w:rsid w:val="007D78D3"/>
    <w:rsid w:val="007E055B"/>
    <w:rsid w:val="007E3177"/>
    <w:rsid w:val="007E4D33"/>
    <w:rsid w:val="007E7290"/>
    <w:rsid w:val="007F3473"/>
    <w:rsid w:val="007F3F00"/>
    <w:rsid w:val="007F6E02"/>
    <w:rsid w:val="00800CC5"/>
    <w:rsid w:val="00801EB4"/>
    <w:rsid w:val="00803597"/>
    <w:rsid w:val="008056FA"/>
    <w:rsid w:val="00807DEF"/>
    <w:rsid w:val="00820DD5"/>
    <w:rsid w:val="00824FCF"/>
    <w:rsid w:val="00825FB9"/>
    <w:rsid w:val="00832A37"/>
    <w:rsid w:val="00832D56"/>
    <w:rsid w:val="00841A91"/>
    <w:rsid w:val="00841DEC"/>
    <w:rsid w:val="00842AFF"/>
    <w:rsid w:val="00844512"/>
    <w:rsid w:val="0084455C"/>
    <w:rsid w:val="00845B29"/>
    <w:rsid w:val="00852A36"/>
    <w:rsid w:val="00864758"/>
    <w:rsid w:val="0086620D"/>
    <w:rsid w:val="0086757F"/>
    <w:rsid w:val="00873B56"/>
    <w:rsid w:val="008765AE"/>
    <w:rsid w:val="008805B1"/>
    <w:rsid w:val="00884851"/>
    <w:rsid w:val="0088503B"/>
    <w:rsid w:val="00892A92"/>
    <w:rsid w:val="008B0FCF"/>
    <w:rsid w:val="008B2F69"/>
    <w:rsid w:val="008B7ABA"/>
    <w:rsid w:val="008C0968"/>
    <w:rsid w:val="008C29AF"/>
    <w:rsid w:val="008C4AFD"/>
    <w:rsid w:val="008C61ED"/>
    <w:rsid w:val="008D34D6"/>
    <w:rsid w:val="008D603A"/>
    <w:rsid w:val="008D744B"/>
    <w:rsid w:val="008E042E"/>
    <w:rsid w:val="008E1B26"/>
    <w:rsid w:val="008E1C1D"/>
    <w:rsid w:val="008F5CB4"/>
    <w:rsid w:val="008F71DF"/>
    <w:rsid w:val="008F739E"/>
    <w:rsid w:val="009020E9"/>
    <w:rsid w:val="009040AF"/>
    <w:rsid w:val="00904448"/>
    <w:rsid w:val="00910BEB"/>
    <w:rsid w:val="00911EF3"/>
    <w:rsid w:val="009175A9"/>
    <w:rsid w:val="009241B0"/>
    <w:rsid w:val="00925BB3"/>
    <w:rsid w:val="00931E7A"/>
    <w:rsid w:val="00932695"/>
    <w:rsid w:val="009345F1"/>
    <w:rsid w:val="009349E8"/>
    <w:rsid w:val="009356D2"/>
    <w:rsid w:val="009370CD"/>
    <w:rsid w:val="009372FF"/>
    <w:rsid w:val="009463FC"/>
    <w:rsid w:val="009501B0"/>
    <w:rsid w:val="0095201B"/>
    <w:rsid w:val="0095272C"/>
    <w:rsid w:val="00954F74"/>
    <w:rsid w:val="009578DB"/>
    <w:rsid w:val="00964CCE"/>
    <w:rsid w:val="00965B22"/>
    <w:rsid w:val="0096616A"/>
    <w:rsid w:val="0096722A"/>
    <w:rsid w:val="00971D2B"/>
    <w:rsid w:val="00971E70"/>
    <w:rsid w:val="00972EE7"/>
    <w:rsid w:val="009867B8"/>
    <w:rsid w:val="0099345F"/>
    <w:rsid w:val="009A0B23"/>
    <w:rsid w:val="009A2CBC"/>
    <w:rsid w:val="009A3911"/>
    <w:rsid w:val="009A5198"/>
    <w:rsid w:val="009B21CC"/>
    <w:rsid w:val="009B283D"/>
    <w:rsid w:val="009B6318"/>
    <w:rsid w:val="009B68E4"/>
    <w:rsid w:val="009C09C3"/>
    <w:rsid w:val="009C128A"/>
    <w:rsid w:val="009C1BF2"/>
    <w:rsid w:val="009C7CE5"/>
    <w:rsid w:val="009C7F27"/>
    <w:rsid w:val="009D2DC8"/>
    <w:rsid w:val="009D6D97"/>
    <w:rsid w:val="009E041C"/>
    <w:rsid w:val="009E2D39"/>
    <w:rsid w:val="009E3CD9"/>
    <w:rsid w:val="009F5630"/>
    <w:rsid w:val="00A01E4A"/>
    <w:rsid w:val="00A12886"/>
    <w:rsid w:val="00A13D70"/>
    <w:rsid w:val="00A15D8A"/>
    <w:rsid w:val="00A179AF"/>
    <w:rsid w:val="00A20D7A"/>
    <w:rsid w:val="00A20FF6"/>
    <w:rsid w:val="00A23822"/>
    <w:rsid w:val="00A255FF"/>
    <w:rsid w:val="00A25BEB"/>
    <w:rsid w:val="00A308D4"/>
    <w:rsid w:val="00A321F1"/>
    <w:rsid w:val="00A33EEF"/>
    <w:rsid w:val="00A36AFF"/>
    <w:rsid w:val="00A4482E"/>
    <w:rsid w:val="00A44841"/>
    <w:rsid w:val="00A46DDD"/>
    <w:rsid w:val="00A4746C"/>
    <w:rsid w:val="00A4776F"/>
    <w:rsid w:val="00A50808"/>
    <w:rsid w:val="00A605CD"/>
    <w:rsid w:val="00A62835"/>
    <w:rsid w:val="00A70EE2"/>
    <w:rsid w:val="00A72060"/>
    <w:rsid w:val="00A7232A"/>
    <w:rsid w:val="00A73378"/>
    <w:rsid w:val="00A75589"/>
    <w:rsid w:val="00A76AC9"/>
    <w:rsid w:val="00A770A7"/>
    <w:rsid w:val="00A77243"/>
    <w:rsid w:val="00A77960"/>
    <w:rsid w:val="00A8749F"/>
    <w:rsid w:val="00A87C4F"/>
    <w:rsid w:val="00A92028"/>
    <w:rsid w:val="00A92E21"/>
    <w:rsid w:val="00A943DB"/>
    <w:rsid w:val="00A97B06"/>
    <w:rsid w:val="00AA346F"/>
    <w:rsid w:val="00AA4227"/>
    <w:rsid w:val="00AA7E68"/>
    <w:rsid w:val="00AB01FA"/>
    <w:rsid w:val="00AB1329"/>
    <w:rsid w:val="00AB5519"/>
    <w:rsid w:val="00AB5CAF"/>
    <w:rsid w:val="00AB6965"/>
    <w:rsid w:val="00AC1738"/>
    <w:rsid w:val="00AC2A77"/>
    <w:rsid w:val="00AC521E"/>
    <w:rsid w:val="00AC5C0D"/>
    <w:rsid w:val="00AC7110"/>
    <w:rsid w:val="00AD4D4B"/>
    <w:rsid w:val="00AD5CA9"/>
    <w:rsid w:val="00AE674E"/>
    <w:rsid w:val="00AE7C03"/>
    <w:rsid w:val="00AF334E"/>
    <w:rsid w:val="00B10C44"/>
    <w:rsid w:val="00B12480"/>
    <w:rsid w:val="00B14205"/>
    <w:rsid w:val="00B15429"/>
    <w:rsid w:val="00B155F2"/>
    <w:rsid w:val="00B1638C"/>
    <w:rsid w:val="00B21726"/>
    <w:rsid w:val="00B245A4"/>
    <w:rsid w:val="00B24D10"/>
    <w:rsid w:val="00B31214"/>
    <w:rsid w:val="00B3378D"/>
    <w:rsid w:val="00B36A46"/>
    <w:rsid w:val="00B400BC"/>
    <w:rsid w:val="00B40A3F"/>
    <w:rsid w:val="00B4244A"/>
    <w:rsid w:val="00B425C0"/>
    <w:rsid w:val="00B56119"/>
    <w:rsid w:val="00B573A1"/>
    <w:rsid w:val="00B61E76"/>
    <w:rsid w:val="00B631A9"/>
    <w:rsid w:val="00B67611"/>
    <w:rsid w:val="00B67936"/>
    <w:rsid w:val="00B70BC6"/>
    <w:rsid w:val="00B70D46"/>
    <w:rsid w:val="00B732D4"/>
    <w:rsid w:val="00B733DD"/>
    <w:rsid w:val="00B85FC0"/>
    <w:rsid w:val="00B9193E"/>
    <w:rsid w:val="00B95205"/>
    <w:rsid w:val="00B956B9"/>
    <w:rsid w:val="00B95A79"/>
    <w:rsid w:val="00BA369B"/>
    <w:rsid w:val="00BA62BA"/>
    <w:rsid w:val="00BA6B76"/>
    <w:rsid w:val="00BB2397"/>
    <w:rsid w:val="00BB3CD1"/>
    <w:rsid w:val="00BC3EB4"/>
    <w:rsid w:val="00BD280F"/>
    <w:rsid w:val="00BD4014"/>
    <w:rsid w:val="00BD7858"/>
    <w:rsid w:val="00BE20E7"/>
    <w:rsid w:val="00BE55E6"/>
    <w:rsid w:val="00BF6AA3"/>
    <w:rsid w:val="00BF6CCA"/>
    <w:rsid w:val="00BF6CFA"/>
    <w:rsid w:val="00C02386"/>
    <w:rsid w:val="00C026B8"/>
    <w:rsid w:val="00C0507D"/>
    <w:rsid w:val="00C07B71"/>
    <w:rsid w:val="00C13690"/>
    <w:rsid w:val="00C201C8"/>
    <w:rsid w:val="00C2057A"/>
    <w:rsid w:val="00C32B1A"/>
    <w:rsid w:val="00C42556"/>
    <w:rsid w:val="00C43B8A"/>
    <w:rsid w:val="00C46893"/>
    <w:rsid w:val="00C5376D"/>
    <w:rsid w:val="00C57531"/>
    <w:rsid w:val="00C657C2"/>
    <w:rsid w:val="00C71C85"/>
    <w:rsid w:val="00C75B02"/>
    <w:rsid w:val="00C7659B"/>
    <w:rsid w:val="00C8149C"/>
    <w:rsid w:val="00C83C26"/>
    <w:rsid w:val="00C92A43"/>
    <w:rsid w:val="00C94311"/>
    <w:rsid w:val="00CA0164"/>
    <w:rsid w:val="00CA2E6B"/>
    <w:rsid w:val="00CB17F2"/>
    <w:rsid w:val="00CB6444"/>
    <w:rsid w:val="00CC5B54"/>
    <w:rsid w:val="00CC62B7"/>
    <w:rsid w:val="00CC7008"/>
    <w:rsid w:val="00CD08CF"/>
    <w:rsid w:val="00CD18AA"/>
    <w:rsid w:val="00CF0228"/>
    <w:rsid w:val="00CF1237"/>
    <w:rsid w:val="00CF4858"/>
    <w:rsid w:val="00D01759"/>
    <w:rsid w:val="00D02BAF"/>
    <w:rsid w:val="00D03682"/>
    <w:rsid w:val="00D059B7"/>
    <w:rsid w:val="00D15697"/>
    <w:rsid w:val="00D201A8"/>
    <w:rsid w:val="00D21395"/>
    <w:rsid w:val="00D2339C"/>
    <w:rsid w:val="00D24A5A"/>
    <w:rsid w:val="00D34C85"/>
    <w:rsid w:val="00D363D0"/>
    <w:rsid w:val="00D3782E"/>
    <w:rsid w:val="00D4181C"/>
    <w:rsid w:val="00D448AF"/>
    <w:rsid w:val="00D503BB"/>
    <w:rsid w:val="00D50C57"/>
    <w:rsid w:val="00D525F0"/>
    <w:rsid w:val="00D5661B"/>
    <w:rsid w:val="00D56C86"/>
    <w:rsid w:val="00D603B1"/>
    <w:rsid w:val="00D62EBB"/>
    <w:rsid w:val="00D63776"/>
    <w:rsid w:val="00D70AC3"/>
    <w:rsid w:val="00D7496E"/>
    <w:rsid w:val="00D74DA5"/>
    <w:rsid w:val="00D76476"/>
    <w:rsid w:val="00D80AD7"/>
    <w:rsid w:val="00D82F6A"/>
    <w:rsid w:val="00DA348E"/>
    <w:rsid w:val="00DA3D9D"/>
    <w:rsid w:val="00DA6DC1"/>
    <w:rsid w:val="00DA6EA0"/>
    <w:rsid w:val="00DA7354"/>
    <w:rsid w:val="00DA7700"/>
    <w:rsid w:val="00DB14A0"/>
    <w:rsid w:val="00DB7890"/>
    <w:rsid w:val="00DC2DB5"/>
    <w:rsid w:val="00DC39C7"/>
    <w:rsid w:val="00DC6741"/>
    <w:rsid w:val="00DC6993"/>
    <w:rsid w:val="00DD3163"/>
    <w:rsid w:val="00DE20C6"/>
    <w:rsid w:val="00DF2209"/>
    <w:rsid w:val="00DF2DB3"/>
    <w:rsid w:val="00DF5922"/>
    <w:rsid w:val="00DF6B9F"/>
    <w:rsid w:val="00DF79C0"/>
    <w:rsid w:val="00E03D20"/>
    <w:rsid w:val="00E06DE2"/>
    <w:rsid w:val="00E146A8"/>
    <w:rsid w:val="00E15C78"/>
    <w:rsid w:val="00E15F27"/>
    <w:rsid w:val="00E278AA"/>
    <w:rsid w:val="00E27E4D"/>
    <w:rsid w:val="00E34745"/>
    <w:rsid w:val="00E35319"/>
    <w:rsid w:val="00E3581F"/>
    <w:rsid w:val="00E36164"/>
    <w:rsid w:val="00E40EBA"/>
    <w:rsid w:val="00E42BC5"/>
    <w:rsid w:val="00E52958"/>
    <w:rsid w:val="00E52A1D"/>
    <w:rsid w:val="00E61645"/>
    <w:rsid w:val="00E6368D"/>
    <w:rsid w:val="00E6730B"/>
    <w:rsid w:val="00E76337"/>
    <w:rsid w:val="00E82A1E"/>
    <w:rsid w:val="00E855B2"/>
    <w:rsid w:val="00E90838"/>
    <w:rsid w:val="00E94F64"/>
    <w:rsid w:val="00EA2F1D"/>
    <w:rsid w:val="00EA375A"/>
    <w:rsid w:val="00EB0840"/>
    <w:rsid w:val="00EB2FA2"/>
    <w:rsid w:val="00EC050F"/>
    <w:rsid w:val="00ED080F"/>
    <w:rsid w:val="00ED1957"/>
    <w:rsid w:val="00ED2B11"/>
    <w:rsid w:val="00ED4C66"/>
    <w:rsid w:val="00ED7D13"/>
    <w:rsid w:val="00ED7DE3"/>
    <w:rsid w:val="00EE0D0E"/>
    <w:rsid w:val="00EE38CF"/>
    <w:rsid w:val="00EE5DF5"/>
    <w:rsid w:val="00EE60CF"/>
    <w:rsid w:val="00EF08B6"/>
    <w:rsid w:val="00EF2D45"/>
    <w:rsid w:val="00EF5D52"/>
    <w:rsid w:val="00EF7057"/>
    <w:rsid w:val="00F06A0E"/>
    <w:rsid w:val="00F06D4F"/>
    <w:rsid w:val="00F127A9"/>
    <w:rsid w:val="00F158A3"/>
    <w:rsid w:val="00F16F70"/>
    <w:rsid w:val="00F21AD6"/>
    <w:rsid w:val="00F224B4"/>
    <w:rsid w:val="00F2386B"/>
    <w:rsid w:val="00F366E4"/>
    <w:rsid w:val="00F37564"/>
    <w:rsid w:val="00F42090"/>
    <w:rsid w:val="00F44376"/>
    <w:rsid w:val="00F525D5"/>
    <w:rsid w:val="00F527A1"/>
    <w:rsid w:val="00F55526"/>
    <w:rsid w:val="00F5575E"/>
    <w:rsid w:val="00F5647F"/>
    <w:rsid w:val="00F57EDE"/>
    <w:rsid w:val="00F62D7B"/>
    <w:rsid w:val="00F65D18"/>
    <w:rsid w:val="00F76931"/>
    <w:rsid w:val="00F77DF6"/>
    <w:rsid w:val="00F800B8"/>
    <w:rsid w:val="00F804A3"/>
    <w:rsid w:val="00F80F04"/>
    <w:rsid w:val="00FA06E1"/>
    <w:rsid w:val="00FA18FE"/>
    <w:rsid w:val="00FA193D"/>
    <w:rsid w:val="00FA26C4"/>
    <w:rsid w:val="00FA283E"/>
    <w:rsid w:val="00FA3F88"/>
    <w:rsid w:val="00FA5E1E"/>
    <w:rsid w:val="00FA72D9"/>
    <w:rsid w:val="00FB0647"/>
    <w:rsid w:val="00FB177B"/>
    <w:rsid w:val="00FB3984"/>
    <w:rsid w:val="00FB6571"/>
    <w:rsid w:val="00FC36D7"/>
    <w:rsid w:val="00FC79F1"/>
    <w:rsid w:val="00FC7D20"/>
    <w:rsid w:val="00FD5343"/>
    <w:rsid w:val="00FE0A80"/>
    <w:rsid w:val="00FE115F"/>
    <w:rsid w:val="00FE5338"/>
    <w:rsid w:val="00FF4836"/>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vertical-relative:margin" fillcolor="#002395" stroke="f">
      <v:fill color="#002395"/>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qFormat="1"/>
    <w:lsdException w:name="annotation text" w:uiPriority="99"/>
    <w:lsdException w:name="header" w:uiPriority="99"/>
    <w:lsdException w:name="footer"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69"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61D0A"/>
    <w:pPr>
      <w:spacing w:after="240"/>
      <w:jc w:val="both"/>
    </w:pPr>
    <w:rPr>
      <w:sz w:val="24"/>
      <w:lang w:val="en-GB" w:eastAsia="en-US"/>
    </w:rPr>
  </w:style>
  <w:style w:type="paragraph" w:styleId="Heading1">
    <w:name w:val="heading 1"/>
    <w:basedOn w:val="Normal"/>
    <w:next w:val="Text1"/>
    <w:link w:val="Heading1Char"/>
    <w:qFormat/>
    <w:rsid w:val="00577EC6"/>
    <w:pPr>
      <w:keepNext/>
      <w:numPr>
        <w:numId w:val="3"/>
      </w:numPr>
      <w:spacing w:before="240"/>
      <w:outlineLvl w:val="0"/>
    </w:pPr>
    <w:rPr>
      <w:b/>
      <w:smallCaps/>
    </w:rPr>
  </w:style>
  <w:style w:type="paragraph" w:styleId="Heading2">
    <w:name w:val="heading 2"/>
    <w:basedOn w:val="Normal"/>
    <w:next w:val="Text2"/>
    <w:link w:val="Heading2Char"/>
    <w:rsid w:val="00577EC6"/>
    <w:pPr>
      <w:keepNext/>
      <w:numPr>
        <w:ilvl w:val="1"/>
        <w:numId w:val="3"/>
      </w:numPr>
      <w:outlineLvl w:val="1"/>
    </w:pPr>
    <w:rPr>
      <w:b/>
    </w:rPr>
  </w:style>
  <w:style w:type="paragraph" w:styleId="Heading3">
    <w:name w:val="heading 3"/>
    <w:basedOn w:val="Normal"/>
    <w:next w:val="Text3"/>
    <w:link w:val="Heading3Char"/>
    <w:rsid w:val="00577EC6"/>
    <w:pPr>
      <w:keepNext/>
      <w:numPr>
        <w:ilvl w:val="2"/>
        <w:numId w:val="3"/>
      </w:numPr>
      <w:outlineLvl w:val="2"/>
    </w:pPr>
    <w:rPr>
      <w:i/>
    </w:rPr>
  </w:style>
  <w:style w:type="paragraph" w:styleId="Heading4">
    <w:name w:val="heading 4"/>
    <w:basedOn w:val="Normal"/>
    <w:next w:val="Text4"/>
    <w:link w:val="Heading4Char"/>
    <w:rsid w:val="00577EC6"/>
    <w:pPr>
      <w:keepNext/>
      <w:numPr>
        <w:ilvl w:val="3"/>
        <w:numId w:val="3"/>
      </w:numPr>
      <w:outlineLvl w:val="3"/>
    </w:pPr>
  </w:style>
  <w:style w:type="paragraph" w:styleId="Heading5">
    <w:name w:val="heading 5"/>
    <w:basedOn w:val="Normal"/>
    <w:next w:val="Normal"/>
    <w:link w:val="Heading5Char"/>
    <w:rsid w:val="00461D0A"/>
    <w:pPr>
      <w:tabs>
        <w:tab w:val="num" w:pos="0"/>
      </w:tabs>
      <w:spacing w:before="240" w:after="60"/>
      <w:outlineLvl w:val="4"/>
    </w:pPr>
    <w:rPr>
      <w:rFonts w:ascii="Arial" w:hAnsi="Arial"/>
      <w:sz w:val="22"/>
    </w:rPr>
  </w:style>
  <w:style w:type="paragraph" w:styleId="Heading6">
    <w:name w:val="heading 6"/>
    <w:basedOn w:val="Normal"/>
    <w:next w:val="Normal"/>
    <w:link w:val="Heading6Char"/>
    <w:rsid w:val="00461D0A"/>
    <w:pPr>
      <w:tabs>
        <w:tab w:val="num" w:pos="0"/>
      </w:tabs>
      <w:spacing w:before="240" w:after="60"/>
      <w:outlineLvl w:val="5"/>
    </w:pPr>
    <w:rPr>
      <w:rFonts w:ascii="Arial" w:hAnsi="Arial"/>
      <w:i/>
      <w:sz w:val="22"/>
    </w:rPr>
  </w:style>
  <w:style w:type="paragraph" w:styleId="Heading7">
    <w:name w:val="heading 7"/>
    <w:basedOn w:val="Normal"/>
    <w:next w:val="Normal"/>
    <w:link w:val="Heading7Char"/>
    <w:rsid w:val="00461D0A"/>
    <w:pPr>
      <w:tabs>
        <w:tab w:val="num" w:pos="0"/>
      </w:tabs>
      <w:spacing w:before="240" w:after="60"/>
      <w:outlineLvl w:val="6"/>
    </w:pPr>
    <w:rPr>
      <w:rFonts w:ascii="Arial" w:hAnsi="Arial"/>
      <w:sz w:val="20"/>
    </w:rPr>
  </w:style>
  <w:style w:type="paragraph" w:styleId="Heading8">
    <w:name w:val="heading 8"/>
    <w:basedOn w:val="Normal"/>
    <w:next w:val="Normal"/>
    <w:link w:val="Heading8Char"/>
    <w:rsid w:val="00461D0A"/>
    <w:pPr>
      <w:tabs>
        <w:tab w:val="num" w:pos="0"/>
      </w:tabs>
      <w:spacing w:before="240" w:after="60"/>
      <w:outlineLvl w:val="7"/>
    </w:pPr>
    <w:rPr>
      <w:rFonts w:ascii="Arial" w:hAnsi="Arial"/>
      <w:i/>
      <w:sz w:val="20"/>
    </w:rPr>
  </w:style>
  <w:style w:type="paragraph" w:styleId="Heading9">
    <w:name w:val="heading 9"/>
    <w:basedOn w:val="Normal"/>
    <w:next w:val="Normal"/>
    <w:link w:val="Heading9Char"/>
    <w:rsid w:val="00461D0A"/>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461D0A"/>
    <w:pPr>
      <w:ind w:left="482"/>
    </w:pPr>
  </w:style>
  <w:style w:type="paragraph" w:customStyle="1" w:styleId="Text2">
    <w:name w:val="Text 2"/>
    <w:basedOn w:val="Normal"/>
    <w:rsid w:val="00461D0A"/>
    <w:pPr>
      <w:tabs>
        <w:tab w:val="left" w:pos="2302"/>
      </w:tabs>
      <w:ind w:left="1202"/>
    </w:pPr>
  </w:style>
  <w:style w:type="paragraph" w:customStyle="1" w:styleId="Text3">
    <w:name w:val="Text 3"/>
    <w:basedOn w:val="Normal"/>
    <w:rsid w:val="00461D0A"/>
    <w:pPr>
      <w:tabs>
        <w:tab w:val="left" w:pos="2302"/>
      </w:tabs>
      <w:ind w:left="1202"/>
    </w:pPr>
  </w:style>
  <w:style w:type="paragraph" w:customStyle="1" w:styleId="Text4">
    <w:name w:val="Text 4"/>
    <w:basedOn w:val="Normal"/>
    <w:rsid w:val="00461D0A"/>
    <w:pPr>
      <w:tabs>
        <w:tab w:val="left" w:pos="2302"/>
      </w:tabs>
      <w:ind w:left="1202"/>
    </w:pPr>
  </w:style>
  <w:style w:type="paragraph" w:customStyle="1" w:styleId="Address">
    <w:name w:val="Address"/>
    <w:basedOn w:val="Normal"/>
    <w:rsid w:val="00461D0A"/>
    <w:pPr>
      <w:spacing w:after="0"/>
      <w:jc w:val="left"/>
    </w:pPr>
  </w:style>
  <w:style w:type="paragraph" w:customStyle="1" w:styleId="AddressTL">
    <w:name w:val="AddressTL"/>
    <w:basedOn w:val="Normal"/>
    <w:next w:val="Normal"/>
    <w:rsid w:val="00461D0A"/>
    <w:pPr>
      <w:spacing w:after="720"/>
      <w:jc w:val="left"/>
    </w:pPr>
  </w:style>
  <w:style w:type="paragraph" w:customStyle="1" w:styleId="AddressTR">
    <w:name w:val="AddressTR"/>
    <w:basedOn w:val="Normal"/>
    <w:next w:val="Normal"/>
    <w:rsid w:val="00461D0A"/>
    <w:pPr>
      <w:spacing w:after="720"/>
      <w:ind w:left="5103"/>
      <w:jc w:val="left"/>
    </w:pPr>
  </w:style>
  <w:style w:type="paragraph" w:styleId="BlockText">
    <w:name w:val="Block Text"/>
    <w:basedOn w:val="Normal"/>
    <w:rsid w:val="00461D0A"/>
    <w:pPr>
      <w:spacing w:after="120"/>
      <w:ind w:left="1440" w:right="1440"/>
    </w:pPr>
  </w:style>
  <w:style w:type="paragraph" w:styleId="BodyText">
    <w:name w:val="Body Text"/>
    <w:basedOn w:val="Normal"/>
    <w:link w:val="BodyTextChar"/>
    <w:rsid w:val="00461D0A"/>
    <w:pPr>
      <w:spacing w:after="120"/>
    </w:pPr>
  </w:style>
  <w:style w:type="paragraph" w:styleId="BodyText2">
    <w:name w:val="Body Text 2"/>
    <w:basedOn w:val="Normal"/>
    <w:link w:val="BodyText2Char"/>
    <w:rsid w:val="00461D0A"/>
    <w:pPr>
      <w:spacing w:after="120" w:line="480" w:lineRule="auto"/>
    </w:pPr>
  </w:style>
  <w:style w:type="paragraph" w:styleId="BodyText3">
    <w:name w:val="Body Text 3"/>
    <w:basedOn w:val="Normal"/>
    <w:link w:val="BodyText3Char"/>
    <w:rsid w:val="00461D0A"/>
    <w:pPr>
      <w:spacing w:after="120"/>
    </w:pPr>
    <w:rPr>
      <w:sz w:val="16"/>
    </w:rPr>
  </w:style>
  <w:style w:type="paragraph" w:styleId="BodyTextFirstIndent">
    <w:name w:val="Body Text First Indent"/>
    <w:basedOn w:val="BodyText"/>
    <w:link w:val="BodyTextFirstIndentChar"/>
    <w:rsid w:val="00461D0A"/>
    <w:pPr>
      <w:ind w:firstLine="210"/>
    </w:pPr>
  </w:style>
  <w:style w:type="paragraph" w:styleId="BodyTextIndent">
    <w:name w:val="Body Text Indent"/>
    <w:basedOn w:val="Normal"/>
    <w:link w:val="BodyTextIndentChar"/>
    <w:rsid w:val="00461D0A"/>
    <w:pPr>
      <w:spacing w:after="120"/>
      <w:ind w:left="283"/>
    </w:pPr>
  </w:style>
  <w:style w:type="paragraph" w:styleId="BodyTextFirstIndent2">
    <w:name w:val="Body Text First Indent 2"/>
    <w:basedOn w:val="BodyTextIndent"/>
    <w:link w:val="BodyTextFirstIndent2Char"/>
    <w:rsid w:val="00461D0A"/>
    <w:pPr>
      <w:ind w:firstLine="210"/>
    </w:pPr>
  </w:style>
  <w:style w:type="paragraph" w:styleId="BodyTextIndent2">
    <w:name w:val="Body Text Indent 2"/>
    <w:basedOn w:val="Normal"/>
    <w:link w:val="BodyTextIndent2Char"/>
    <w:rsid w:val="00461D0A"/>
    <w:pPr>
      <w:spacing w:after="120" w:line="480" w:lineRule="auto"/>
      <w:ind w:left="283"/>
    </w:pPr>
  </w:style>
  <w:style w:type="paragraph" w:styleId="BodyTextIndent3">
    <w:name w:val="Body Text Indent 3"/>
    <w:basedOn w:val="Normal"/>
    <w:link w:val="BodyTextIndent3Char"/>
    <w:rsid w:val="00461D0A"/>
    <w:pPr>
      <w:spacing w:after="120"/>
      <w:ind w:left="283"/>
    </w:pPr>
    <w:rPr>
      <w:sz w:val="16"/>
    </w:rPr>
  </w:style>
  <w:style w:type="paragraph" w:styleId="Caption">
    <w:name w:val="caption"/>
    <w:basedOn w:val="Normal"/>
    <w:next w:val="Normal"/>
    <w:rsid w:val="00461D0A"/>
    <w:pPr>
      <w:spacing w:before="120" w:after="120"/>
    </w:pPr>
    <w:rPr>
      <w:b/>
    </w:rPr>
  </w:style>
  <w:style w:type="paragraph" w:customStyle="1" w:styleId="ChapterTitle">
    <w:name w:val="ChapterTitle"/>
    <w:basedOn w:val="Normal"/>
    <w:next w:val="SectionTitle"/>
    <w:rsid w:val="00461D0A"/>
    <w:pPr>
      <w:keepNext/>
      <w:spacing w:after="480"/>
      <w:jc w:val="center"/>
    </w:pPr>
    <w:rPr>
      <w:b/>
      <w:sz w:val="32"/>
    </w:rPr>
  </w:style>
  <w:style w:type="paragraph" w:customStyle="1" w:styleId="SectionTitle">
    <w:name w:val="SectionTitle"/>
    <w:basedOn w:val="Normal"/>
    <w:next w:val="Heading1"/>
    <w:rsid w:val="00461D0A"/>
    <w:pPr>
      <w:keepNext/>
      <w:spacing w:after="480"/>
      <w:jc w:val="center"/>
    </w:pPr>
    <w:rPr>
      <w:b/>
      <w:smallCaps/>
      <w:sz w:val="28"/>
    </w:rPr>
  </w:style>
  <w:style w:type="paragraph" w:styleId="Closing">
    <w:name w:val="Closing"/>
    <w:basedOn w:val="Normal"/>
    <w:link w:val="ClosingChar"/>
    <w:rsid w:val="00461D0A"/>
    <w:pPr>
      <w:ind w:left="4252"/>
    </w:pPr>
  </w:style>
  <w:style w:type="paragraph" w:styleId="CommentText">
    <w:name w:val="annotation text"/>
    <w:basedOn w:val="Normal"/>
    <w:link w:val="CommentTextChar"/>
    <w:uiPriority w:val="99"/>
    <w:rsid w:val="00461D0A"/>
    <w:rPr>
      <w:sz w:val="20"/>
    </w:rPr>
  </w:style>
  <w:style w:type="paragraph" w:styleId="Date">
    <w:name w:val="Date"/>
    <w:basedOn w:val="Normal"/>
    <w:next w:val="References"/>
    <w:link w:val="DateChar"/>
    <w:rsid w:val="00461D0A"/>
    <w:pPr>
      <w:spacing w:after="0"/>
      <w:ind w:left="5103" w:right="-567"/>
      <w:jc w:val="left"/>
    </w:pPr>
  </w:style>
  <w:style w:type="paragraph" w:customStyle="1" w:styleId="References">
    <w:name w:val="References"/>
    <w:basedOn w:val="Normal"/>
    <w:next w:val="AddressTR"/>
    <w:rsid w:val="00461D0A"/>
    <w:pPr>
      <w:ind w:left="5103"/>
      <w:jc w:val="left"/>
    </w:pPr>
    <w:rPr>
      <w:sz w:val="20"/>
    </w:rPr>
  </w:style>
  <w:style w:type="paragraph" w:styleId="DocumentMap">
    <w:name w:val="Document Map"/>
    <w:basedOn w:val="Normal"/>
    <w:link w:val="DocumentMapChar"/>
    <w:semiHidden/>
    <w:rsid w:val="00461D0A"/>
    <w:pPr>
      <w:shd w:val="clear" w:color="auto" w:fill="000080"/>
    </w:pPr>
    <w:rPr>
      <w:rFonts w:ascii="Tahoma" w:hAnsi="Tahoma"/>
    </w:rPr>
  </w:style>
  <w:style w:type="paragraph" w:customStyle="1" w:styleId="DoubSign">
    <w:name w:val="DoubSign"/>
    <w:basedOn w:val="Normal"/>
    <w:next w:val="Enclosures"/>
    <w:rsid w:val="00461D0A"/>
    <w:pPr>
      <w:tabs>
        <w:tab w:val="left" w:pos="5103"/>
      </w:tabs>
      <w:spacing w:before="1200" w:after="0"/>
      <w:jc w:val="left"/>
    </w:pPr>
  </w:style>
  <w:style w:type="paragraph" w:customStyle="1" w:styleId="Enclosures">
    <w:name w:val="Enclosures"/>
    <w:basedOn w:val="Normal"/>
    <w:rsid w:val="00461D0A"/>
    <w:pPr>
      <w:keepNext/>
      <w:keepLines/>
      <w:tabs>
        <w:tab w:val="left" w:pos="5642"/>
      </w:tabs>
      <w:spacing w:before="480" w:after="0"/>
      <w:ind w:left="1191" w:hanging="1191"/>
      <w:jc w:val="left"/>
    </w:pPr>
  </w:style>
  <w:style w:type="paragraph" w:styleId="EndnoteText">
    <w:name w:val="endnote text"/>
    <w:basedOn w:val="Normal"/>
    <w:link w:val="EndnoteTextChar"/>
    <w:uiPriority w:val="99"/>
    <w:rsid w:val="00461D0A"/>
    <w:rPr>
      <w:sz w:val="20"/>
    </w:rPr>
  </w:style>
  <w:style w:type="paragraph" w:styleId="EnvelopeAddress">
    <w:name w:val="envelope address"/>
    <w:basedOn w:val="Normal"/>
    <w:rsid w:val="00461D0A"/>
    <w:pPr>
      <w:framePr w:w="7920" w:h="1980" w:hRule="exact" w:hSpace="180" w:wrap="auto" w:hAnchor="page" w:xAlign="center" w:yAlign="bottom"/>
      <w:spacing w:after="0"/>
    </w:pPr>
  </w:style>
  <w:style w:type="paragraph" w:styleId="EnvelopeReturn">
    <w:name w:val="envelope return"/>
    <w:basedOn w:val="Normal"/>
    <w:rsid w:val="00461D0A"/>
    <w:pPr>
      <w:spacing w:after="0"/>
    </w:pPr>
    <w:rPr>
      <w:sz w:val="20"/>
    </w:rPr>
  </w:style>
  <w:style w:type="paragraph" w:styleId="Footer">
    <w:name w:val="footer"/>
    <w:basedOn w:val="Normal"/>
    <w:link w:val="FooterChar"/>
    <w:uiPriority w:val="99"/>
    <w:rsid w:val="00461D0A"/>
    <w:pPr>
      <w:spacing w:after="0"/>
      <w:ind w:right="-567"/>
      <w:jc w:val="left"/>
    </w:pPr>
    <w:rPr>
      <w:rFonts w:ascii="Arial" w:hAnsi="Arial"/>
      <w:sz w:val="16"/>
    </w:rPr>
  </w:style>
  <w:style w:type="paragraph" w:styleId="FootnoteText">
    <w:name w:val="footnote text"/>
    <w:aliases w:val="Footnote,Fußnote,C26 Footnote body"/>
    <w:basedOn w:val="Normal"/>
    <w:link w:val="FootnoteTextChar"/>
    <w:rsid w:val="00461D0A"/>
    <w:pPr>
      <w:ind w:left="357" w:hanging="357"/>
    </w:pPr>
    <w:rPr>
      <w:sz w:val="20"/>
    </w:rPr>
  </w:style>
  <w:style w:type="paragraph" w:styleId="Header">
    <w:name w:val="header"/>
    <w:basedOn w:val="Normal"/>
    <w:link w:val="HeaderChar"/>
    <w:uiPriority w:val="99"/>
    <w:rsid w:val="00461D0A"/>
    <w:pPr>
      <w:tabs>
        <w:tab w:val="center" w:pos="4153"/>
        <w:tab w:val="right" w:pos="8306"/>
      </w:tabs>
    </w:pPr>
  </w:style>
  <w:style w:type="paragraph" w:styleId="Index1">
    <w:name w:val="index 1"/>
    <w:basedOn w:val="Normal"/>
    <w:next w:val="Normal"/>
    <w:autoRedefine/>
    <w:semiHidden/>
    <w:rsid w:val="00461D0A"/>
    <w:pPr>
      <w:ind w:left="240" w:hanging="240"/>
    </w:pPr>
  </w:style>
  <w:style w:type="paragraph" w:styleId="Index2">
    <w:name w:val="index 2"/>
    <w:basedOn w:val="Normal"/>
    <w:next w:val="Normal"/>
    <w:autoRedefine/>
    <w:semiHidden/>
    <w:rsid w:val="00461D0A"/>
    <w:pPr>
      <w:ind w:left="480" w:hanging="240"/>
    </w:pPr>
  </w:style>
  <w:style w:type="paragraph" w:styleId="Index3">
    <w:name w:val="index 3"/>
    <w:basedOn w:val="Normal"/>
    <w:next w:val="Normal"/>
    <w:autoRedefine/>
    <w:semiHidden/>
    <w:rsid w:val="00461D0A"/>
    <w:pPr>
      <w:ind w:left="720" w:hanging="240"/>
    </w:pPr>
  </w:style>
  <w:style w:type="paragraph" w:styleId="Index4">
    <w:name w:val="index 4"/>
    <w:basedOn w:val="Normal"/>
    <w:next w:val="Normal"/>
    <w:autoRedefine/>
    <w:semiHidden/>
    <w:rsid w:val="00461D0A"/>
    <w:pPr>
      <w:ind w:left="960" w:hanging="240"/>
    </w:pPr>
  </w:style>
  <w:style w:type="paragraph" w:styleId="Index5">
    <w:name w:val="index 5"/>
    <w:basedOn w:val="Normal"/>
    <w:next w:val="Normal"/>
    <w:autoRedefine/>
    <w:semiHidden/>
    <w:rsid w:val="00461D0A"/>
    <w:pPr>
      <w:ind w:left="1200" w:hanging="240"/>
    </w:pPr>
  </w:style>
  <w:style w:type="paragraph" w:styleId="Index6">
    <w:name w:val="index 6"/>
    <w:basedOn w:val="Normal"/>
    <w:next w:val="Normal"/>
    <w:autoRedefine/>
    <w:semiHidden/>
    <w:rsid w:val="00461D0A"/>
    <w:pPr>
      <w:ind w:left="1440" w:hanging="240"/>
    </w:pPr>
  </w:style>
  <w:style w:type="paragraph" w:styleId="Index7">
    <w:name w:val="index 7"/>
    <w:basedOn w:val="Normal"/>
    <w:next w:val="Normal"/>
    <w:autoRedefine/>
    <w:semiHidden/>
    <w:rsid w:val="00461D0A"/>
    <w:pPr>
      <w:ind w:left="1680" w:hanging="240"/>
    </w:pPr>
  </w:style>
  <w:style w:type="paragraph" w:styleId="Index8">
    <w:name w:val="index 8"/>
    <w:basedOn w:val="Normal"/>
    <w:next w:val="Normal"/>
    <w:autoRedefine/>
    <w:semiHidden/>
    <w:rsid w:val="00461D0A"/>
    <w:pPr>
      <w:ind w:left="1920" w:hanging="240"/>
    </w:pPr>
  </w:style>
  <w:style w:type="paragraph" w:styleId="Index9">
    <w:name w:val="index 9"/>
    <w:basedOn w:val="Normal"/>
    <w:next w:val="Normal"/>
    <w:autoRedefine/>
    <w:semiHidden/>
    <w:rsid w:val="00461D0A"/>
    <w:pPr>
      <w:ind w:left="2160" w:hanging="240"/>
    </w:pPr>
  </w:style>
  <w:style w:type="paragraph" w:styleId="IndexHeading">
    <w:name w:val="index heading"/>
    <w:basedOn w:val="Normal"/>
    <w:next w:val="Index1"/>
    <w:semiHidden/>
    <w:rsid w:val="00461D0A"/>
    <w:rPr>
      <w:rFonts w:ascii="Arial" w:hAnsi="Arial"/>
      <w:b/>
    </w:rPr>
  </w:style>
  <w:style w:type="paragraph" w:styleId="List">
    <w:name w:val="List"/>
    <w:basedOn w:val="Normal"/>
    <w:rsid w:val="00461D0A"/>
    <w:pPr>
      <w:ind w:left="283" w:hanging="283"/>
    </w:pPr>
  </w:style>
  <w:style w:type="paragraph" w:styleId="List2">
    <w:name w:val="List 2"/>
    <w:basedOn w:val="Normal"/>
    <w:rsid w:val="00461D0A"/>
    <w:pPr>
      <w:ind w:left="566" w:hanging="283"/>
    </w:pPr>
  </w:style>
  <w:style w:type="paragraph" w:styleId="List3">
    <w:name w:val="List 3"/>
    <w:basedOn w:val="Normal"/>
    <w:rsid w:val="00461D0A"/>
    <w:pPr>
      <w:ind w:left="849" w:hanging="283"/>
    </w:pPr>
  </w:style>
  <w:style w:type="paragraph" w:styleId="List4">
    <w:name w:val="List 4"/>
    <w:basedOn w:val="Normal"/>
    <w:rsid w:val="00461D0A"/>
    <w:pPr>
      <w:ind w:left="1132" w:hanging="283"/>
    </w:pPr>
  </w:style>
  <w:style w:type="paragraph" w:styleId="List5">
    <w:name w:val="List 5"/>
    <w:basedOn w:val="Normal"/>
    <w:rsid w:val="00461D0A"/>
    <w:pPr>
      <w:ind w:left="1415" w:hanging="283"/>
    </w:pPr>
  </w:style>
  <w:style w:type="paragraph" w:styleId="ListBullet">
    <w:name w:val="List Bullet"/>
    <w:basedOn w:val="Normal"/>
    <w:rsid w:val="00577EC6"/>
    <w:pPr>
      <w:numPr>
        <w:numId w:val="4"/>
      </w:numPr>
    </w:pPr>
  </w:style>
  <w:style w:type="paragraph" w:styleId="ListBullet2">
    <w:name w:val="List Bullet 2"/>
    <w:basedOn w:val="Text2"/>
    <w:link w:val="ListBullet2Char"/>
    <w:rsid w:val="00577EC6"/>
    <w:pPr>
      <w:numPr>
        <w:numId w:val="6"/>
      </w:numPr>
      <w:tabs>
        <w:tab w:val="clear" w:pos="2302"/>
      </w:tabs>
    </w:pPr>
  </w:style>
  <w:style w:type="paragraph" w:styleId="ListBullet3">
    <w:name w:val="List Bullet 3"/>
    <w:basedOn w:val="Text3"/>
    <w:rsid w:val="00577EC6"/>
    <w:pPr>
      <w:numPr>
        <w:numId w:val="7"/>
      </w:numPr>
      <w:tabs>
        <w:tab w:val="clear" w:pos="2302"/>
      </w:tabs>
    </w:pPr>
  </w:style>
  <w:style w:type="paragraph" w:styleId="ListBullet4">
    <w:name w:val="List Bullet 4"/>
    <w:basedOn w:val="Text4"/>
    <w:rsid w:val="00577EC6"/>
    <w:pPr>
      <w:numPr>
        <w:numId w:val="8"/>
      </w:numPr>
      <w:tabs>
        <w:tab w:val="clear" w:pos="2302"/>
      </w:tabs>
    </w:pPr>
  </w:style>
  <w:style w:type="paragraph" w:styleId="ListBullet5">
    <w:name w:val="List Bullet 5"/>
    <w:basedOn w:val="Normal"/>
    <w:autoRedefine/>
    <w:rsid w:val="00577EC6"/>
    <w:pPr>
      <w:numPr>
        <w:numId w:val="1"/>
      </w:numPr>
    </w:pPr>
  </w:style>
  <w:style w:type="paragraph" w:styleId="ListContinue">
    <w:name w:val="List Continue"/>
    <w:basedOn w:val="Normal"/>
    <w:rsid w:val="00461D0A"/>
    <w:pPr>
      <w:spacing w:after="120"/>
      <w:ind w:left="283"/>
    </w:pPr>
  </w:style>
  <w:style w:type="paragraph" w:styleId="ListContinue2">
    <w:name w:val="List Continue 2"/>
    <w:basedOn w:val="Normal"/>
    <w:rsid w:val="00461D0A"/>
    <w:pPr>
      <w:spacing w:after="120"/>
      <w:ind w:left="566"/>
    </w:pPr>
  </w:style>
  <w:style w:type="paragraph" w:styleId="ListContinue3">
    <w:name w:val="List Continue 3"/>
    <w:basedOn w:val="Normal"/>
    <w:rsid w:val="00461D0A"/>
    <w:pPr>
      <w:spacing w:after="120"/>
      <w:ind w:left="849"/>
    </w:pPr>
  </w:style>
  <w:style w:type="paragraph" w:styleId="ListContinue4">
    <w:name w:val="List Continue 4"/>
    <w:basedOn w:val="Normal"/>
    <w:rsid w:val="00461D0A"/>
    <w:pPr>
      <w:spacing w:after="120"/>
      <w:ind w:left="1132"/>
    </w:pPr>
  </w:style>
  <w:style w:type="paragraph" w:styleId="ListContinue5">
    <w:name w:val="List Continue 5"/>
    <w:basedOn w:val="Normal"/>
    <w:rsid w:val="00461D0A"/>
    <w:pPr>
      <w:spacing w:after="120"/>
      <w:ind w:left="1415"/>
    </w:pPr>
  </w:style>
  <w:style w:type="paragraph" w:styleId="ListNumber">
    <w:name w:val="List Number"/>
    <w:basedOn w:val="Normal"/>
    <w:rsid w:val="00577EC6"/>
    <w:pPr>
      <w:numPr>
        <w:numId w:val="14"/>
      </w:numPr>
    </w:pPr>
  </w:style>
  <w:style w:type="paragraph" w:styleId="ListNumber2">
    <w:name w:val="List Number 2"/>
    <w:basedOn w:val="Text2"/>
    <w:rsid w:val="00577EC6"/>
    <w:pPr>
      <w:numPr>
        <w:numId w:val="16"/>
      </w:numPr>
      <w:tabs>
        <w:tab w:val="clear" w:pos="2302"/>
      </w:tabs>
    </w:pPr>
  </w:style>
  <w:style w:type="paragraph" w:styleId="ListNumber3">
    <w:name w:val="List Number 3"/>
    <w:basedOn w:val="Text3"/>
    <w:rsid w:val="00577EC6"/>
    <w:pPr>
      <w:numPr>
        <w:numId w:val="17"/>
      </w:numPr>
      <w:tabs>
        <w:tab w:val="clear" w:pos="2302"/>
      </w:tabs>
    </w:pPr>
  </w:style>
  <w:style w:type="paragraph" w:styleId="ListNumber4">
    <w:name w:val="List Number 4"/>
    <w:basedOn w:val="Text4"/>
    <w:rsid w:val="00577EC6"/>
    <w:pPr>
      <w:numPr>
        <w:numId w:val="18"/>
      </w:numPr>
      <w:tabs>
        <w:tab w:val="clear" w:pos="2302"/>
      </w:tabs>
    </w:pPr>
  </w:style>
  <w:style w:type="paragraph" w:styleId="ListNumber5">
    <w:name w:val="List Number 5"/>
    <w:basedOn w:val="Normal"/>
    <w:rsid w:val="00577EC6"/>
    <w:pPr>
      <w:numPr>
        <w:numId w:val="2"/>
      </w:numPr>
    </w:pPr>
  </w:style>
  <w:style w:type="paragraph" w:styleId="MacroText">
    <w:name w:val="macro"/>
    <w:link w:val="MacroTextChar"/>
    <w:semiHidden/>
    <w:rsid w:val="00461D0A"/>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MessageHeader">
    <w:name w:val="Message Header"/>
    <w:basedOn w:val="Normal"/>
    <w:link w:val="MessageHeaderChar"/>
    <w:rsid w:val="00461D0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rsid w:val="00461D0A"/>
    <w:pPr>
      <w:ind w:left="720"/>
    </w:pPr>
  </w:style>
  <w:style w:type="paragraph" w:styleId="NoteHeading">
    <w:name w:val="Note Heading"/>
    <w:basedOn w:val="Normal"/>
    <w:next w:val="Normal"/>
    <w:link w:val="NoteHeadingChar"/>
    <w:rsid w:val="00461D0A"/>
  </w:style>
  <w:style w:type="paragraph" w:customStyle="1" w:styleId="NoteHead">
    <w:name w:val="NoteHead"/>
    <w:basedOn w:val="Normal"/>
    <w:next w:val="Subject"/>
    <w:rsid w:val="00461D0A"/>
    <w:pPr>
      <w:spacing w:before="720" w:after="720"/>
      <w:jc w:val="center"/>
    </w:pPr>
    <w:rPr>
      <w:b/>
      <w:smallCaps/>
    </w:rPr>
  </w:style>
  <w:style w:type="paragraph" w:customStyle="1" w:styleId="Subject">
    <w:name w:val="Subject"/>
    <w:basedOn w:val="Normal"/>
    <w:next w:val="Normal"/>
    <w:rsid w:val="00461D0A"/>
    <w:pPr>
      <w:spacing w:after="480"/>
      <w:ind w:left="1531" w:hanging="1531"/>
      <w:jc w:val="left"/>
    </w:pPr>
    <w:rPr>
      <w:b/>
    </w:rPr>
  </w:style>
  <w:style w:type="paragraph" w:customStyle="1" w:styleId="NoteList">
    <w:name w:val="NoteList"/>
    <w:basedOn w:val="Normal"/>
    <w:next w:val="Subject"/>
    <w:rsid w:val="00461D0A"/>
    <w:pPr>
      <w:tabs>
        <w:tab w:val="left" w:pos="5823"/>
      </w:tabs>
      <w:spacing w:before="720" w:after="720"/>
      <w:ind w:left="5104" w:hanging="3119"/>
      <w:jc w:val="left"/>
    </w:pPr>
    <w:rPr>
      <w:b/>
      <w:smallCaps/>
    </w:rPr>
  </w:style>
  <w:style w:type="paragraph" w:customStyle="1" w:styleId="NumPar1">
    <w:name w:val="NumPar 1"/>
    <w:basedOn w:val="Heading1"/>
    <w:next w:val="Text1"/>
    <w:rsid w:val="00577EC6"/>
    <w:pPr>
      <w:keepNext w:val="0"/>
      <w:spacing w:before="0"/>
      <w:outlineLvl w:val="9"/>
    </w:pPr>
    <w:rPr>
      <w:b w:val="0"/>
      <w:smallCaps w:val="0"/>
    </w:rPr>
  </w:style>
  <w:style w:type="paragraph" w:customStyle="1" w:styleId="NumPar2">
    <w:name w:val="NumPar 2"/>
    <w:basedOn w:val="Heading2"/>
    <w:next w:val="Text2"/>
    <w:rsid w:val="00577EC6"/>
    <w:pPr>
      <w:keepNext w:val="0"/>
      <w:outlineLvl w:val="9"/>
    </w:pPr>
    <w:rPr>
      <w:b w:val="0"/>
    </w:rPr>
  </w:style>
  <w:style w:type="paragraph" w:customStyle="1" w:styleId="NumPar3">
    <w:name w:val="NumPar 3"/>
    <w:basedOn w:val="Heading3"/>
    <w:next w:val="Text3"/>
    <w:rsid w:val="00577EC6"/>
    <w:pPr>
      <w:keepNext w:val="0"/>
      <w:outlineLvl w:val="9"/>
    </w:pPr>
    <w:rPr>
      <w:i w:val="0"/>
    </w:rPr>
  </w:style>
  <w:style w:type="paragraph" w:customStyle="1" w:styleId="NumPar4">
    <w:name w:val="NumPar 4"/>
    <w:basedOn w:val="Heading4"/>
    <w:next w:val="Text4"/>
    <w:rsid w:val="00577EC6"/>
    <w:pPr>
      <w:keepNext w:val="0"/>
      <w:outlineLvl w:val="9"/>
    </w:pPr>
  </w:style>
  <w:style w:type="paragraph" w:customStyle="1" w:styleId="PartTitle">
    <w:name w:val="PartTitle"/>
    <w:basedOn w:val="Normal"/>
    <w:next w:val="ChapterTitle"/>
    <w:rsid w:val="00461D0A"/>
    <w:pPr>
      <w:keepNext/>
      <w:pageBreakBefore/>
      <w:spacing w:after="480"/>
      <w:jc w:val="center"/>
    </w:pPr>
    <w:rPr>
      <w:b/>
      <w:sz w:val="36"/>
    </w:rPr>
  </w:style>
  <w:style w:type="paragraph" w:styleId="PlainText">
    <w:name w:val="Plain Text"/>
    <w:basedOn w:val="Normal"/>
    <w:link w:val="PlainTextChar"/>
    <w:rsid w:val="00461D0A"/>
    <w:rPr>
      <w:rFonts w:ascii="Courier New" w:hAnsi="Courier New"/>
      <w:sz w:val="20"/>
    </w:rPr>
  </w:style>
  <w:style w:type="paragraph" w:styleId="Salutation">
    <w:name w:val="Salutation"/>
    <w:basedOn w:val="Normal"/>
    <w:next w:val="Normal"/>
    <w:link w:val="SalutationChar"/>
    <w:rsid w:val="00461D0A"/>
  </w:style>
  <w:style w:type="paragraph" w:styleId="Signature">
    <w:name w:val="Signature"/>
    <w:basedOn w:val="Normal"/>
    <w:next w:val="Enclosures"/>
    <w:link w:val="SignatureChar"/>
    <w:rsid w:val="00461D0A"/>
    <w:pPr>
      <w:tabs>
        <w:tab w:val="left" w:pos="5103"/>
      </w:tabs>
      <w:spacing w:before="1200" w:after="0"/>
      <w:ind w:left="5103"/>
      <w:jc w:val="center"/>
    </w:pPr>
  </w:style>
  <w:style w:type="paragraph" w:styleId="Subtitle">
    <w:name w:val="Subtitle"/>
    <w:basedOn w:val="Normal"/>
    <w:link w:val="SubtitleChar"/>
    <w:rsid w:val="00461D0A"/>
    <w:pPr>
      <w:spacing w:after="60"/>
      <w:jc w:val="center"/>
      <w:outlineLvl w:val="1"/>
    </w:pPr>
    <w:rPr>
      <w:rFonts w:ascii="Arial" w:hAnsi="Arial"/>
    </w:rPr>
  </w:style>
  <w:style w:type="paragraph" w:customStyle="1" w:styleId="SubTitle1">
    <w:name w:val="SubTitle 1"/>
    <w:basedOn w:val="Normal"/>
    <w:next w:val="SubTitle2"/>
    <w:rsid w:val="00461D0A"/>
    <w:pPr>
      <w:jc w:val="center"/>
    </w:pPr>
    <w:rPr>
      <w:b/>
      <w:sz w:val="40"/>
    </w:rPr>
  </w:style>
  <w:style w:type="paragraph" w:customStyle="1" w:styleId="SubTitle2">
    <w:name w:val="SubTitle 2"/>
    <w:basedOn w:val="Normal"/>
    <w:rsid w:val="00461D0A"/>
    <w:pPr>
      <w:jc w:val="center"/>
    </w:pPr>
    <w:rPr>
      <w:b/>
      <w:sz w:val="32"/>
    </w:rPr>
  </w:style>
  <w:style w:type="paragraph" w:styleId="TableofAuthorities">
    <w:name w:val="table of authorities"/>
    <w:basedOn w:val="Normal"/>
    <w:next w:val="Normal"/>
    <w:semiHidden/>
    <w:rsid w:val="00461D0A"/>
    <w:pPr>
      <w:ind w:left="240" w:hanging="240"/>
    </w:pPr>
  </w:style>
  <w:style w:type="paragraph" w:styleId="TableofFigures">
    <w:name w:val="table of figures"/>
    <w:basedOn w:val="Normal"/>
    <w:next w:val="Normal"/>
    <w:semiHidden/>
    <w:rsid w:val="00461D0A"/>
    <w:pPr>
      <w:ind w:left="480" w:hanging="480"/>
    </w:pPr>
  </w:style>
  <w:style w:type="paragraph" w:styleId="Title">
    <w:name w:val="Title"/>
    <w:basedOn w:val="Normal"/>
    <w:next w:val="SubTitle1"/>
    <w:link w:val="TitleChar"/>
    <w:rsid w:val="00461D0A"/>
    <w:pPr>
      <w:spacing w:after="480"/>
      <w:jc w:val="center"/>
    </w:pPr>
    <w:rPr>
      <w:b/>
      <w:kern w:val="28"/>
      <w:sz w:val="48"/>
    </w:rPr>
  </w:style>
  <w:style w:type="paragraph" w:styleId="TOAHeading">
    <w:name w:val="toa heading"/>
    <w:basedOn w:val="Normal"/>
    <w:next w:val="Normal"/>
    <w:semiHidden/>
    <w:rsid w:val="00461D0A"/>
    <w:pPr>
      <w:spacing w:before="120"/>
    </w:pPr>
    <w:rPr>
      <w:rFonts w:ascii="Arial" w:hAnsi="Arial"/>
      <w:b/>
    </w:rPr>
  </w:style>
  <w:style w:type="paragraph" w:styleId="TOC1">
    <w:name w:val="toc 1"/>
    <w:basedOn w:val="Normal"/>
    <w:next w:val="Normal"/>
    <w:uiPriority w:val="39"/>
    <w:rsid w:val="001D2A51"/>
    <w:pPr>
      <w:tabs>
        <w:tab w:val="right" w:leader="dot" w:pos="8640"/>
      </w:tabs>
      <w:spacing w:before="120" w:after="120"/>
      <w:ind w:left="482" w:right="720" w:hanging="482"/>
    </w:pPr>
    <w:rPr>
      <w:rFonts w:ascii="Verdana" w:hAnsi="Verdana"/>
      <w:caps/>
      <w:sz w:val="18"/>
    </w:rPr>
  </w:style>
  <w:style w:type="paragraph" w:styleId="TOC2">
    <w:name w:val="toc 2"/>
    <w:basedOn w:val="Normal"/>
    <w:next w:val="Normal"/>
    <w:uiPriority w:val="39"/>
    <w:rsid w:val="001D2A51"/>
    <w:pPr>
      <w:tabs>
        <w:tab w:val="right" w:leader="dot" w:pos="8640"/>
      </w:tabs>
      <w:spacing w:before="60" w:after="60"/>
      <w:ind w:left="1077" w:right="720" w:hanging="595"/>
    </w:pPr>
    <w:rPr>
      <w:rFonts w:ascii="Verdana" w:hAnsi="Verdana"/>
      <w:sz w:val="18"/>
    </w:rPr>
  </w:style>
  <w:style w:type="paragraph" w:styleId="TOC3">
    <w:name w:val="toc 3"/>
    <w:basedOn w:val="Normal"/>
    <w:next w:val="Normal"/>
    <w:uiPriority w:val="39"/>
    <w:semiHidden/>
    <w:qFormat/>
    <w:rsid w:val="00461D0A"/>
    <w:pPr>
      <w:tabs>
        <w:tab w:val="right" w:leader="dot" w:pos="8640"/>
      </w:tabs>
      <w:spacing w:before="60" w:after="60"/>
      <w:ind w:left="1916" w:right="720" w:hanging="839"/>
    </w:pPr>
  </w:style>
  <w:style w:type="paragraph" w:styleId="TOC4">
    <w:name w:val="toc 4"/>
    <w:basedOn w:val="Normal"/>
    <w:next w:val="Normal"/>
    <w:semiHidden/>
    <w:rsid w:val="00461D0A"/>
    <w:pPr>
      <w:tabs>
        <w:tab w:val="right" w:leader="dot" w:pos="8641"/>
      </w:tabs>
      <w:spacing w:before="60" w:after="60"/>
      <w:ind w:left="2880" w:right="720" w:hanging="964"/>
    </w:pPr>
  </w:style>
  <w:style w:type="paragraph" w:styleId="TOC5">
    <w:name w:val="toc 5"/>
    <w:basedOn w:val="Normal"/>
    <w:next w:val="Normal"/>
    <w:semiHidden/>
    <w:rsid w:val="00461D0A"/>
    <w:pPr>
      <w:tabs>
        <w:tab w:val="right" w:leader="dot" w:pos="8641"/>
      </w:tabs>
      <w:spacing w:before="240" w:after="120"/>
      <w:ind w:right="720"/>
    </w:pPr>
    <w:rPr>
      <w:caps/>
    </w:rPr>
  </w:style>
  <w:style w:type="paragraph" w:styleId="TOC6">
    <w:name w:val="toc 6"/>
    <w:basedOn w:val="Normal"/>
    <w:next w:val="Normal"/>
    <w:autoRedefine/>
    <w:semiHidden/>
    <w:rsid w:val="00461D0A"/>
    <w:pPr>
      <w:ind w:left="1200"/>
    </w:pPr>
  </w:style>
  <w:style w:type="paragraph" w:styleId="TOC7">
    <w:name w:val="toc 7"/>
    <w:basedOn w:val="Normal"/>
    <w:next w:val="Normal"/>
    <w:autoRedefine/>
    <w:semiHidden/>
    <w:rsid w:val="00461D0A"/>
    <w:pPr>
      <w:ind w:left="1440"/>
    </w:pPr>
  </w:style>
  <w:style w:type="paragraph" w:styleId="TOC8">
    <w:name w:val="toc 8"/>
    <w:basedOn w:val="Normal"/>
    <w:next w:val="Normal"/>
    <w:autoRedefine/>
    <w:semiHidden/>
    <w:rsid w:val="00461D0A"/>
    <w:pPr>
      <w:ind w:left="1680"/>
    </w:pPr>
  </w:style>
  <w:style w:type="paragraph" w:styleId="TOC9">
    <w:name w:val="toc 9"/>
    <w:basedOn w:val="Normal"/>
    <w:next w:val="Normal"/>
    <w:autoRedefine/>
    <w:semiHidden/>
    <w:rsid w:val="00461D0A"/>
    <w:pPr>
      <w:ind w:left="1920"/>
    </w:pPr>
  </w:style>
  <w:style w:type="paragraph" w:customStyle="1" w:styleId="YReferences">
    <w:name w:val="YReferences"/>
    <w:basedOn w:val="Normal"/>
    <w:next w:val="Normal"/>
    <w:rsid w:val="00461D0A"/>
    <w:pPr>
      <w:spacing w:after="480"/>
      <w:ind w:left="1531" w:hanging="1531"/>
    </w:pPr>
  </w:style>
  <w:style w:type="paragraph" w:customStyle="1" w:styleId="ListBullet1">
    <w:name w:val="List Bullet 1"/>
    <w:basedOn w:val="Text1"/>
    <w:rsid w:val="00577EC6"/>
    <w:pPr>
      <w:numPr>
        <w:numId w:val="5"/>
      </w:numPr>
    </w:pPr>
  </w:style>
  <w:style w:type="paragraph" w:customStyle="1" w:styleId="ListDash">
    <w:name w:val="List Dash"/>
    <w:basedOn w:val="Normal"/>
    <w:rsid w:val="00577EC6"/>
    <w:pPr>
      <w:numPr>
        <w:numId w:val="9"/>
      </w:numPr>
    </w:pPr>
  </w:style>
  <w:style w:type="paragraph" w:customStyle="1" w:styleId="ListDash1">
    <w:name w:val="List Dash 1"/>
    <w:basedOn w:val="Text1"/>
    <w:rsid w:val="00577EC6"/>
    <w:pPr>
      <w:numPr>
        <w:numId w:val="10"/>
      </w:numPr>
    </w:pPr>
  </w:style>
  <w:style w:type="paragraph" w:customStyle="1" w:styleId="ListDash2">
    <w:name w:val="List Dash 2"/>
    <w:basedOn w:val="Text2"/>
    <w:rsid w:val="00577EC6"/>
    <w:pPr>
      <w:numPr>
        <w:numId w:val="11"/>
      </w:numPr>
      <w:tabs>
        <w:tab w:val="clear" w:pos="2302"/>
      </w:tabs>
    </w:pPr>
  </w:style>
  <w:style w:type="paragraph" w:customStyle="1" w:styleId="ListDash3">
    <w:name w:val="List Dash 3"/>
    <w:basedOn w:val="Text3"/>
    <w:rsid w:val="00577EC6"/>
    <w:pPr>
      <w:numPr>
        <w:numId w:val="12"/>
      </w:numPr>
      <w:tabs>
        <w:tab w:val="clear" w:pos="2302"/>
      </w:tabs>
    </w:pPr>
  </w:style>
  <w:style w:type="paragraph" w:customStyle="1" w:styleId="ListDash4">
    <w:name w:val="List Dash 4"/>
    <w:basedOn w:val="Text4"/>
    <w:rsid w:val="00577EC6"/>
    <w:pPr>
      <w:numPr>
        <w:numId w:val="13"/>
      </w:numPr>
      <w:tabs>
        <w:tab w:val="clear" w:pos="2302"/>
      </w:tabs>
    </w:pPr>
  </w:style>
  <w:style w:type="paragraph" w:customStyle="1" w:styleId="ListNumberLevel2">
    <w:name w:val="List Number (Level 2)"/>
    <w:basedOn w:val="Normal"/>
    <w:rsid w:val="00577EC6"/>
    <w:pPr>
      <w:numPr>
        <w:ilvl w:val="1"/>
        <w:numId w:val="14"/>
      </w:numPr>
    </w:pPr>
  </w:style>
  <w:style w:type="paragraph" w:customStyle="1" w:styleId="ListNumberLevel3">
    <w:name w:val="List Number (Level 3)"/>
    <w:basedOn w:val="Normal"/>
    <w:rsid w:val="00577EC6"/>
    <w:pPr>
      <w:numPr>
        <w:ilvl w:val="2"/>
        <w:numId w:val="14"/>
      </w:numPr>
    </w:pPr>
  </w:style>
  <w:style w:type="paragraph" w:customStyle="1" w:styleId="ListNumberLevel4">
    <w:name w:val="List Number (Level 4)"/>
    <w:basedOn w:val="Normal"/>
    <w:rsid w:val="00577EC6"/>
    <w:pPr>
      <w:numPr>
        <w:ilvl w:val="3"/>
        <w:numId w:val="14"/>
      </w:numPr>
    </w:pPr>
  </w:style>
  <w:style w:type="paragraph" w:customStyle="1" w:styleId="ListNumber1">
    <w:name w:val="List Number 1"/>
    <w:basedOn w:val="Text1"/>
    <w:rsid w:val="00577EC6"/>
    <w:pPr>
      <w:numPr>
        <w:numId w:val="15"/>
      </w:numPr>
    </w:pPr>
  </w:style>
  <w:style w:type="paragraph" w:customStyle="1" w:styleId="ListNumber1Level2">
    <w:name w:val="List Number 1 (Level 2)"/>
    <w:basedOn w:val="Text1"/>
    <w:rsid w:val="00577EC6"/>
    <w:pPr>
      <w:numPr>
        <w:ilvl w:val="1"/>
        <w:numId w:val="15"/>
      </w:numPr>
    </w:pPr>
  </w:style>
  <w:style w:type="paragraph" w:customStyle="1" w:styleId="ListNumber1Level3">
    <w:name w:val="List Number 1 (Level 3)"/>
    <w:basedOn w:val="Text1"/>
    <w:rsid w:val="00577EC6"/>
    <w:pPr>
      <w:numPr>
        <w:ilvl w:val="2"/>
        <w:numId w:val="15"/>
      </w:numPr>
    </w:pPr>
  </w:style>
  <w:style w:type="paragraph" w:customStyle="1" w:styleId="ListNumber1Level4">
    <w:name w:val="List Number 1 (Level 4)"/>
    <w:basedOn w:val="Text1"/>
    <w:rsid w:val="00577EC6"/>
    <w:pPr>
      <w:numPr>
        <w:ilvl w:val="3"/>
        <w:numId w:val="15"/>
      </w:numPr>
    </w:pPr>
  </w:style>
  <w:style w:type="paragraph" w:customStyle="1" w:styleId="ListNumber2Level2">
    <w:name w:val="List Number 2 (Level 2)"/>
    <w:basedOn w:val="Text2"/>
    <w:rsid w:val="00577EC6"/>
    <w:pPr>
      <w:numPr>
        <w:ilvl w:val="1"/>
        <w:numId w:val="16"/>
      </w:numPr>
      <w:tabs>
        <w:tab w:val="clear" w:pos="2302"/>
      </w:tabs>
    </w:pPr>
  </w:style>
  <w:style w:type="paragraph" w:customStyle="1" w:styleId="ListNumber2Level3">
    <w:name w:val="List Number 2 (Level 3)"/>
    <w:basedOn w:val="Text2"/>
    <w:rsid w:val="00577EC6"/>
    <w:pPr>
      <w:numPr>
        <w:ilvl w:val="2"/>
        <w:numId w:val="16"/>
      </w:numPr>
      <w:tabs>
        <w:tab w:val="clear" w:pos="2302"/>
      </w:tabs>
    </w:pPr>
  </w:style>
  <w:style w:type="paragraph" w:customStyle="1" w:styleId="ListNumber2Level4">
    <w:name w:val="List Number 2 (Level 4)"/>
    <w:basedOn w:val="Text2"/>
    <w:rsid w:val="00577EC6"/>
    <w:pPr>
      <w:numPr>
        <w:ilvl w:val="3"/>
        <w:numId w:val="16"/>
      </w:numPr>
      <w:tabs>
        <w:tab w:val="clear" w:pos="2302"/>
      </w:tabs>
    </w:pPr>
  </w:style>
  <w:style w:type="paragraph" w:customStyle="1" w:styleId="ListNumber3Level2">
    <w:name w:val="List Number 3 (Level 2)"/>
    <w:basedOn w:val="Text3"/>
    <w:rsid w:val="00577EC6"/>
    <w:pPr>
      <w:numPr>
        <w:ilvl w:val="1"/>
        <w:numId w:val="17"/>
      </w:numPr>
      <w:tabs>
        <w:tab w:val="clear" w:pos="2302"/>
      </w:tabs>
    </w:pPr>
  </w:style>
  <w:style w:type="paragraph" w:customStyle="1" w:styleId="ListNumber3Level3">
    <w:name w:val="List Number 3 (Level 3)"/>
    <w:basedOn w:val="Text3"/>
    <w:rsid w:val="00577EC6"/>
    <w:pPr>
      <w:numPr>
        <w:ilvl w:val="2"/>
        <w:numId w:val="17"/>
      </w:numPr>
      <w:tabs>
        <w:tab w:val="clear" w:pos="2302"/>
      </w:tabs>
    </w:pPr>
  </w:style>
  <w:style w:type="paragraph" w:customStyle="1" w:styleId="ListNumber3Level4">
    <w:name w:val="List Number 3 (Level 4)"/>
    <w:basedOn w:val="Text3"/>
    <w:rsid w:val="00577EC6"/>
    <w:pPr>
      <w:numPr>
        <w:ilvl w:val="3"/>
        <w:numId w:val="17"/>
      </w:numPr>
      <w:tabs>
        <w:tab w:val="clear" w:pos="2302"/>
      </w:tabs>
    </w:pPr>
  </w:style>
  <w:style w:type="paragraph" w:customStyle="1" w:styleId="ListNumber4Level2">
    <w:name w:val="List Number 4 (Level 2)"/>
    <w:basedOn w:val="Text4"/>
    <w:rsid w:val="00577EC6"/>
    <w:pPr>
      <w:numPr>
        <w:ilvl w:val="1"/>
        <w:numId w:val="18"/>
      </w:numPr>
      <w:tabs>
        <w:tab w:val="clear" w:pos="2302"/>
      </w:tabs>
    </w:pPr>
  </w:style>
  <w:style w:type="paragraph" w:customStyle="1" w:styleId="ListNumber4Level3">
    <w:name w:val="List Number 4 (Level 3)"/>
    <w:basedOn w:val="Text4"/>
    <w:rsid w:val="00577EC6"/>
    <w:pPr>
      <w:numPr>
        <w:ilvl w:val="2"/>
        <w:numId w:val="18"/>
      </w:numPr>
      <w:tabs>
        <w:tab w:val="clear" w:pos="2302"/>
      </w:tabs>
    </w:pPr>
  </w:style>
  <w:style w:type="paragraph" w:customStyle="1" w:styleId="ListNumber4Level4">
    <w:name w:val="List Number 4 (Level 4)"/>
    <w:basedOn w:val="Text4"/>
    <w:rsid w:val="00577EC6"/>
    <w:pPr>
      <w:numPr>
        <w:ilvl w:val="3"/>
        <w:numId w:val="18"/>
      </w:numPr>
      <w:tabs>
        <w:tab w:val="clear" w:pos="2302"/>
      </w:tabs>
    </w:pPr>
  </w:style>
  <w:style w:type="paragraph" w:customStyle="1" w:styleId="TOCHeading1">
    <w:name w:val="TOC Heading1"/>
    <w:basedOn w:val="Normal"/>
    <w:next w:val="Normal"/>
    <w:rsid w:val="00461D0A"/>
    <w:pPr>
      <w:keepNext/>
      <w:spacing w:before="240"/>
      <w:jc w:val="center"/>
    </w:pPr>
    <w:rPr>
      <w:b/>
    </w:rPr>
  </w:style>
  <w:style w:type="paragraph" w:customStyle="1" w:styleId="Contact">
    <w:name w:val="Contact"/>
    <w:basedOn w:val="Normal"/>
    <w:next w:val="Normal"/>
    <w:rsid w:val="00461D0A"/>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uiPriority w:val="99"/>
    <w:rsid w:val="006914AD"/>
    <w:rPr>
      <w:color w:val="0000FF"/>
      <w:u w:val="single"/>
    </w:rPr>
  </w:style>
  <w:style w:type="character" w:styleId="FootnoteReference">
    <w:name w:val="footnote reference"/>
    <w:aliases w:val="Footnote Reference Number,Footnote Reference_LVL6,C26 Footnote Number,Footnote Reference_LVL61,Footnote Reference_LVL62,Footnote Reference_LVL63,Footnote Reference_LVL64"/>
    <w:rsid w:val="00CD08CF"/>
    <w:rPr>
      <w:vertAlign w:val="superscript"/>
    </w:rPr>
  </w:style>
  <w:style w:type="table" w:styleId="ColorfulGrid-Accent3">
    <w:name w:val="Colorful Grid Accent 3"/>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Tms Rmn" w:hAnsi="Tms Rmn"/>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
    <w:uiPriority w:val="99"/>
    <w:semiHidden/>
    <w:rsid w:val="00E52A1D"/>
    <w:rPr>
      <w:rFonts w:ascii="Tahoma" w:hAnsi="Tahoma" w:cs="Tahoma"/>
      <w:sz w:val="16"/>
      <w:szCs w:val="16"/>
    </w:rPr>
  </w:style>
  <w:style w:type="paragraph" w:customStyle="1" w:styleId="DocumentTitle">
    <w:name w:val="Document Title"/>
    <w:basedOn w:val="Normal"/>
    <w:link w:val="DocumentTitleChar"/>
    <w:qFormat/>
    <w:rsid w:val="001E6AC6"/>
    <w:pPr>
      <w:jc w:val="center"/>
    </w:pPr>
    <w:rPr>
      <w:rFonts w:ascii="Verdana" w:hAnsi="Verdana"/>
      <w:b/>
      <w:sz w:val="52"/>
    </w:rPr>
  </w:style>
  <w:style w:type="paragraph" w:customStyle="1" w:styleId="Footerapproval">
    <w:name w:val="Footer approval"/>
    <w:basedOn w:val="Footer"/>
    <w:link w:val="ApprovalfooterChar"/>
    <w:qFormat/>
    <w:rsid w:val="00ED7D13"/>
    <w:pPr>
      <w:tabs>
        <w:tab w:val="left" w:pos="6804"/>
      </w:tabs>
    </w:pPr>
    <w:rPr>
      <w:rFonts w:ascii="Verdana" w:hAnsi="Verdana"/>
      <w:sz w:val="13"/>
      <w:lang w:val="fr-BE"/>
    </w:rPr>
  </w:style>
  <w:style w:type="character" w:customStyle="1" w:styleId="DocumentTitleChar">
    <w:name w:val="Document Title Char"/>
    <w:link w:val="DocumentTitle"/>
    <w:rsid w:val="001E6AC6"/>
    <w:rPr>
      <w:rFonts w:ascii="Verdana" w:hAnsi="Verdana"/>
      <w:b/>
      <w:sz w:val="52"/>
      <w:lang w:val="fr-FR" w:eastAsia="en-US"/>
    </w:rPr>
  </w:style>
  <w:style w:type="paragraph" w:customStyle="1" w:styleId="FooterDate">
    <w:name w:val="Footer Date"/>
    <w:basedOn w:val="Footer"/>
    <w:link w:val="FooterDateChar"/>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3C7A25"/>
    <w:rPr>
      <w:b w:val="0"/>
      <w:sz w:val="32"/>
      <w:szCs w:val="36"/>
    </w:rPr>
  </w:style>
  <w:style w:type="paragraph" w:customStyle="1" w:styleId="HeaderTitle">
    <w:name w:val="Header Title"/>
    <w:basedOn w:val="Normal"/>
    <w:link w:val="HeaderTitleChar"/>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3C7A25"/>
    <w:rPr>
      <w:rFonts w:ascii="Verdana" w:hAnsi="Verdana"/>
      <w:sz w:val="32"/>
      <w:szCs w:val="36"/>
      <w:lang w:val="en-GB" w:eastAsia="en-US"/>
    </w:rPr>
  </w:style>
  <w:style w:type="paragraph" w:customStyle="1" w:styleId="Bulletpoint1">
    <w:name w:val="Bullet point1"/>
    <w:basedOn w:val="NormalIndent"/>
    <w:link w:val="Bulletpoint1Char"/>
    <w:qFormat/>
    <w:rsid w:val="007F3473"/>
    <w:pPr>
      <w:numPr>
        <w:numId w:val="20"/>
      </w:numPr>
      <w:spacing w:after="120"/>
      <w:jc w:val="left"/>
    </w:pPr>
    <w:rPr>
      <w:rFonts w:ascii="Verdana" w:hAnsi="Verdana"/>
      <w:sz w:val="18"/>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TOC1"/>
    <w:link w:val="HeadingChar"/>
    <w:qFormat/>
    <w:rsid w:val="009370CD"/>
    <w:pPr>
      <w:widowControl w:val="0"/>
      <w:autoSpaceDE w:val="0"/>
      <w:autoSpaceDN w:val="0"/>
      <w:adjustRightInd w:val="0"/>
      <w:spacing w:after="0"/>
      <w:ind w:left="0" w:firstLine="0"/>
      <w:jc w:val="left"/>
    </w:pPr>
    <w:rPr>
      <w:b/>
      <w:sz w:val="20"/>
      <w:u w:val="singl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F3473"/>
    <w:rPr>
      <w:rFonts w:ascii="Verdana" w:hAnsi="Verdana"/>
      <w:sz w:val="18"/>
      <w:lang w:val="fr-FR" w:eastAsia="en-US"/>
    </w:rPr>
  </w:style>
  <w:style w:type="paragraph" w:customStyle="1" w:styleId="BulletPoint2">
    <w:name w:val="Bullet Point 2"/>
    <w:basedOn w:val="NormalIndent"/>
    <w:link w:val="BulletPoint2Char"/>
    <w:qFormat/>
    <w:rsid w:val="00577EC6"/>
    <w:pPr>
      <w:numPr>
        <w:numId w:val="19"/>
      </w:numPr>
      <w:spacing w:after="120"/>
      <w:ind w:left="1077" w:hanging="357"/>
      <w:jc w:val="left"/>
    </w:pPr>
    <w:rPr>
      <w:rFonts w:ascii="Verdana" w:hAnsi="Verdana"/>
      <w:sz w:val="18"/>
    </w:rPr>
  </w:style>
  <w:style w:type="character" w:customStyle="1" w:styleId="HeadingChar">
    <w:name w:val="Heading Char"/>
    <w:link w:val="Heading"/>
    <w:rsid w:val="00B14205"/>
    <w:rPr>
      <w:rFonts w:ascii="Verdana" w:hAnsi="Verdana"/>
      <w:b/>
      <w:caps/>
      <w:u w:val="single"/>
      <w:lang w:val="fr-FR"/>
    </w:rPr>
  </w:style>
  <w:style w:type="paragraph" w:customStyle="1" w:styleId="Body">
    <w:name w:val="Body"/>
    <w:basedOn w:val="Normal"/>
    <w:link w:val="BodyChar"/>
    <w:qFormat/>
    <w:rsid w:val="00ED7D13"/>
    <w:pPr>
      <w:jc w:val="left"/>
    </w:pPr>
    <w:rPr>
      <w:rFonts w:ascii="Verdana" w:hAnsi="Verdana"/>
      <w:sz w:val="18"/>
    </w:rPr>
  </w:style>
  <w:style w:type="character" w:customStyle="1" w:styleId="BulletPoint2Char">
    <w:name w:val="Bullet Point 2 Char"/>
    <w:link w:val="BulletPoint2"/>
    <w:rsid w:val="00577EC6"/>
    <w:rPr>
      <w:rFonts w:ascii="Verdana" w:hAnsi="Verdana"/>
      <w:sz w:val="18"/>
      <w:lang w:val="fr-FR" w:eastAsia="en-US"/>
    </w:rPr>
  </w:style>
  <w:style w:type="paragraph" w:customStyle="1" w:styleId="Heading20">
    <w:name w:val="Heading2"/>
    <w:basedOn w:val="Title2"/>
    <w:link w:val="Heading2Char0"/>
    <w:qFormat/>
    <w:rsid w:val="009370CD"/>
    <w:pPr>
      <w:numPr>
        <w:numId w:val="0"/>
      </w:numPr>
    </w:pPr>
    <w:rPr>
      <w:rFonts w:ascii="Verdana" w:hAnsi="Verdana"/>
      <w:b/>
      <w:i/>
    </w:rPr>
  </w:style>
  <w:style w:type="character" w:customStyle="1" w:styleId="BodyChar">
    <w:name w:val="Body Char"/>
    <w:link w:val="Body"/>
    <w:rsid w:val="00ED7D13"/>
    <w:rPr>
      <w:rFonts w:ascii="Verdana" w:hAnsi="Verdana"/>
      <w:sz w:val="18"/>
      <w:lang w:val="fr-FR" w:eastAsia="en-US"/>
    </w:rPr>
  </w:style>
  <w:style w:type="table" w:styleId="TableGrid">
    <w:name w:val="Table Grid"/>
    <w:aliases w:val="Document Table"/>
    <w:basedOn w:val="TableNormal"/>
    <w:uiPriority w:val="59"/>
    <w:rsid w:val="007F3473"/>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color w:val="FFFFFF"/>
      </w:rPr>
      <w:tblPr/>
      <w:tcPr>
        <w:shd w:val="clear" w:color="auto" w:fill="00AEF0"/>
      </w:tcPr>
    </w:tblStylePr>
  </w:style>
  <w:style w:type="character" w:customStyle="1" w:styleId="Heading2Char0">
    <w:name w:val="Heading2 Char"/>
    <w:link w:val="Heading20"/>
    <w:rsid w:val="009370CD"/>
    <w:rPr>
      <w:rFonts w:ascii="Verdana" w:hAnsi="Verdana"/>
      <w:b/>
      <w:i/>
      <w:sz w:val="24"/>
      <w:lang w:val="fr-FR" w:eastAsia="en-US"/>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oterDocument">
    <w:name w:val="Footer Document"/>
    <w:basedOn w:val="Body"/>
    <w:link w:val="FooterDocumentChar"/>
    <w:rsid w:val="00F5647F"/>
    <w:pPr>
      <w:spacing w:after="0"/>
    </w:pPr>
    <w:rPr>
      <w:i/>
      <w:noProof/>
      <w:sz w:val="13"/>
      <w:lang w:val="en-US"/>
    </w:rPr>
  </w:style>
  <w:style w:type="character" w:customStyle="1" w:styleId="FooterDocumentChar">
    <w:name w:val="Footer Document Char"/>
    <w:link w:val="FooterDocument"/>
    <w:rsid w:val="00F5647F"/>
    <w:rPr>
      <w:rFonts w:ascii="Verdana" w:hAnsi="Verdana"/>
      <w:i/>
      <w:noProof/>
      <w:sz w:val="13"/>
      <w:lang w:val="en-US" w:eastAsia="en-US"/>
    </w:rPr>
  </w:style>
  <w:style w:type="paragraph" w:styleId="TOCHeading">
    <w:name w:val="TOC Heading"/>
    <w:basedOn w:val="Heading1"/>
    <w:next w:val="Normal"/>
    <w:uiPriority w:val="39"/>
    <w:unhideWhenUsed/>
    <w:qFormat/>
    <w:rsid w:val="000A7FCF"/>
    <w:pPr>
      <w:keepLines/>
      <w:numPr>
        <w:numId w:val="0"/>
      </w:numPr>
      <w:spacing w:before="480" w:after="0" w:line="276" w:lineRule="auto"/>
      <w:jc w:val="left"/>
      <w:outlineLvl w:val="9"/>
    </w:pPr>
    <w:rPr>
      <w:rFonts w:asciiTheme="majorHAnsi" w:eastAsiaTheme="majorEastAsia" w:hAnsiTheme="majorHAnsi" w:cstheme="majorBidi"/>
      <w:bCs/>
      <w:smallCaps w:val="0"/>
      <w:color w:val="365F91" w:themeColor="accent1" w:themeShade="BF"/>
      <w:sz w:val="28"/>
      <w:szCs w:val="28"/>
      <w:lang w:val="en-US"/>
    </w:rPr>
  </w:style>
  <w:style w:type="paragraph" w:customStyle="1" w:styleId="Title2">
    <w:name w:val="Title 2"/>
    <w:basedOn w:val="Normal"/>
    <w:rsid w:val="00B14205"/>
    <w:pPr>
      <w:numPr>
        <w:numId w:val="21"/>
      </w:numPr>
    </w:pPr>
  </w:style>
  <w:style w:type="paragraph" w:customStyle="1" w:styleId="Subtitle0">
    <w:name w:val="Subtitle_"/>
    <w:basedOn w:val="TOC2"/>
    <w:link w:val="SubtitleChar0"/>
    <w:qFormat/>
    <w:rsid w:val="001D2A51"/>
    <w:pPr>
      <w:ind w:left="0" w:firstLine="0"/>
    </w:pPr>
    <w:rPr>
      <w:b/>
      <w:i/>
      <w:sz w:val="20"/>
    </w:rPr>
  </w:style>
  <w:style w:type="character" w:customStyle="1" w:styleId="SubtitleChar0">
    <w:name w:val="Subtitle_ Char"/>
    <w:basedOn w:val="Heading2Char0"/>
    <w:link w:val="Subtitle0"/>
    <w:rsid w:val="001D2A51"/>
    <w:rPr>
      <w:rFonts w:ascii="Verdana" w:hAnsi="Verdana"/>
      <w:b/>
      <w:i/>
      <w:sz w:val="24"/>
      <w:lang w:val="fr-FR" w:eastAsia="en-US"/>
    </w:rPr>
  </w:style>
  <w:style w:type="paragraph" w:customStyle="1" w:styleId="HeadingBody">
    <w:name w:val="Heading Body"/>
    <w:basedOn w:val="Normal"/>
    <w:link w:val="HeadingBodyChar"/>
    <w:qFormat/>
    <w:rsid w:val="001D2A51"/>
    <w:pPr>
      <w:spacing w:after="120"/>
    </w:pPr>
    <w:rPr>
      <w:rFonts w:ascii="Verdana" w:hAnsi="Verdana"/>
      <w:b/>
      <w:sz w:val="20"/>
      <w:szCs w:val="18"/>
    </w:rPr>
  </w:style>
  <w:style w:type="paragraph" w:customStyle="1" w:styleId="Titlepublication">
    <w:name w:val="Title publication"/>
    <w:basedOn w:val="Normal"/>
    <w:link w:val="TitlepublicationChar"/>
    <w:qFormat/>
    <w:rsid w:val="001D2A51"/>
    <w:pPr>
      <w:jc w:val="center"/>
    </w:pPr>
    <w:rPr>
      <w:rFonts w:ascii="Verdana" w:hAnsi="Verdana"/>
      <w:b/>
      <w:color w:val="FF0000"/>
      <w:sz w:val="52"/>
      <w:szCs w:val="52"/>
    </w:rPr>
  </w:style>
  <w:style w:type="character" w:customStyle="1" w:styleId="HeadingBodyChar">
    <w:name w:val="Heading Body Char"/>
    <w:basedOn w:val="DefaultParagraphFont"/>
    <w:link w:val="HeadingBody"/>
    <w:rsid w:val="001D2A51"/>
    <w:rPr>
      <w:rFonts w:ascii="Verdana" w:hAnsi="Verdana"/>
      <w:b/>
      <w:szCs w:val="18"/>
      <w:lang w:val="en-GB" w:eastAsia="en-US"/>
    </w:rPr>
  </w:style>
  <w:style w:type="paragraph" w:customStyle="1" w:styleId="Subtitlepublication">
    <w:name w:val="Subtitle publication"/>
    <w:basedOn w:val="Normal"/>
    <w:link w:val="SubtitlepublicationChar"/>
    <w:qFormat/>
    <w:rsid w:val="003C7A25"/>
    <w:pPr>
      <w:jc w:val="center"/>
    </w:pPr>
    <w:rPr>
      <w:rFonts w:ascii="Verdana" w:hAnsi="Verdana"/>
      <w:b/>
      <w:i/>
      <w:color w:val="FF0000"/>
      <w:sz w:val="32"/>
    </w:rPr>
  </w:style>
  <w:style w:type="character" w:customStyle="1" w:styleId="TitlepublicationChar">
    <w:name w:val="Title publication Char"/>
    <w:basedOn w:val="DefaultParagraphFont"/>
    <w:link w:val="Titlepublication"/>
    <w:rsid w:val="001D2A51"/>
    <w:rPr>
      <w:rFonts w:ascii="Verdana" w:hAnsi="Verdana"/>
      <w:b/>
      <w:color w:val="FF0000"/>
      <w:sz w:val="52"/>
      <w:szCs w:val="52"/>
      <w:lang w:val="en-GB" w:eastAsia="en-US"/>
    </w:rPr>
  </w:style>
  <w:style w:type="paragraph" w:customStyle="1" w:styleId="Editorname">
    <w:name w:val="Editor name"/>
    <w:basedOn w:val="Normal"/>
    <w:link w:val="EditornameChar"/>
    <w:qFormat/>
    <w:rsid w:val="001D2A51"/>
    <w:pPr>
      <w:jc w:val="center"/>
    </w:pPr>
    <w:rPr>
      <w:rFonts w:ascii="Verdana" w:hAnsi="Verdana"/>
      <w:color w:val="FF0000"/>
    </w:rPr>
  </w:style>
  <w:style w:type="character" w:customStyle="1" w:styleId="SubtitlepublicationChar">
    <w:name w:val="Subtitle publication Char"/>
    <w:basedOn w:val="DefaultParagraphFont"/>
    <w:link w:val="Subtitlepublication"/>
    <w:rsid w:val="003C7A25"/>
    <w:rPr>
      <w:rFonts w:ascii="Verdana" w:hAnsi="Verdana"/>
      <w:b/>
      <w:i/>
      <w:color w:val="FF0000"/>
      <w:sz w:val="32"/>
      <w:lang w:val="en-GB" w:eastAsia="en-US"/>
    </w:rPr>
  </w:style>
  <w:style w:type="paragraph" w:customStyle="1" w:styleId="Backcoversummary">
    <w:name w:val="Backcover_summary"/>
    <w:basedOn w:val="Normal"/>
    <w:link w:val="BackcoversummaryChar"/>
    <w:qFormat/>
    <w:rsid w:val="001D2A51"/>
    <w:rPr>
      <w:rFonts w:ascii="Verdana" w:hAnsi="Verdana"/>
      <w:color w:val="FF0000"/>
    </w:rPr>
  </w:style>
  <w:style w:type="character" w:customStyle="1" w:styleId="EditornameChar">
    <w:name w:val="Editor name Char"/>
    <w:basedOn w:val="DefaultParagraphFont"/>
    <w:link w:val="Editorname"/>
    <w:rsid w:val="001D2A51"/>
    <w:rPr>
      <w:rFonts w:ascii="Verdana" w:hAnsi="Verdana"/>
      <w:color w:val="FF0000"/>
      <w:sz w:val="24"/>
      <w:lang w:val="en-GB" w:eastAsia="en-US"/>
    </w:rPr>
  </w:style>
  <w:style w:type="paragraph" w:customStyle="1" w:styleId="Backcovercategory">
    <w:name w:val="Backcover_category"/>
    <w:basedOn w:val="Normal"/>
    <w:link w:val="BackcovercategoryChar"/>
    <w:qFormat/>
    <w:rsid w:val="001D2A51"/>
    <w:pPr>
      <w:ind w:right="28"/>
    </w:pPr>
    <w:rPr>
      <w:rFonts w:ascii="Verdana" w:hAnsi="Verdana"/>
      <w:i/>
      <w:color w:val="FF0000"/>
      <w:sz w:val="18"/>
    </w:rPr>
  </w:style>
  <w:style w:type="character" w:customStyle="1" w:styleId="BackcoversummaryChar">
    <w:name w:val="Backcover_summary Char"/>
    <w:basedOn w:val="DefaultParagraphFont"/>
    <w:link w:val="Backcoversummary"/>
    <w:rsid w:val="001D2A51"/>
    <w:rPr>
      <w:rFonts w:ascii="Verdana" w:hAnsi="Verdana"/>
      <w:color w:val="FF0000"/>
      <w:sz w:val="24"/>
      <w:lang w:val="en-GB" w:eastAsia="en-US"/>
    </w:rPr>
  </w:style>
  <w:style w:type="character" w:customStyle="1" w:styleId="BackcovercategoryChar">
    <w:name w:val="Backcover_category Char"/>
    <w:basedOn w:val="DefaultParagraphFont"/>
    <w:link w:val="Backcovercategory"/>
    <w:rsid w:val="001D2A51"/>
    <w:rPr>
      <w:rFonts w:ascii="Verdana" w:hAnsi="Verdana"/>
      <w:i/>
      <w:color w:val="FF0000"/>
      <w:sz w:val="18"/>
      <w:lang w:val="en-GB" w:eastAsia="en-US"/>
    </w:rPr>
  </w:style>
  <w:style w:type="paragraph" w:customStyle="1" w:styleId="StyleBodyTextAfter0pt">
    <w:name w:val="Style Body Text + After:  0 pt"/>
    <w:basedOn w:val="BodyText"/>
    <w:link w:val="StyleBodyTextAfter0ptChar"/>
    <w:rsid w:val="0084455C"/>
    <w:pPr>
      <w:spacing w:after="0"/>
    </w:pPr>
  </w:style>
  <w:style w:type="character" w:customStyle="1" w:styleId="BodyTextChar">
    <w:name w:val="Body Text Char"/>
    <w:link w:val="BodyText"/>
    <w:rsid w:val="0084455C"/>
    <w:rPr>
      <w:sz w:val="24"/>
      <w:lang w:val="fr-FR" w:eastAsia="en-US"/>
    </w:rPr>
  </w:style>
  <w:style w:type="numbering" w:customStyle="1" w:styleId="Style2">
    <w:name w:val="Style2"/>
    <w:basedOn w:val="NoList"/>
    <w:rsid w:val="0084455C"/>
    <w:pPr>
      <w:numPr>
        <w:numId w:val="22"/>
      </w:numPr>
    </w:pPr>
  </w:style>
  <w:style w:type="paragraph" w:customStyle="1" w:styleId="StyleHeading2VerdanaAuto">
    <w:name w:val="Style Heading 2 + Verdana Auto"/>
    <w:basedOn w:val="Heading2"/>
    <w:rsid w:val="0084455C"/>
    <w:pPr>
      <w:numPr>
        <w:ilvl w:val="0"/>
        <w:numId w:val="0"/>
      </w:numPr>
      <w:spacing w:before="240" w:after="60"/>
    </w:pPr>
    <w:rPr>
      <w:rFonts w:ascii="Verdana" w:hAnsi="Verdana" w:cs="Arial"/>
      <w:bCs/>
      <w:color w:val="263673"/>
      <w:sz w:val="22"/>
      <w:szCs w:val="28"/>
      <w:lang w:eastAsia="en-GB"/>
    </w:rPr>
  </w:style>
  <w:style w:type="paragraph" w:customStyle="1" w:styleId="StyleListBullet2">
    <w:name w:val="Style List Bullet 2 +"/>
    <w:basedOn w:val="ListBullet2"/>
    <w:link w:val="StyleListBullet2Char"/>
    <w:rsid w:val="0084455C"/>
    <w:pPr>
      <w:tabs>
        <w:tab w:val="clear" w:pos="1485"/>
        <w:tab w:val="num" w:pos="227"/>
      </w:tabs>
      <w:spacing w:before="60" w:after="60"/>
      <w:ind w:left="227" w:hanging="227"/>
      <w:jc w:val="left"/>
    </w:pPr>
  </w:style>
  <w:style w:type="character" w:customStyle="1" w:styleId="ListBullet2Char">
    <w:name w:val="List Bullet 2 Char"/>
    <w:link w:val="ListBullet2"/>
    <w:rsid w:val="0084455C"/>
    <w:rPr>
      <w:sz w:val="24"/>
      <w:lang w:val="fr-FR" w:eastAsia="en-US"/>
    </w:rPr>
  </w:style>
  <w:style w:type="character" w:customStyle="1" w:styleId="StyleListBullet2Char">
    <w:name w:val="Style List Bullet 2 + Char"/>
    <w:basedOn w:val="ListBullet2Char"/>
    <w:link w:val="StyleListBullet2"/>
    <w:rsid w:val="0084455C"/>
    <w:rPr>
      <w:sz w:val="24"/>
      <w:lang w:val="fr-FR" w:eastAsia="en-US"/>
    </w:rPr>
  </w:style>
  <w:style w:type="character" w:customStyle="1" w:styleId="StyleBodyTextAfter0ptChar">
    <w:name w:val="Style Body Text + After:  0 pt Char"/>
    <w:basedOn w:val="BodyTextChar"/>
    <w:link w:val="StyleBodyTextAfter0pt"/>
    <w:rsid w:val="0084455C"/>
    <w:rPr>
      <w:sz w:val="24"/>
      <w:lang w:val="fr-FR" w:eastAsia="en-US"/>
    </w:rPr>
  </w:style>
  <w:style w:type="paragraph" w:customStyle="1" w:styleId="StyleStyleBodyTextAfter0ptVerdanaBold">
    <w:name w:val="Style Style Body Text + After:  0 pt + Verdana Bold"/>
    <w:basedOn w:val="StyleBodyTextAfter0pt"/>
    <w:link w:val="StyleStyleBodyTextAfter0ptVerdanaBoldChar"/>
    <w:rsid w:val="0084455C"/>
    <w:rPr>
      <w:b/>
      <w:bCs/>
      <w:szCs w:val="24"/>
    </w:rPr>
  </w:style>
  <w:style w:type="character" w:customStyle="1" w:styleId="StyleStyleBodyTextAfter0ptVerdanaBoldChar">
    <w:name w:val="Style Style Body Text + After:  0 pt + Verdana Bold Char"/>
    <w:link w:val="StyleStyleBodyTextAfter0ptVerdanaBold"/>
    <w:rsid w:val="0084455C"/>
    <w:rPr>
      <w:b/>
      <w:bCs/>
      <w:sz w:val="24"/>
      <w:szCs w:val="24"/>
      <w:lang w:val="fr-FR" w:eastAsia="en-US"/>
    </w:rPr>
  </w:style>
  <w:style w:type="paragraph" w:customStyle="1" w:styleId="StyleStyleBodyTextAfter0ptVerdanaBoldAuto">
    <w:name w:val="Style Style Body Text + After:  0 pt + Verdana Bold Auto"/>
    <w:basedOn w:val="StyleBodyTextAfter0pt"/>
    <w:link w:val="StyleStyleBodyTextAfter0ptVerdanaBoldAutoChar"/>
    <w:rsid w:val="0084455C"/>
    <w:rPr>
      <w:b/>
      <w:bCs/>
      <w:szCs w:val="24"/>
    </w:rPr>
  </w:style>
  <w:style w:type="character" w:customStyle="1" w:styleId="StyleStyleBodyTextAfter0ptVerdanaBoldAutoChar">
    <w:name w:val="Style Style Body Text + After:  0 pt + Verdana Bold Auto Char"/>
    <w:link w:val="StyleStyleBodyTextAfter0ptVerdanaBoldAuto"/>
    <w:rsid w:val="0084455C"/>
    <w:rPr>
      <w:b/>
      <w:bCs/>
      <w:sz w:val="24"/>
      <w:szCs w:val="24"/>
      <w:lang w:val="fr-FR" w:eastAsia="en-US"/>
    </w:rPr>
  </w:style>
  <w:style w:type="character" w:customStyle="1" w:styleId="Heading1Char">
    <w:name w:val="Heading 1 Char"/>
    <w:link w:val="Heading1"/>
    <w:rsid w:val="0084455C"/>
    <w:rPr>
      <w:b/>
      <w:smallCaps/>
      <w:sz w:val="24"/>
      <w:lang w:val="fr-FR" w:eastAsia="en-US"/>
    </w:rPr>
  </w:style>
  <w:style w:type="paragraph" w:customStyle="1" w:styleId="StyleHeading1Gray-80">
    <w:name w:val="Style Heading 1 + Gray-80%"/>
    <w:basedOn w:val="Heading1"/>
    <w:link w:val="StyleHeading1Gray-80Char"/>
    <w:rsid w:val="0084455C"/>
    <w:pPr>
      <w:numPr>
        <w:numId w:val="0"/>
      </w:numPr>
      <w:spacing w:after="60"/>
    </w:pPr>
    <w:rPr>
      <w:rFonts w:ascii="Verdana" w:hAnsi="Verdana" w:cs="Arial"/>
      <w:bCs/>
      <w:smallCaps w:val="0"/>
      <w:color w:val="263673"/>
      <w:kern w:val="32"/>
      <w:sz w:val="28"/>
      <w:szCs w:val="32"/>
      <w:lang w:eastAsia="en-GB"/>
    </w:rPr>
  </w:style>
  <w:style w:type="character" w:customStyle="1" w:styleId="StyleHeading1Gray-80Char">
    <w:name w:val="Style Heading 1 + Gray-80% Char"/>
    <w:basedOn w:val="Heading1Char"/>
    <w:link w:val="StyleHeading1Gray-80"/>
    <w:rsid w:val="0084455C"/>
    <w:rPr>
      <w:rFonts w:ascii="Verdana" w:hAnsi="Verdana" w:cs="Arial"/>
      <w:b/>
      <w:bCs/>
      <w:smallCaps w:val="0"/>
      <w:color w:val="263673"/>
      <w:kern w:val="32"/>
      <w:sz w:val="28"/>
      <w:szCs w:val="32"/>
      <w:lang w:val="en-GB" w:eastAsia="en-GB"/>
    </w:rPr>
  </w:style>
  <w:style w:type="paragraph" w:styleId="ListParagraph">
    <w:name w:val="List Paragraph"/>
    <w:basedOn w:val="Normal"/>
    <w:uiPriority w:val="34"/>
    <w:qFormat/>
    <w:rsid w:val="00C46893"/>
    <w:pPr>
      <w:ind w:left="720"/>
      <w:contextualSpacing/>
    </w:pPr>
  </w:style>
  <w:style w:type="character" w:styleId="Emphasis">
    <w:name w:val="Emphasis"/>
    <w:basedOn w:val="DefaultParagraphFont"/>
    <w:uiPriority w:val="20"/>
    <w:qFormat/>
    <w:rsid w:val="00B56119"/>
    <w:rPr>
      <w:b/>
      <w:bCs/>
      <w:i w:val="0"/>
      <w:iCs w:val="0"/>
    </w:rPr>
  </w:style>
  <w:style w:type="character" w:customStyle="1" w:styleId="st">
    <w:name w:val="st"/>
    <w:basedOn w:val="DefaultParagraphFont"/>
    <w:rsid w:val="00B56119"/>
  </w:style>
  <w:style w:type="character" w:customStyle="1" w:styleId="FootnoteTextChar">
    <w:name w:val="Footnote Text Char"/>
    <w:aliases w:val="Footnote Char,Fußnote Char,C26 Footnote body Char"/>
    <w:basedOn w:val="DefaultParagraphFont"/>
    <w:link w:val="FootnoteText"/>
    <w:rsid w:val="00F06A0E"/>
    <w:rPr>
      <w:lang w:val="fr-FR" w:eastAsia="en-US"/>
    </w:rPr>
  </w:style>
  <w:style w:type="character" w:customStyle="1" w:styleId="CommentTextChar">
    <w:name w:val="Comment Text Char"/>
    <w:basedOn w:val="DefaultParagraphFont"/>
    <w:link w:val="CommentText"/>
    <w:uiPriority w:val="99"/>
    <w:rsid w:val="001959F2"/>
    <w:rPr>
      <w:lang w:val="fr-FR" w:eastAsia="en-US"/>
    </w:rPr>
  </w:style>
  <w:style w:type="character" w:customStyle="1" w:styleId="apple-converted-space">
    <w:name w:val="apple-converted-space"/>
    <w:basedOn w:val="DefaultParagraphFont"/>
    <w:rsid w:val="00B85FC0"/>
  </w:style>
  <w:style w:type="character" w:styleId="CommentReference">
    <w:name w:val="annotation reference"/>
    <w:basedOn w:val="DefaultParagraphFont"/>
    <w:uiPriority w:val="99"/>
    <w:semiHidden/>
    <w:unhideWhenUsed/>
    <w:rsid w:val="00B85FC0"/>
    <w:rPr>
      <w:sz w:val="16"/>
      <w:szCs w:val="16"/>
    </w:rPr>
  </w:style>
  <w:style w:type="paragraph" w:styleId="CommentSubject">
    <w:name w:val="annotation subject"/>
    <w:basedOn w:val="CommentText"/>
    <w:next w:val="CommentText"/>
    <w:link w:val="CommentSubjectChar"/>
    <w:uiPriority w:val="99"/>
    <w:semiHidden/>
    <w:unhideWhenUsed/>
    <w:rsid w:val="00B85FC0"/>
    <w:pPr>
      <w:spacing w:after="0"/>
      <w:jc w:val="left"/>
    </w:pPr>
    <w:rPr>
      <w:rFonts w:eastAsiaTheme="minorHAnsi"/>
      <w:b/>
      <w:bCs/>
      <w:lang w:eastAsia="en-GB"/>
    </w:rPr>
  </w:style>
  <w:style w:type="character" w:customStyle="1" w:styleId="CommentSubjectChar">
    <w:name w:val="Comment Subject Char"/>
    <w:basedOn w:val="CommentTextChar"/>
    <w:link w:val="CommentSubject"/>
    <w:uiPriority w:val="99"/>
    <w:semiHidden/>
    <w:rsid w:val="00B85FC0"/>
    <w:rPr>
      <w:rFonts w:eastAsiaTheme="minorHAnsi"/>
      <w:b/>
      <w:bCs/>
      <w:lang w:val="en-GB" w:eastAsia="en-GB"/>
    </w:rPr>
  </w:style>
  <w:style w:type="character" w:customStyle="1" w:styleId="BalloonTextChar">
    <w:name w:val="Balloon Text Char"/>
    <w:basedOn w:val="DefaultParagraphFont"/>
    <w:link w:val="BalloonText"/>
    <w:uiPriority w:val="99"/>
    <w:semiHidden/>
    <w:rsid w:val="00B85FC0"/>
    <w:rPr>
      <w:rFonts w:ascii="Tahoma" w:hAnsi="Tahoma" w:cs="Tahoma"/>
      <w:sz w:val="16"/>
      <w:szCs w:val="16"/>
      <w:lang w:val="fr-FR" w:eastAsia="en-US"/>
    </w:rPr>
  </w:style>
  <w:style w:type="character" w:customStyle="1" w:styleId="EndnoteTextChar">
    <w:name w:val="Endnote Text Char"/>
    <w:basedOn w:val="DefaultParagraphFont"/>
    <w:link w:val="EndnoteText"/>
    <w:uiPriority w:val="99"/>
    <w:rsid w:val="00B85FC0"/>
    <w:rPr>
      <w:lang w:val="fr-FR" w:eastAsia="en-US"/>
    </w:rPr>
  </w:style>
  <w:style w:type="character" w:styleId="EndnoteReference">
    <w:name w:val="endnote reference"/>
    <w:uiPriority w:val="99"/>
    <w:unhideWhenUsed/>
    <w:rsid w:val="00B85FC0"/>
    <w:rPr>
      <w:rFonts w:ascii="dcr10" w:hAnsi="dcr10"/>
      <w:sz w:val="32"/>
      <w:szCs w:val="24"/>
      <w:vertAlign w:val="superscript"/>
    </w:rPr>
  </w:style>
  <w:style w:type="character" w:styleId="FollowedHyperlink">
    <w:name w:val="FollowedHyperlink"/>
    <w:basedOn w:val="DefaultParagraphFont"/>
    <w:uiPriority w:val="99"/>
    <w:semiHidden/>
    <w:unhideWhenUsed/>
    <w:rsid w:val="00B85FC0"/>
    <w:rPr>
      <w:color w:val="800080"/>
      <w:u w:val="single"/>
    </w:rPr>
  </w:style>
  <w:style w:type="paragraph" w:customStyle="1" w:styleId="xl65">
    <w:name w:val="xl65"/>
    <w:basedOn w:val="Normal"/>
    <w:rsid w:val="00B85FC0"/>
    <w:pPr>
      <w:spacing w:before="100" w:beforeAutospacing="1" w:after="100" w:afterAutospacing="1"/>
      <w:jc w:val="left"/>
    </w:pPr>
    <w:rPr>
      <w:rFonts w:ascii="Arial" w:hAnsi="Arial" w:cs="Arial"/>
      <w:sz w:val="26"/>
      <w:szCs w:val="26"/>
      <w:lang w:eastAsia="en-GB"/>
    </w:rPr>
  </w:style>
  <w:style w:type="paragraph" w:customStyle="1" w:styleId="xl66">
    <w:name w:val="xl66"/>
    <w:basedOn w:val="Normal"/>
    <w:rsid w:val="00B85FC0"/>
    <w:pPr>
      <w:spacing w:before="100" w:beforeAutospacing="1" w:after="100" w:afterAutospacing="1"/>
      <w:jc w:val="left"/>
    </w:pPr>
    <w:rPr>
      <w:rFonts w:ascii="dcr10" w:hAnsi="dcr10"/>
      <w:sz w:val="26"/>
      <w:szCs w:val="26"/>
      <w:lang w:eastAsia="en-GB"/>
    </w:rPr>
  </w:style>
  <w:style w:type="paragraph" w:customStyle="1" w:styleId="xl67">
    <w:name w:val="xl67"/>
    <w:basedOn w:val="Normal"/>
    <w:rsid w:val="00B85FC0"/>
    <w:pPr>
      <w:spacing w:before="100" w:beforeAutospacing="1" w:after="100" w:afterAutospacing="1"/>
      <w:jc w:val="left"/>
    </w:pPr>
    <w:rPr>
      <w:rFonts w:ascii="dcr10" w:hAnsi="dcr10"/>
      <w:b/>
      <w:bCs/>
      <w:sz w:val="26"/>
      <w:szCs w:val="26"/>
      <w:lang w:eastAsia="en-GB"/>
    </w:rPr>
  </w:style>
  <w:style w:type="paragraph" w:customStyle="1" w:styleId="xl68">
    <w:name w:val="xl68"/>
    <w:basedOn w:val="Normal"/>
    <w:rsid w:val="00B85FC0"/>
    <w:pPr>
      <w:pBdr>
        <w:left w:val="single" w:sz="4" w:space="0" w:color="auto"/>
      </w:pBdr>
      <w:spacing w:before="100" w:beforeAutospacing="1" w:after="100" w:afterAutospacing="1"/>
      <w:jc w:val="left"/>
    </w:pPr>
    <w:rPr>
      <w:rFonts w:ascii="dcr10" w:hAnsi="dcr10"/>
      <w:sz w:val="26"/>
      <w:szCs w:val="26"/>
      <w:lang w:eastAsia="en-GB"/>
    </w:rPr>
  </w:style>
  <w:style w:type="paragraph" w:customStyle="1" w:styleId="xl69">
    <w:name w:val="xl69"/>
    <w:basedOn w:val="Normal"/>
    <w:rsid w:val="00B85FC0"/>
    <w:pPr>
      <w:pBdr>
        <w:left w:val="single" w:sz="4" w:space="0" w:color="auto"/>
      </w:pBdr>
      <w:spacing w:before="100" w:beforeAutospacing="1" w:after="100" w:afterAutospacing="1"/>
      <w:jc w:val="left"/>
    </w:pPr>
    <w:rPr>
      <w:rFonts w:ascii="dcr10" w:hAnsi="dcr10"/>
      <w:sz w:val="26"/>
      <w:szCs w:val="26"/>
      <w:lang w:eastAsia="en-GB"/>
    </w:rPr>
  </w:style>
  <w:style w:type="paragraph" w:customStyle="1" w:styleId="xl70">
    <w:name w:val="xl70"/>
    <w:basedOn w:val="Normal"/>
    <w:rsid w:val="00B85FC0"/>
    <w:pPr>
      <w:pBdr>
        <w:top w:val="single" w:sz="4" w:space="0" w:color="auto"/>
        <w:left w:val="single" w:sz="4" w:space="0" w:color="auto"/>
        <w:bottom w:val="single" w:sz="4" w:space="0" w:color="auto"/>
      </w:pBdr>
      <w:spacing w:before="100" w:beforeAutospacing="1" w:after="100" w:afterAutospacing="1"/>
      <w:jc w:val="center"/>
      <w:textAlignment w:val="top"/>
    </w:pPr>
    <w:rPr>
      <w:rFonts w:ascii="dcr10" w:hAnsi="dcr10"/>
      <w:szCs w:val="24"/>
      <w:lang w:eastAsia="en-GB"/>
    </w:rPr>
  </w:style>
  <w:style w:type="paragraph" w:customStyle="1" w:styleId="xl71">
    <w:name w:val="xl71"/>
    <w:basedOn w:val="Normal"/>
    <w:rsid w:val="00B85FC0"/>
    <w:pPr>
      <w:pBdr>
        <w:top w:val="single" w:sz="4" w:space="0" w:color="auto"/>
        <w:bottom w:val="single" w:sz="4" w:space="0" w:color="auto"/>
      </w:pBdr>
      <w:spacing w:before="100" w:beforeAutospacing="1" w:after="100" w:afterAutospacing="1"/>
      <w:jc w:val="center"/>
      <w:textAlignment w:val="top"/>
    </w:pPr>
    <w:rPr>
      <w:rFonts w:ascii="dcr10" w:hAnsi="dcr10"/>
      <w:szCs w:val="24"/>
      <w:lang w:eastAsia="en-GB"/>
    </w:rPr>
  </w:style>
  <w:style w:type="paragraph" w:customStyle="1" w:styleId="xl72">
    <w:name w:val="xl72"/>
    <w:basedOn w:val="Normal"/>
    <w:rsid w:val="00B85FC0"/>
    <w:pPr>
      <w:pBdr>
        <w:top w:val="single" w:sz="4" w:space="0" w:color="auto"/>
        <w:bottom w:val="single" w:sz="4" w:space="0" w:color="auto"/>
        <w:right w:val="single" w:sz="4" w:space="0" w:color="auto"/>
      </w:pBdr>
      <w:spacing w:before="100" w:beforeAutospacing="1" w:after="100" w:afterAutospacing="1"/>
      <w:jc w:val="center"/>
      <w:textAlignment w:val="top"/>
    </w:pPr>
    <w:rPr>
      <w:rFonts w:ascii="dcr10" w:hAnsi="dcr10"/>
      <w:szCs w:val="24"/>
      <w:lang w:eastAsia="en-GB"/>
    </w:rPr>
  </w:style>
  <w:style w:type="paragraph" w:customStyle="1" w:styleId="xl73">
    <w:name w:val="xl73"/>
    <w:basedOn w:val="Normal"/>
    <w:rsid w:val="00B85FC0"/>
    <w:pPr>
      <w:pBdr>
        <w:bottom w:val="single" w:sz="4" w:space="0" w:color="auto"/>
      </w:pBdr>
      <w:spacing w:before="100" w:beforeAutospacing="1" w:after="100" w:afterAutospacing="1"/>
      <w:jc w:val="left"/>
    </w:pPr>
    <w:rPr>
      <w:rFonts w:ascii="dcr10" w:hAnsi="dcr10"/>
      <w:b/>
      <w:bCs/>
      <w:sz w:val="26"/>
      <w:szCs w:val="26"/>
      <w:lang w:eastAsia="en-GB"/>
    </w:rPr>
  </w:style>
  <w:style w:type="paragraph" w:customStyle="1" w:styleId="xl74">
    <w:name w:val="xl74"/>
    <w:basedOn w:val="Normal"/>
    <w:rsid w:val="00B85FC0"/>
    <w:pPr>
      <w:pBdr>
        <w:top w:val="single" w:sz="4" w:space="0" w:color="auto"/>
      </w:pBdr>
      <w:spacing w:before="100" w:beforeAutospacing="1" w:after="100" w:afterAutospacing="1"/>
      <w:jc w:val="left"/>
    </w:pPr>
    <w:rPr>
      <w:rFonts w:ascii="dcr10" w:hAnsi="dcr10"/>
      <w:sz w:val="26"/>
      <w:szCs w:val="26"/>
      <w:lang w:eastAsia="en-GB"/>
    </w:rPr>
  </w:style>
  <w:style w:type="paragraph" w:customStyle="1" w:styleId="xl75">
    <w:name w:val="xl75"/>
    <w:basedOn w:val="Normal"/>
    <w:rsid w:val="00B85FC0"/>
    <w:pPr>
      <w:pBdr>
        <w:left w:val="single" w:sz="4" w:space="0" w:color="auto"/>
        <w:bottom w:val="single" w:sz="4" w:space="0" w:color="auto"/>
      </w:pBdr>
      <w:spacing w:before="100" w:beforeAutospacing="1" w:after="100" w:afterAutospacing="1"/>
      <w:jc w:val="center"/>
      <w:textAlignment w:val="top"/>
    </w:pPr>
    <w:rPr>
      <w:rFonts w:ascii="dcr10" w:hAnsi="dcr10"/>
      <w:szCs w:val="24"/>
      <w:lang w:eastAsia="en-GB"/>
    </w:rPr>
  </w:style>
  <w:style w:type="paragraph" w:customStyle="1" w:styleId="xl76">
    <w:name w:val="xl76"/>
    <w:basedOn w:val="Normal"/>
    <w:rsid w:val="00B85FC0"/>
    <w:pPr>
      <w:pBdr>
        <w:bottom w:val="single" w:sz="4" w:space="0" w:color="auto"/>
      </w:pBdr>
      <w:spacing w:before="100" w:beforeAutospacing="1" w:after="100" w:afterAutospacing="1"/>
      <w:jc w:val="center"/>
      <w:textAlignment w:val="top"/>
    </w:pPr>
    <w:rPr>
      <w:rFonts w:ascii="dcr10" w:hAnsi="dcr10"/>
      <w:szCs w:val="24"/>
      <w:lang w:eastAsia="en-GB"/>
    </w:rPr>
  </w:style>
  <w:style w:type="paragraph" w:customStyle="1" w:styleId="xl77">
    <w:name w:val="xl77"/>
    <w:basedOn w:val="Normal"/>
    <w:rsid w:val="00B85FC0"/>
    <w:pPr>
      <w:pBdr>
        <w:bottom w:val="single" w:sz="4" w:space="0" w:color="auto"/>
        <w:right w:val="single" w:sz="4" w:space="0" w:color="auto"/>
      </w:pBdr>
      <w:spacing w:before="100" w:beforeAutospacing="1" w:after="100" w:afterAutospacing="1"/>
      <w:jc w:val="center"/>
      <w:textAlignment w:val="top"/>
    </w:pPr>
    <w:rPr>
      <w:rFonts w:ascii="dcr10" w:hAnsi="dcr10"/>
      <w:szCs w:val="24"/>
      <w:lang w:eastAsia="en-GB"/>
    </w:rPr>
  </w:style>
  <w:style w:type="paragraph" w:customStyle="1" w:styleId="xl78">
    <w:name w:val="xl78"/>
    <w:basedOn w:val="Normal"/>
    <w:rsid w:val="00B85FC0"/>
    <w:pPr>
      <w:pBdr>
        <w:bottom w:val="single" w:sz="8" w:space="0" w:color="auto"/>
      </w:pBdr>
      <w:spacing w:before="100" w:beforeAutospacing="1" w:after="100" w:afterAutospacing="1"/>
      <w:jc w:val="left"/>
    </w:pPr>
    <w:rPr>
      <w:rFonts w:ascii="dcr10" w:hAnsi="dcr10"/>
      <w:sz w:val="26"/>
      <w:szCs w:val="26"/>
      <w:lang w:eastAsia="en-GB"/>
    </w:rPr>
  </w:style>
  <w:style w:type="paragraph" w:customStyle="1" w:styleId="xl79">
    <w:name w:val="xl79"/>
    <w:basedOn w:val="Normal"/>
    <w:rsid w:val="00B85FC0"/>
    <w:pPr>
      <w:pBdr>
        <w:left w:val="single" w:sz="4" w:space="0" w:color="auto"/>
        <w:bottom w:val="single" w:sz="8" w:space="0" w:color="auto"/>
      </w:pBdr>
      <w:spacing w:before="100" w:beforeAutospacing="1" w:after="100" w:afterAutospacing="1"/>
      <w:jc w:val="left"/>
    </w:pPr>
    <w:rPr>
      <w:rFonts w:ascii="dcr10" w:hAnsi="dcr10"/>
      <w:sz w:val="26"/>
      <w:szCs w:val="26"/>
      <w:lang w:eastAsia="en-GB"/>
    </w:rPr>
  </w:style>
  <w:style w:type="paragraph" w:customStyle="1" w:styleId="xl80">
    <w:name w:val="xl80"/>
    <w:basedOn w:val="Normal"/>
    <w:rsid w:val="00B85FC0"/>
    <w:pPr>
      <w:pBdr>
        <w:bottom w:val="single" w:sz="4" w:space="0" w:color="auto"/>
      </w:pBdr>
      <w:spacing w:before="100" w:beforeAutospacing="1" w:after="100" w:afterAutospacing="1"/>
      <w:jc w:val="left"/>
    </w:pPr>
    <w:rPr>
      <w:rFonts w:ascii="dcr10" w:hAnsi="dcr10"/>
      <w:i/>
      <w:iCs/>
      <w:sz w:val="26"/>
      <w:szCs w:val="26"/>
      <w:lang w:eastAsia="en-GB"/>
    </w:rPr>
  </w:style>
  <w:style w:type="paragraph" w:customStyle="1" w:styleId="xl81">
    <w:name w:val="xl81"/>
    <w:basedOn w:val="Normal"/>
    <w:rsid w:val="00B85FC0"/>
    <w:pPr>
      <w:spacing w:before="100" w:beforeAutospacing="1" w:after="100" w:afterAutospacing="1"/>
      <w:jc w:val="left"/>
    </w:pPr>
    <w:rPr>
      <w:rFonts w:ascii="dcr10" w:hAnsi="dcr10"/>
      <w:i/>
      <w:iCs/>
      <w:sz w:val="26"/>
      <w:szCs w:val="26"/>
      <w:lang w:eastAsia="en-GB"/>
    </w:rPr>
  </w:style>
  <w:style w:type="paragraph" w:customStyle="1" w:styleId="xl82">
    <w:name w:val="xl82"/>
    <w:basedOn w:val="Normal"/>
    <w:rsid w:val="00B85FC0"/>
    <w:pPr>
      <w:spacing w:before="100" w:beforeAutospacing="1" w:after="100" w:afterAutospacing="1"/>
      <w:jc w:val="center"/>
      <w:textAlignment w:val="top"/>
    </w:pPr>
    <w:rPr>
      <w:rFonts w:ascii="dcr10" w:hAnsi="dcr10"/>
      <w:szCs w:val="24"/>
      <w:lang w:eastAsia="en-GB"/>
    </w:rPr>
  </w:style>
  <w:style w:type="paragraph" w:customStyle="1" w:styleId="xl83">
    <w:name w:val="xl83"/>
    <w:basedOn w:val="Normal"/>
    <w:rsid w:val="00B85FC0"/>
    <w:pPr>
      <w:pBdr>
        <w:left w:val="single" w:sz="4" w:space="0" w:color="auto"/>
      </w:pBdr>
      <w:spacing w:before="100" w:beforeAutospacing="1" w:after="100" w:afterAutospacing="1"/>
      <w:jc w:val="center"/>
      <w:textAlignment w:val="top"/>
    </w:pPr>
    <w:rPr>
      <w:rFonts w:ascii="dcr10" w:hAnsi="dcr10"/>
      <w:szCs w:val="24"/>
      <w:lang w:eastAsia="en-GB"/>
    </w:rPr>
  </w:style>
  <w:style w:type="paragraph" w:customStyle="1" w:styleId="xl84">
    <w:name w:val="xl84"/>
    <w:basedOn w:val="Normal"/>
    <w:rsid w:val="00B85FC0"/>
    <w:pPr>
      <w:pBdr>
        <w:right w:val="single" w:sz="4" w:space="0" w:color="auto"/>
      </w:pBdr>
      <w:spacing w:before="100" w:beforeAutospacing="1" w:after="100" w:afterAutospacing="1"/>
      <w:jc w:val="center"/>
      <w:textAlignment w:val="top"/>
    </w:pPr>
    <w:rPr>
      <w:rFonts w:ascii="dcr10" w:hAnsi="dcr10"/>
      <w:szCs w:val="24"/>
      <w:lang w:eastAsia="en-GB"/>
    </w:rPr>
  </w:style>
  <w:style w:type="paragraph" w:customStyle="1" w:styleId="xl85">
    <w:name w:val="xl85"/>
    <w:basedOn w:val="Normal"/>
    <w:rsid w:val="00B85FC0"/>
    <w:pPr>
      <w:pBdr>
        <w:right w:val="single" w:sz="4" w:space="0" w:color="auto"/>
      </w:pBdr>
      <w:spacing w:before="100" w:beforeAutospacing="1" w:after="100" w:afterAutospacing="1"/>
      <w:jc w:val="left"/>
    </w:pPr>
    <w:rPr>
      <w:rFonts w:ascii="dcr10" w:hAnsi="dcr10"/>
      <w:sz w:val="26"/>
      <w:szCs w:val="26"/>
      <w:lang w:eastAsia="en-GB"/>
    </w:rPr>
  </w:style>
  <w:style w:type="paragraph" w:customStyle="1" w:styleId="xl86">
    <w:name w:val="xl86"/>
    <w:basedOn w:val="Normal"/>
    <w:rsid w:val="00B85FC0"/>
    <w:pPr>
      <w:pBdr>
        <w:left w:val="single" w:sz="4" w:space="0" w:color="auto"/>
      </w:pBdr>
      <w:spacing w:before="100" w:beforeAutospacing="1" w:after="100" w:afterAutospacing="1"/>
      <w:jc w:val="right"/>
    </w:pPr>
    <w:rPr>
      <w:rFonts w:ascii="dcr10" w:hAnsi="dcr10"/>
      <w:sz w:val="26"/>
      <w:szCs w:val="26"/>
      <w:lang w:eastAsia="en-GB"/>
    </w:rPr>
  </w:style>
  <w:style w:type="paragraph" w:customStyle="1" w:styleId="xl87">
    <w:name w:val="xl87"/>
    <w:basedOn w:val="Normal"/>
    <w:rsid w:val="00B85FC0"/>
    <w:pPr>
      <w:pBdr>
        <w:left w:val="single" w:sz="4" w:space="0" w:color="auto"/>
      </w:pBdr>
      <w:spacing w:before="100" w:beforeAutospacing="1" w:after="100" w:afterAutospacing="1"/>
      <w:jc w:val="right"/>
      <w:textAlignment w:val="top"/>
    </w:pPr>
    <w:rPr>
      <w:rFonts w:ascii="dcr10" w:hAnsi="dcr10"/>
      <w:szCs w:val="24"/>
      <w:lang w:eastAsia="en-GB"/>
    </w:rPr>
  </w:style>
  <w:style w:type="paragraph" w:customStyle="1" w:styleId="xl88">
    <w:name w:val="xl88"/>
    <w:basedOn w:val="Normal"/>
    <w:rsid w:val="00B85FC0"/>
    <w:pPr>
      <w:spacing w:before="100" w:beforeAutospacing="1" w:after="100" w:afterAutospacing="1"/>
      <w:jc w:val="right"/>
      <w:textAlignment w:val="top"/>
    </w:pPr>
    <w:rPr>
      <w:rFonts w:ascii="dcr10" w:hAnsi="dcr10"/>
      <w:szCs w:val="24"/>
      <w:lang w:eastAsia="en-GB"/>
    </w:rPr>
  </w:style>
  <w:style w:type="paragraph" w:customStyle="1" w:styleId="xl89">
    <w:name w:val="xl89"/>
    <w:basedOn w:val="Normal"/>
    <w:rsid w:val="00B85FC0"/>
    <w:pPr>
      <w:pBdr>
        <w:right w:val="single" w:sz="4" w:space="0" w:color="auto"/>
      </w:pBdr>
      <w:spacing w:before="100" w:beforeAutospacing="1" w:after="100" w:afterAutospacing="1"/>
      <w:jc w:val="right"/>
      <w:textAlignment w:val="top"/>
    </w:pPr>
    <w:rPr>
      <w:rFonts w:ascii="dcr10" w:hAnsi="dcr10"/>
      <w:szCs w:val="24"/>
      <w:lang w:eastAsia="en-GB"/>
    </w:rPr>
  </w:style>
  <w:style w:type="paragraph" w:customStyle="1" w:styleId="xl90">
    <w:name w:val="xl90"/>
    <w:basedOn w:val="Normal"/>
    <w:rsid w:val="00B85FC0"/>
    <w:pPr>
      <w:pBdr>
        <w:left w:val="single" w:sz="4" w:space="0" w:color="auto"/>
      </w:pBdr>
      <w:spacing w:before="100" w:beforeAutospacing="1" w:after="100" w:afterAutospacing="1"/>
      <w:jc w:val="right"/>
    </w:pPr>
    <w:rPr>
      <w:rFonts w:ascii="dcr10" w:hAnsi="dcr10"/>
      <w:sz w:val="26"/>
      <w:szCs w:val="26"/>
      <w:lang w:eastAsia="en-GB"/>
    </w:rPr>
  </w:style>
  <w:style w:type="paragraph" w:customStyle="1" w:styleId="xl91">
    <w:name w:val="xl91"/>
    <w:basedOn w:val="Normal"/>
    <w:rsid w:val="00B85FC0"/>
    <w:pPr>
      <w:spacing w:before="100" w:beforeAutospacing="1" w:after="100" w:afterAutospacing="1"/>
      <w:jc w:val="right"/>
    </w:pPr>
    <w:rPr>
      <w:rFonts w:ascii="dcr10" w:hAnsi="dcr10"/>
      <w:sz w:val="26"/>
      <w:szCs w:val="26"/>
      <w:lang w:eastAsia="en-GB"/>
    </w:rPr>
  </w:style>
  <w:style w:type="paragraph" w:customStyle="1" w:styleId="xl92">
    <w:name w:val="xl92"/>
    <w:basedOn w:val="Normal"/>
    <w:rsid w:val="00B85FC0"/>
    <w:pPr>
      <w:pBdr>
        <w:right w:val="single" w:sz="4" w:space="0" w:color="auto"/>
      </w:pBdr>
      <w:spacing w:before="100" w:beforeAutospacing="1" w:after="100" w:afterAutospacing="1"/>
      <w:jc w:val="right"/>
    </w:pPr>
    <w:rPr>
      <w:rFonts w:ascii="dcr10" w:hAnsi="dcr10"/>
      <w:sz w:val="26"/>
      <w:szCs w:val="26"/>
      <w:lang w:eastAsia="en-GB"/>
    </w:rPr>
  </w:style>
  <w:style w:type="paragraph" w:customStyle="1" w:styleId="xl93">
    <w:name w:val="xl93"/>
    <w:basedOn w:val="Normal"/>
    <w:rsid w:val="00B85FC0"/>
    <w:pPr>
      <w:pBdr>
        <w:top w:val="single" w:sz="4" w:space="0" w:color="auto"/>
        <w:left w:val="single" w:sz="4" w:space="0" w:color="auto"/>
        <w:bottom w:val="single" w:sz="4" w:space="0" w:color="auto"/>
      </w:pBdr>
      <w:spacing w:before="100" w:beforeAutospacing="1" w:after="100" w:afterAutospacing="1"/>
      <w:jc w:val="center"/>
    </w:pPr>
    <w:rPr>
      <w:rFonts w:ascii="dcr10" w:hAnsi="dcr10"/>
      <w:b/>
      <w:bCs/>
      <w:sz w:val="26"/>
      <w:szCs w:val="26"/>
      <w:lang w:eastAsia="en-GB"/>
    </w:rPr>
  </w:style>
  <w:style w:type="paragraph" w:customStyle="1" w:styleId="xl94">
    <w:name w:val="xl94"/>
    <w:basedOn w:val="Normal"/>
    <w:rsid w:val="00B85FC0"/>
    <w:pPr>
      <w:pBdr>
        <w:top w:val="single" w:sz="4" w:space="0" w:color="auto"/>
        <w:bottom w:val="single" w:sz="4" w:space="0" w:color="auto"/>
      </w:pBdr>
      <w:spacing w:before="100" w:beforeAutospacing="1" w:after="100" w:afterAutospacing="1"/>
      <w:jc w:val="center"/>
    </w:pPr>
    <w:rPr>
      <w:rFonts w:ascii="dcr10" w:hAnsi="dcr10"/>
      <w:b/>
      <w:bCs/>
      <w:sz w:val="26"/>
      <w:szCs w:val="26"/>
      <w:lang w:eastAsia="en-GB"/>
    </w:rPr>
  </w:style>
  <w:style w:type="paragraph" w:customStyle="1" w:styleId="xl95">
    <w:name w:val="xl95"/>
    <w:basedOn w:val="Normal"/>
    <w:rsid w:val="00B85FC0"/>
    <w:pPr>
      <w:pBdr>
        <w:top w:val="single" w:sz="4" w:space="0" w:color="auto"/>
      </w:pBdr>
      <w:spacing w:before="100" w:beforeAutospacing="1" w:after="100" w:afterAutospacing="1"/>
      <w:jc w:val="center"/>
      <w:textAlignment w:val="center"/>
    </w:pPr>
    <w:rPr>
      <w:rFonts w:ascii="dcr10" w:hAnsi="dcr10"/>
      <w:sz w:val="26"/>
      <w:szCs w:val="26"/>
      <w:lang w:eastAsia="en-GB"/>
    </w:rPr>
  </w:style>
  <w:style w:type="paragraph" w:customStyle="1" w:styleId="xl96">
    <w:name w:val="xl96"/>
    <w:basedOn w:val="Normal"/>
    <w:rsid w:val="00B85FC0"/>
    <w:pPr>
      <w:spacing w:before="100" w:beforeAutospacing="1" w:after="100" w:afterAutospacing="1"/>
      <w:jc w:val="center"/>
      <w:textAlignment w:val="center"/>
    </w:pPr>
    <w:rPr>
      <w:rFonts w:ascii="dcr10" w:hAnsi="dcr10"/>
      <w:sz w:val="26"/>
      <w:szCs w:val="26"/>
      <w:lang w:eastAsia="en-GB"/>
    </w:rPr>
  </w:style>
  <w:style w:type="paragraph" w:customStyle="1" w:styleId="xl97">
    <w:name w:val="xl97"/>
    <w:basedOn w:val="Normal"/>
    <w:rsid w:val="00B85FC0"/>
    <w:pPr>
      <w:pBdr>
        <w:bottom w:val="single" w:sz="8" w:space="0" w:color="auto"/>
      </w:pBdr>
      <w:spacing w:before="100" w:beforeAutospacing="1" w:after="100" w:afterAutospacing="1"/>
      <w:jc w:val="center"/>
      <w:textAlignment w:val="center"/>
    </w:pPr>
    <w:rPr>
      <w:rFonts w:ascii="dcr10" w:hAnsi="dcr10"/>
      <w:sz w:val="26"/>
      <w:szCs w:val="26"/>
      <w:lang w:eastAsia="en-GB"/>
    </w:rPr>
  </w:style>
  <w:style w:type="paragraph" w:customStyle="1" w:styleId="xl98">
    <w:name w:val="xl98"/>
    <w:basedOn w:val="Normal"/>
    <w:rsid w:val="00B85FC0"/>
    <w:pPr>
      <w:pBdr>
        <w:top w:val="single" w:sz="4" w:space="0" w:color="auto"/>
        <w:bottom w:val="single" w:sz="4" w:space="0" w:color="auto"/>
      </w:pBdr>
      <w:spacing w:before="100" w:beforeAutospacing="1" w:after="100" w:afterAutospacing="1"/>
      <w:jc w:val="center"/>
    </w:pPr>
    <w:rPr>
      <w:rFonts w:ascii="dcr10" w:hAnsi="dcr10"/>
      <w:sz w:val="26"/>
      <w:szCs w:val="26"/>
      <w:lang w:eastAsia="en-GB"/>
    </w:rPr>
  </w:style>
  <w:style w:type="paragraph" w:customStyle="1" w:styleId="xl99">
    <w:name w:val="xl99"/>
    <w:basedOn w:val="Normal"/>
    <w:rsid w:val="00B85FC0"/>
    <w:pPr>
      <w:pBdr>
        <w:top w:val="single" w:sz="4" w:space="0" w:color="auto"/>
        <w:bottom w:val="single" w:sz="4" w:space="0" w:color="auto"/>
      </w:pBdr>
      <w:spacing w:before="100" w:beforeAutospacing="1" w:after="100" w:afterAutospacing="1"/>
      <w:jc w:val="center"/>
    </w:pPr>
    <w:rPr>
      <w:rFonts w:ascii="dcr10" w:hAnsi="dcr10"/>
      <w:sz w:val="26"/>
      <w:szCs w:val="26"/>
      <w:lang w:eastAsia="en-GB"/>
    </w:rPr>
  </w:style>
  <w:style w:type="paragraph" w:customStyle="1" w:styleId="xl100">
    <w:name w:val="xl100"/>
    <w:basedOn w:val="Normal"/>
    <w:rsid w:val="00B85FC0"/>
    <w:pPr>
      <w:pBdr>
        <w:top w:val="single" w:sz="4" w:space="0" w:color="auto"/>
        <w:bottom w:val="single" w:sz="4" w:space="0" w:color="auto"/>
        <w:right w:val="single" w:sz="4" w:space="0" w:color="auto"/>
      </w:pBdr>
      <w:spacing w:before="100" w:beforeAutospacing="1" w:after="100" w:afterAutospacing="1"/>
      <w:jc w:val="center"/>
    </w:pPr>
    <w:rPr>
      <w:rFonts w:ascii="dcr10" w:hAnsi="dcr10"/>
      <w:b/>
      <w:bCs/>
      <w:sz w:val="26"/>
      <w:szCs w:val="26"/>
      <w:lang w:eastAsia="en-GB"/>
    </w:rPr>
  </w:style>
  <w:style w:type="paragraph" w:customStyle="1" w:styleId="xl101">
    <w:name w:val="xl101"/>
    <w:basedOn w:val="Normal"/>
    <w:rsid w:val="00B85FC0"/>
    <w:pPr>
      <w:pBdr>
        <w:top w:val="single" w:sz="4" w:space="0" w:color="auto"/>
        <w:left w:val="single" w:sz="4" w:space="0" w:color="auto"/>
        <w:bottom w:val="single" w:sz="4" w:space="0" w:color="auto"/>
      </w:pBdr>
      <w:spacing w:before="100" w:beforeAutospacing="1" w:after="100" w:afterAutospacing="1"/>
      <w:jc w:val="center"/>
    </w:pPr>
    <w:rPr>
      <w:rFonts w:ascii="dcr10" w:hAnsi="dcr10"/>
      <w:b/>
      <w:bCs/>
      <w:sz w:val="26"/>
      <w:szCs w:val="26"/>
      <w:lang w:eastAsia="en-GB"/>
    </w:rPr>
  </w:style>
  <w:style w:type="paragraph" w:customStyle="1" w:styleId="xl102">
    <w:name w:val="xl102"/>
    <w:basedOn w:val="Normal"/>
    <w:rsid w:val="00B85FC0"/>
    <w:pPr>
      <w:pBdr>
        <w:top w:val="single" w:sz="4" w:space="0" w:color="auto"/>
        <w:bottom w:val="single" w:sz="4" w:space="0" w:color="auto"/>
      </w:pBdr>
      <w:spacing w:before="100" w:beforeAutospacing="1" w:after="100" w:afterAutospacing="1"/>
      <w:jc w:val="center"/>
    </w:pPr>
    <w:rPr>
      <w:rFonts w:ascii="dcr10" w:hAnsi="dcr10"/>
      <w:b/>
      <w:bCs/>
      <w:sz w:val="26"/>
      <w:szCs w:val="26"/>
      <w:lang w:eastAsia="en-GB"/>
    </w:rPr>
  </w:style>
  <w:style w:type="paragraph" w:customStyle="1" w:styleId="xl103">
    <w:name w:val="xl103"/>
    <w:basedOn w:val="Normal"/>
    <w:rsid w:val="00B85FC0"/>
    <w:pPr>
      <w:pBdr>
        <w:top w:val="single" w:sz="4" w:space="0" w:color="auto"/>
        <w:bottom w:val="single" w:sz="4" w:space="0" w:color="auto"/>
        <w:right w:val="single" w:sz="4" w:space="0" w:color="auto"/>
      </w:pBdr>
      <w:spacing w:before="100" w:beforeAutospacing="1" w:after="100" w:afterAutospacing="1"/>
      <w:jc w:val="center"/>
    </w:pPr>
    <w:rPr>
      <w:rFonts w:ascii="dcr10" w:hAnsi="dcr10"/>
      <w:b/>
      <w:bCs/>
      <w:sz w:val="26"/>
      <w:szCs w:val="26"/>
      <w:lang w:eastAsia="en-GB"/>
    </w:rPr>
  </w:style>
  <w:style w:type="paragraph" w:styleId="NormalWeb">
    <w:name w:val="Normal (Web)"/>
    <w:basedOn w:val="Normal"/>
    <w:uiPriority w:val="99"/>
    <w:semiHidden/>
    <w:unhideWhenUsed/>
    <w:rsid w:val="00D448AF"/>
    <w:pPr>
      <w:spacing w:before="100" w:beforeAutospacing="1" w:after="100" w:afterAutospacing="1"/>
      <w:jc w:val="left"/>
    </w:pPr>
    <w:rPr>
      <w:szCs w:val="24"/>
      <w:lang w:eastAsia="en-GB"/>
    </w:rPr>
  </w:style>
  <w:style w:type="character" w:customStyle="1" w:styleId="Heading2Char">
    <w:name w:val="Heading 2 Char"/>
    <w:basedOn w:val="DefaultParagraphFont"/>
    <w:link w:val="Heading2"/>
    <w:rsid w:val="00A770A7"/>
    <w:rPr>
      <w:b/>
      <w:sz w:val="24"/>
      <w:lang w:val="fr-FR" w:eastAsia="en-US"/>
    </w:rPr>
  </w:style>
  <w:style w:type="character" w:customStyle="1" w:styleId="Heading3Char">
    <w:name w:val="Heading 3 Char"/>
    <w:basedOn w:val="DefaultParagraphFont"/>
    <w:link w:val="Heading3"/>
    <w:rsid w:val="00A770A7"/>
    <w:rPr>
      <w:i/>
      <w:sz w:val="24"/>
      <w:lang w:val="fr-FR" w:eastAsia="en-US"/>
    </w:rPr>
  </w:style>
  <w:style w:type="character" w:customStyle="1" w:styleId="Heading4Char">
    <w:name w:val="Heading 4 Char"/>
    <w:basedOn w:val="DefaultParagraphFont"/>
    <w:link w:val="Heading4"/>
    <w:rsid w:val="00A770A7"/>
    <w:rPr>
      <w:sz w:val="24"/>
      <w:lang w:val="fr-FR" w:eastAsia="en-US"/>
    </w:rPr>
  </w:style>
  <w:style w:type="character" w:customStyle="1" w:styleId="Heading5Char">
    <w:name w:val="Heading 5 Char"/>
    <w:basedOn w:val="DefaultParagraphFont"/>
    <w:link w:val="Heading5"/>
    <w:rsid w:val="00A770A7"/>
    <w:rPr>
      <w:rFonts w:ascii="Arial" w:hAnsi="Arial"/>
      <w:sz w:val="22"/>
      <w:lang w:val="fr-FR" w:eastAsia="en-US"/>
    </w:rPr>
  </w:style>
  <w:style w:type="character" w:customStyle="1" w:styleId="Heading6Char">
    <w:name w:val="Heading 6 Char"/>
    <w:basedOn w:val="DefaultParagraphFont"/>
    <w:link w:val="Heading6"/>
    <w:rsid w:val="00A770A7"/>
    <w:rPr>
      <w:rFonts w:ascii="Arial" w:hAnsi="Arial"/>
      <w:i/>
      <w:sz w:val="22"/>
      <w:lang w:val="fr-FR" w:eastAsia="en-US"/>
    </w:rPr>
  </w:style>
  <w:style w:type="character" w:customStyle="1" w:styleId="Heading7Char">
    <w:name w:val="Heading 7 Char"/>
    <w:basedOn w:val="DefaultParagraphFont"/>
    <w:link w:val="Heading7"/>
    <w:rsid w:val="00A770A7"/>
    <w:rPr>
      <w:rFonts w:ascii="Arial" w:hAnsi="Arial"/>
      <w:lang w:val="fr-FR" w:eastAsia="en-US"/>
    </w:rPr>
  </w:style>
  <w:style w:type="character" w:customStyle="1" w:styleId="Heading8Char">
    <w:name w:val="Heading 8 Char"/>
    <w:basedOn w:val="DefaultParagraphFont"/>
    <w:link w:val="Heading8"/>
    <w:rsid w:val="00A770A7"/>
    <w:rPr>
      <w:rFonts w:ascii="Arial" w:hAnsi="Arial"/>
      <w:i/>
      <w:lang w:val="fr-FR" w:eastAsia="en-US"/>
    </w:rPr>
  </w:style>
  <w:style w:type="character" w:customStyle="1" w:styleId="Heading9Char">
    <w:name w:val="Heading 9 Char"/>
    <w:basedOn w:val="DefaultParagraphFont"/>
    <w:link w:val="Heading9"/>
    <w:rsid w:val="00A770A7"/>
    <w:rPr>
      <w:rFonts w:ascii="Arial" w:hAnsi="Arial"/>
      <w:i/>
      <w:sz w:val="18"/>
      <w:lang w:val="fr-FR" w:eastAsia="en-US"/>
    </w:rPr>
  </w:style>
  <w:style w:type="character" w:customStyle="1" w:styleId="BodyText2Char">
    <w:name w:val="Body Text 2 Char"/>
    <w:basedOn w:val="DefaultParagraphFont"/>
    <w:link w:val="BodyText2"/>
    <w:rsid w:val="00A770A7"/>
    <w:rPr>
      <w:sz w:val="24"/>
      <w:lang w:val="fr-FR" w:eastAsia="en-US"/>
    </w:rPr>
  </w:style>
  <w:style w:type="character" w:customStyle="1" w:styleId="BodyText3Char">
    <w:name w:val="Body Text 3 Char"/>
    <w:basedOn w:val="DefaultParagraphFont"/>
    <w:link w:val="BodyText3"/>
    <w:rsid w:val="00A770A7"/>
    <w:rPr>
      <w:sz w:val="16"/>
      <w:lang w:val="fr-FR" w:eastAsia="en-US"/>
    </w:rPr>
  </w:style>
  <w:style w:type="character" w:customStyle="1" w:styleId="BodyTextFirstIndentChar">
    <w:name w:val="Body Text First Indent Char"/>
    <w:basedOn w:val="BodyTextChar"/>
    <w:link w:val="BodyTextFirstIndent"/>
    <w:rsid w:val="00A770A7"/>
    <w:rPr>
      <w:sz w:val="24"/>
      <w:lang w:val="fr-FR" w:eastAsia="en-US"/>
    </w:rPr>
  </w:style>
  <w:style w:type="character" w:customStyle="1" w:styleId="BodyTextIndentChar">
    <w:name w:val="Body Text Indent Char"/>
    <w:basedOn w:val="DefaultParagraphFont"/>
    <w:link w:val="BodyTextIndent"/>
    <w:rsid w:val="00A770A7"/>
    <w:rPr>
      <w:sz w:val="24"/>
      <w:lang w:val="fr-FR" w:eastAsia="en-US"/>
    </w:rPr>
  </w:style>
  <w:style w:type="character" w:customStyle="1" w:styleId="BodyTextFirstIndent2Char">
    <w:name w:val="Body Text First Indent 2 Char"/>
    <w:basedOn w:val="BodyTextIndentChar"/>
    <w:link w:val="BodyTextFirstIndent2"/>
    <w:rsid w:val="00A770A7"/>
    <w:rPr>
      <w:sz w:val="24"/>
      <w:lang w:val="fr-FR" w:eastAsia="en-US"/>
    </w:rPr>
  </w:style>
  <w:style w:type="character" w:customStyle="1" w:styleId="BodyTextIndent2Char">
    <w:name w:val="Body Text Indent 2 Char"/>
    <w:basedOn w:val="DefaultParagraphFont"/>
    <w:link w:val="BodyTextIndent2"/>
    <w:rsid w:val="00A770A7"/>
    <w:rPr>
      <w:sz w:val="24"/>
      <w:lang w:val="fr-FR" w:eastAsia="en-US"/>
    </w:rPr>
  </w:style>
  <w:style w:type="character" w:customStyle="1" w:styleId="BodyTextIndent3Char">
    <w:name w:val="Body Text Indent 3 Char"/>
    <w:basedOn w:val="DefaultParagraphFont"/>
    <w:link w:val="BodyTextIndent3"/>
    <w:rsid w:val="00A770A7"/>
    <w:rPr>
      <w:sz w:val="16"/>
      <w:lang w:val="fr-FR" w:eastAsia="en-US"/>
    </w:rPr>
  </w:style>
  <w:style w:type="character" w:customStyle="1" w:styleId="ClosingChar">
    <w:name w:val="Closing Char"/>
    <w:basedOn w:val="DefaultParagraphFont"/>
    <w:link w:val="Closing"/>
    <w:rsid w:val="00A770A7"/>
    <w:rPr>
      <w:sz w:val="24"/>
      <w:lang w:val="fr-FR" w:eastAsia="en-US"/>
    </w:rPr>
  </w:style>
  <w:style w:type="character" w:customStyle="1" w:styleId="DateChar">
    <w:name w:val="Date Char"/>
    <w:basedOn w:val="DefaultParagraphFont"/>
    <w:link w:val="Date"/>
    <w:rsid w:val="00A770A7"/>
    <w:rPr>
      <w:sz w:val="24"/>
      <w:lang w:val="fr-FR" w:eastAsia="en-US"/>
    </w:rPr>
  </w:style>
  <w:style w:type="character" w:customStyle="1" w:styleId="DocumentMapChar">
    <w:name w:val="Document Map Char"/>
    <w:basedOn w:val="DefaultParagraphFont"/>
    <w:link w:val="DocumentMap"/>
    <w:semiHidden/>
    <w:rsid w:val="00A770A7"/>
    <w:rPr>
      <w:rFonts w:ascii="Tahoma" w:hAnsi="Tahoma"/>
      <w:sz w:val="24"/>
      <w:shd w:val="clear" w:color="auto" w:fill="000080"/>
      <w:lang w:val="fr-FR" w:eastAsia="en-US"/>
    </w:rPr>
  </w:style>
  <w:style w:type="character" w:customStyle="1" w:styleId="MacroTextChar">
    <w:name w:val="Macro Text Char"/>
    <w:basedOn w:val="DefaultParagraphFont"/>
    <w:link w:val="MacroText"/>
    <w:semiHidden/>
    <w:rsid w:val="00A770A7"/>
    <w:rPr>
      <w:rFonts w:ascii="Courier New" w:hAnsi="Courier New"/>
      <w:lang w:val="en-GB" w:eastAsia="en-US"/>
    </w:rPr>
  </w:style>
  <w:style w:type="character" w:customStyle="1" w:styleId="MessageHeaderChar">
    <w:name w:val="Message Header Char"/>
    <w:basedOn w:val="DefaultParagraphFont"/>
    <w:link w:val="MessageHeader"/>
    <w:rsid w:val="00A770A7"/>
    <w:rPr>
      <w:rFonts w:ascii="Arial" w:hAnsi="Arial"/>
      <w:sz w:val="24"/>
      <w:shd w:val="pct20" w:color="auto" w:fill="auto"/>
      <w:lang w:val="fr-FR" w:eastAsia="en-US"/>
    </w:rPr>
  </w:style>
  <w:style w:type="character" w:customStyle="1" w:styleId="NoteHeadingChar">
    <w:name w:val="Note Heading Char"/>
    <w:basedOn w:val="DefaultParagraphFont"/>
    <w:link w:val="NoteHeading"/>
    <w:rsid w:val="00A770A7"/>
    <w:rPr>
      <w:sz w:val="24"/>
      <w:lang w:val="fr-FR" w:eastAsia="en-US"/>
    </w:rPr>
  </w:style>
  <w:style w:type="character" w:customStyle="1" w:styleId="PlainTextChar">
    <w:name w:val="Plain Text Char"/>
    <w:basedOn w:val="DefaultParagraphFont"/>
    <w:link w:val="PlainText"/>
    <w:rsid w:val="00A770A7"/>
    <w:rPr>
      <w:rFonts w:ascii="Courier New" w:hAnsi="Courier New"/>
      <w:lang w:val="fr-FR" w:eastAsia="en-US"/>
    </w:rPr>
  </w:style>
  <w:style w:type="character" w:customStyle="1" w:styleId="SalutationChar">
    <w:name w:val="Salutation Char"/>
    <w:basedOn w:val="DefaultParagraphFont"/>
    <w:link w:val="Salutation"/>
    <w:rsid w:val="00A770A7"/>
    <w:rPr>
      <w:sz w:val="24"/>
      <w:lang w:val="fr-FR" w:eastAsia="en-US"/>
    </w:rPr>
  </w:style>
  <w:style w:type="character" w:customStyle="1" w:styleId="SignatureChar">
    <w:name w:val="Signature Char"/>
    <w:basedOn w:val="DefaultParagraphFont"/>
    <w:link w:val="Signature"/>
    <w:rsid w:val="00A770A7"/>
    <w:rPr>
      <w:sz w:val="24"/>
      <w:lang w:val="fr-FR" w:eastAsia="en-US"/>
    </w:rPr>
  </w:style>
  <w:style w:type="character" w:customStyle="1" w:styleId="SubtitleChar">
    <w:name w:val="Subtitle Char"/>
    <w:basedOn w:val="DefaultParagraphFont"/>
    <w:link w:val="Subtitle"/>
    <w:rsid w:val="00A770A7"/>
    <w:rPr>
      <w:rFonts w:ascii="Arial" w:hAnsi="Arial"/>
      <w:sz w:val="24"/>
      <w:lang w:val="fr-FR" w:eastAsia="en-US"/>
    </w:rPr>
  </w:style>
  <w:style w:type="character" w:customStyle="1" w:styleId="TitleChar">
    <w:name w:val="Title Char"/>
    <w:basedOn w:val="DefaultParagraphFont"/>
    <w:link w:val="Title"/>
    <w:rsid w:val="00A770A7"/>
    <w:rPr>
      <w:b/>
      <w:kern w:val="28"/>
      <w:sz w:val="48"/>
      <w:lang w:val="fr-FR" w:eastAsia="en-US"/>
    </w:rPr>
  </w:style>
  <w:style w:type="character" w:styleId="Strong">
    <w:name w:val="Strong"/>
    <w:basedOn w:val="DefaultParagraphFont"/>
    <w:uiPriority w:val="22"/>
    <w:qFormat/>
    <w:rsid w:val="006E614E"/>
    <w:rPr>
      <w:b/>
      <w:bCs/>
    </w:rPr>
  </w:style>
  <w:style w:type="character" w:styleId="PlaceholderText">
    <w:name w:val="Placeholder Text"/>
    <w:basedOn w:val="DefaultParagraphFont"/>
    <w:uiPriority w:val="99"/>
    <w:semiHidden/>
    <w:rsid w:val="00DA6DC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qFormat="1"/>
    <w:lsdException w:name="annotation text" w:uiPriority="99"/>
    <w:lsdException w:name="header" w:uiPriority="99"/>
    <w:lsdException w:name="footer"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69"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61D0A"/>
    <w:pPr>
      <w:spacing w:after="240"/>
      <w:jc w:val="both"/>
    </w:pPr>
    <w:rPr>
      <w:sz w:val="24"/>
      <w:lang w:val="en-GB" w:eastAsia="en-US"/>
    </w:rPr>
  </w:style>
  <w:style w:type="paragraph" w:styleId="Heading1">
    <w:name w:val="heading 1"/>
    <w:basedOn w:val="Normal"/>
    <w:next w:val="Text1"/>
    <w:link w:val="Heading1Char"/>
    <w:qFormat/>
    <w:rsid w:val="00577EC6"/>
    <w:pPr>
      <w:keepNext/>
      <w:numPr>
        <w:numId w:val="3"/>
      </w:numPr>
      <w:spacing w:before="240"/>
      <w:outlineLvl w:val="0"/>
    </w:pPr>
    <w:rPr>
      <w:b/>
      <w:smallCaps/>
    </w:rPr>
  </w:style>
  <w:style w:type="paragraph" w:styleId="Heading2">
    <w:name w:val="heading 2"/>
    <w:basedOn w:val="Normal"/>
    <w:next w:val="Text2"/>
    <w:link w:val="Heading2Char"/>
    <w:rsid w:val="00577EC6"/>
    <w:pPr>
      <w:keepNext/>
      <w:numPr>
        <w:ilvl w:val="1"/>
        <w:numId w:val="3"/>
      </w:numPr>
      <w:outlineLvl w:val="1"/>
    </w:pPr>
    <w:rPr>
      <w:b/>
    </w:rPr>
  </w:style>
  <w:style w:type="paragraph" w:styleId="Heading3">
    <w:name w:val="heading 3"/>
    <w:basedOn w:val="Normal"/>
    <w:next w:val="Text3"/>
    <w:link w:val="Heading3Char"/>
    <w:rsid w:val="00577EC6"/>
    <w:pPr>
      <w:keepNext/>
      <w:numPr>
        <w:ilvl w:val="2"/>
        <w:numId w:val="3"/>
      </w:numPr>
      <w:outlineLvl w:val="2"/>
    </w:pPr>
    <w:rPr>
      <w:i/>
    </w:rPr>
  </w:style>
  <w:style w:type="paragraph" w:styleId="Heading4">
    <w:name w:val="heading 4"/>
    <w:basedOn w:val="Normal"/>
    <w:next w:val="Text4"/>
    <w:link w:val="Heading4Char"/>
    <w:rsid w:val="00577EC6"/>
    <w:pPr>
      <w:keepNext/>
      <w:numPr>
        <w:ilvl w:val="3"/>
        <w:numId w:val="3"/>
      </w:numPr>
      <w:outlineLvl w:val="3"/>
    </w:pPr>
  </w:style>
  <w:style w:type="paragraph" w:styleId="Heading5">
    <w:name w:val="heading 5"/>
    <w:basedOn w:val="Normal"/>
    <w:next w:val="Normal"/>
    <w:link w:val="Heading5Char"/>
    <w:rsid w:val="00461D0A"/>
    <w:pPr>
      <w:tabs>
        <w:tab w:val="num" w:pos="0"/>
      </w:tabs>
      <w:spacing w:before="240" w:after="60"/>
      <w:outlineLvl w:val="4"/>
    </w:pPr>
    <w:rPr>
      <w:rFonts w:ascii="Arial" w:hAnsi="Arial"/>
      <w:sz w:val="22"/>
    </w:rPr>
  </w:style>
  <w:style w:type="paragraph" w:styleId="Heading6">
    <w:name w:val="heading 6"/>
    <w:basedOn w:val="Normal"/>
    <w:next w:val="Normal"/>
    <w:link w:val="Heading6Char"/>
    <w:rsid w:val="00461D0A"/>
    <w:pPr>
      <w:tabs>
        <w:tab w:val="num" w:pos="0"/>
      </w:tabs>
      <w:spacing w:before="240" w:after="60"/>
      <w:outlineLvl w:val="5"/>
    </w:pPr>
    <w:rPr>
      <w:rFonts w:ascii="Arial" w:hAnsi="Arial"/>
      <w:i/>
      <w:sz w:val="22"/>
    </w:rPr>
  </w:style>
  <w:style w:type="paragraph" w:styleId="Heading7">
    <w:name w:val="heading 7"/>
    <w:basedOn w:val="Normal"/>
    <w:next w:val="Normal"/>
    <w:link w:val="Heading7Char"/>
    <w:rsid w:val="00461D0A"/>
    <w:pPr>
      <w:tabs>
        <w:tab w:val="num" w:pos="0"/>
      </w:tabs>
      <w:spacing w:before="240" w:after="60"/>
      <w:outlineLvl w:val="6"/>
    </w:pPr>
    <w:rPr>
      <w:rFonts w:ascii="Arial" w:hAnsi="Arial"/>
      <w:sz w:val="20"/>
    </w:rPr>
  </w:style>
  <w:style w:type="paragraph" w:styleId="Heading8">
    <w:name w:val="heading 8"/>
    <w:basedOn w:val="Normal"/>
    <w:next w:val="Normal"/>
    <w:link w:val="Heading8Char"/>
    <w:rsid w:val="00461D0A"/>
    <w:pPr>
      <w:tabs>
        <w:tab w:val="num" w:pos="0"/>
      </w:tabs>
      <w:spacing w:before="240" w:after="60"/>
      <w:outlineLvl w:val="7"/>
    </w:pPr>
    <w:rPr>
      <w:rFonts w:ascii="Arial" w:hAnsi="Arial"/>
      <w:i/>
      <w:sz w:val="20"/>
    </w:rPr>
  </w:style>
  <w:style w:type="paragraph" w:styleId="Heading9">
    <w:name w:val="heading 9"/>
    <w:basedOn w:val="Normal"/>
    <w:next w:val="Normal"/>
    <w:link w:val="Heading9Char"/>
    <w:rsid w:val="00461D0A"/>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461D0A"/>
    <w:pPr>
      <w:ind w:left="482"/>
    </w:pPr>
  </w:style>
  <w:style w:type="paragraph" w:customStyle="1" w:styleId="Text2">
    <w:name w:val="Text 2"/>
    <w:basedOn w:val="Normal"/>
    <w:rsid w:val="00461D0A"/>
    <w:pPr>
      <w:tabs>
        <w:tab w:val="left" w:pos="2302"/>
      </w:tabs>
      <w:ind w:left="1202"/>
    </w:pPr>
  </w:style>
  <w:style w:type="paragraph" w:customStyle="1" w:styleId="Text3">
    <w:name w:val="Text 3"/>
    <w:basedOn w:val="Normal"/>
    <w:rsid w:val="00461D0A"/>
    <w:pPr>
      <w:tabs>
        <w:tab w:val="left" w:pos="2302"/>
      </w:tabs>
      <w:ind w:left="1202"/>
    </w:pPr>
  </w:style>
  <w:style w:type="paragraph" w:customStyle="1" w:styleId="Text4">
    <w:name w:val="Text 4"/>
    <w:basedOn w:val="Normal"/>
    <w:rsid w:val="00461D0A"/>
    <w:pPr>
      <w:tabs>
        <w:tab w:val="left" w:pos="2302"/>
      </w:tabs>
      <w:ind w:left="1202"/>
    </w:pPr>
  </w:style>
  <w:style w:type="paragraph" w:customStyle="1" w:styleId="Address">
    <w:name w:val="Address"/>
    <w:basedOn w:val="Normal"/>
    <w:rsid w:val="00461D0A"/>
    <w:pPr>
      <w:spacing w:after="0"/>
      <w:jc w:val="left"/>
    </w:pPr>
  </w:style>
  <w:style w:type="paragraph" w:customStyle="1" w:styleId="AddressTL">
    <w:name w:val="AddressTL"/>
    <w:basedOn w:val="Normal"/>
    <w:next w:val="Normal"/>
    <w:rsid w:val="00461D0A"/>
    <w:pPr>
      <w:spacing w:after="720"/>
      <w:jc w:val="left"/>
    </w:pPr>
  </w:style>
  <w:style w:type="paragraph" w:customStyle="1" w:styleId="AddressTR">
    <w:name w:val="AddressTR"/>
    <w:basedOn w:val="Normal"/>
    <w:next w:val="Normal"/>
    <w:rsid w:val="00461D0A"/>
    <w:pPr>
      <w:spacing w:after="720"/>
      <w:ind w:left="5103"/>
      <w:jc w:val="left"/>
    </w:pPr>
  </w:style>
  <w:style w:type="paragraph" w:styleId="BlockText">
    <w:name w:val="Block Text"/>
    <w:basedOn w:val="Normal"/>
    <w:rsid w:val="00461D0A"/>
    <w:pPr>
      <w:spacing w:after="120"/>
      <w:ind w:left="1440" w:right="1440"/>
    </w:pPr>
  </w:style>
  <w:style w:type="paragraph" w:styleId="BodyText">
    <w:name w:val="Body Text"/>
    <w:basedOn w:val="Normal"/>
    <w:link w:val="BodyTextChar"/>
    <w:rsid w:val="00461D0A"/>
    <w:pPr>
      <w:spacing w:after="120"/>
    </w:pPr>
  </w:style>
  <w:style w:type="paragraph" w:styleId="BodyText2">
    <w:name w:val="Body Text 2"/>
    <w:basedOn w:val="Normal"/>
    <w:link w:val="BodyText2Char"/>
    <w:rsid w:val="00461D0A"/>
    <w:pPr>
      <w:spacing w:after="120" w:line="480" w:lineRule="auto"/>
    </w:pPr>
  </w:style>
  <w:style w:type="paragraph" w:styleId="BodyText3">
    <w:name w:val="Body Text 3"/>
    <w:basedOn w:val="Normal"/>
    <w:link w:val="BodyText3Char"/>
    <w:rsid w:val="00461D0A"/>
    <w:pPr>
      <w:spacing w:after="120"/>
    </w:pPr>
    <w:rPr>
      <w:sz w:val="16"/>
    </w:rPr>
  </w:style>
  <w:style w:type="paragraph" w:styleId="BodyTextFirstIndent">
    <w:name w:val="Body Text First Indent"/>
    <w:basedOn w:val="BodyText"/>
    <w:link w:val="BodyTextFirstIndentChar"/>
    <w:rsid w:val="00461D0A"/>
    <w:pPr>
      <w:ind w:firstLine="210"/>
    </w:pPr>
  </w:style>
  <w:style w:type="paragraph" w:styleId="BodyTextIndent">
    <w:name w:val="Body Text Indent"/>
    <w:basedOn w:val="Normal"/>
    <w:link w:val="BodyTextIndentChar"/>
    <w:rsid w:val="00461D0A"/>
    <w:pPr>
      <w:spacing w:after="120"/>
      <w:ind w:left="283"/>
    </w:pPr>
  </w:style>
  <w:style w:type="paragraph" w:styleId="BodyTextFirstIndent2">
    <w:name w:val="Body Text First Indent 2"/>
    <w:basedOn w:val="BodyTextIndent"/>
    <w:link w:val="BodyTextFirstIndent2Char"/>
    <w:rsid w:val="00461D0A"/>
    <w:pPr>
      <w:ind w:firstLine="210"/>
    </w:pPr>
  </w:style>
  <w:style w:type="paragraph" w:styleId="BodyTextIndent2">
    <w:name w:val="Body Text Indent 2"/>
    <w:basedOn w:val="Normal"/>
    <w:link w:val="BodyTextIndent2Char"/>
    <w:rsid w:val="00461D0A"/>
    <w:pPr>
      <w:spacing w:after="120" w:line="480" w:lineRule="auto"/>
      <w:ind w:left="283"/>
    </w:pPr>
  </w:style>
  <w:style w:type="paragraph" w:styleId="BodyTextIndent3">
    <w:name w:val="Body Text Indent 3"/>
    <w:basedOn w:val="Normal"/>
    <w:link w:val="BodyTextIndent3Char"/>
    <w:rsid w:val="00461D0A"/>
    <w:pPr>
      <w:spacing w:after="120"/>
      <w:ind w:left="283"/>
    </w:pPr>
    <w:rPr>
      <w:sz w:val="16"/>
    </w:rPr>
  </w:style>
  <w:style w:type="paragraph" w:styleId="Caption">
    <w:name w:val="caption"/>
    <w:basedOn w:val="Normal"/>
    <w:next w:val="Normal"/>
    <w:rsid w:val="00461D0A"/>
    <w:pPr>
      <w:spacing w:before="120" w:after="120"/>
    </w:pPr>
    <w:rPr>
      <w:b/>
    </w:rPr>
  </w:style>
  <w:style w:type="paragraph" w:customStyle="1" w:styleId="ChapterTitle">
    <w:name w:val="ChapterTitle"/>
    <w:basedOn w:val="Normal"/>
    <w:next w:val="SectionTitle"/>
    <w:rsid w:val="00461D0A"/>
    <w:pPr>
      <w:keepNext/>
      <w:spacing w:after="480"/>
      <w:jc w:val="center"/>
    </w:pPr>
    <w:rPr>
      <w:b/>
      <w:sz w:val="32"/>
    </w:rPr>
  </w:style>
  <w:style w:type="paragraph" w:customStyle="1" w:styleId="SectionTitle">
    <w:name w:val="SectionTitle"/>
    <w:basedOn w:val="Normal"/>
    <w:next w:val="Heading1"/>
    <w:rsid w:val="00461D0A"/>
    <w:pPr>
      <w:keepNext/>
      <w:spacing w:after="480"/>
      <w:jc w:val="center"/>
    </w:pPr>
    <w:rPr>
      <w:b/>
      <w:smallCaps/>
      <w:sz w:val="28"/>
    </w:rPr>
  </w:style>
  <w:style w:type="paragraph" w:styleId="Closing">
    <w:name w:val="Closing"/>
    <w:basedOn w:val="Normal"/>
    <w:link w:val="ClosingChar"/>
    <w:rsid w:val="00461D0A"/>
    <w:pPr>
      <w:ind w:left="4252"/>
    </w:pPr>
  </w:style>
  <w:style w:type="paragraph" w:styleId="CommentText">
    <w:name w:val="annotation text"/>
    <w:basedOn w:val="Normal"/>
    <w:link w:val="CommentTextChar"/>
    <w:uiPriority w:val="99"/>
    <w:rsid w:val="00461D0A"/>
    <w:rPr>
      <w:sz w:val="20"/>
    </w:rPr>
  </w:style>
  <w:style w:type="paragraph" w:styleId="Date">
    <w:name w:val="Date"/>
    <w:basedOn w:val="Normal"/>
    <w:next w:val="References"/>
    <w:link w:val="DateChar"/>
    <w:rsid w:val="00461D0A"/>
    <w:pPr>
      <w:spacing w:after="0"/>
      <w:ind w:left="5103" w:right="-567"/>
      <w:jc w:val="left"/>
    </w:pPr>
  </w:style>
  <w:style w:type="paragraph" w:customStyle="1" w:styleId="References">
    <w:name w:val="References"/>
    <w:basedOn w:val="Normal"/>
    <w:next w:val="AddressTR"/>
    <w:rsid w:val="00461D0A"/>
    <w:pPr>
      <w:ind w:left="5103"/>
      <w:jc w:val="left"/>
    </w:pPr>
    <w:rPr>
      <w:sz w:val="20"/>
    </w:rPr>
  </w:style>
  <w:style w:type="paragraph" w:styleId="DocumentMap">
    <w:name w:val="Document Map"/>
    <w:basedOn w:val="Normal"/>
    <w:link w:val="DocumentMapChar"/>
    <w:semiHidden/>
    <w:rsid w:val="00461D0A"/>
    <w:pPr>
      <w:shd w:val="clear" w:color="auto" w:fill="000080"/>
    </w:pPr>
    <w:rPr>
      <w:rFonts w:ascii="Tahoma" w:hAnsi="Tahoma"/>
    </w:rPr>
  </w:style>
  <w:style w:type="paragraph" w:customStyle="1" w:styleId="DoubSign">
    <w:name w:val="DoubSign"/>
    <w:basedOn w:val="Normal"/>
    <w:next w:val="Enclosures"/>
    <w:rsid w:val="00461D0A"/>
    <w:pPr>
      <w:tabs>
        <w:tab w:val="left" w:pos="5103"/>
      </w:tabs>
      <w:spacing w:before="1200" w:after="0"/>
      <w:jc w:val="left"/>
    </w:pPr>
  </w:style>
  <w:style w:type="paragraph" w:customStyle="1" w:styleId="Enclosures">
    <w:name w:val="Enclosures"/>
    <w:basedOn w:val="Normal"/>
    <w:rsid w:val="00461D0A"/>
    <w:pPr>
      <w:keepNext/>
      <w:keepLines/>
      <w:tabs>
        <w:tab w:val="left" w:pos="5642"/>
      </w:tabs>
      <w:spacing w:before="480" w:after="0"/>
      <w:ind w:left="1191" w:hanging="1191"/>
      <w:jc w:val="left"/>
    </w:pPr>
  </w:style>
  <w:style w:type="paragraph" w:styleId="EndnoteText">
    <w:name w:val="endnote text"/>
    <w:basedOn w:val="Normal"/>
    <w:link w:val="EndnoteTextChar"/>
    <w:uiPriority w:val="99"/>
    <w:rsid w:val="00461D0A"/>
    <w:rPr>
      <w:sz w:val="20"/>
    </w:rPr>
  </w:style>
  <w:style w:type="paragraph" w:styleId="EnvelopeAddress">
    <w:name w:val="envelope address"/>
    <w:basedOn w:val="Normal"/>
    <w:rsid w:val="00461D0A"/>
    <w:pPr>
      <w:framePr w:w="7920" w:h="1980" w:hRule="exact" w:hSpace="180" w:wrap="auto" w:hAnchor="page" w:xAlign="center" w:yAlign="bottom"/>
      <w:spacing w:after="0"/>
    </w:pPr>
  </w:style>
  <w:style w:type="paragraph" w:styleId="EnvelopeReturn">
    <w:name w:val="envelope return"/>
    <w:basedOn w:val="Normal"/>
    <w:rsid w:val="00461D0A"/>
    <w:pPr>
      <w:spacing w:after="0"/>
    </w:pPr>
    <w:rPr>
      <w:sz w:val="20"/>
    </w:rPr>
  </w:style>
  <w:style w:type="paragraph" w:styleId="Footer">
    <w:name w:val="footer"/>
    <w:basedOn w:val="Normal"/>
    <w:link w:val="FooterChar"/>
    <w:uiPriority w:val="99"/>
    <w:rsid w:val="00461D0A"/>
    <w:pPr>
      <w:spacing w:after="0"/>
      <w:ind w:right="-567"/>
      <w:jc w:val="left"/>
    </w:pPr>
    <w:rPr>
      <w:rFonts w:ascii="Arial" w:hAnsi="Arial"/>
      <w:sz w:val="16"/>
    </w:rPr>
  </w:style>
  <w:style w:type="paragraph" w:styleId="FootnoteText">
    <w:name w:val="footnote text"/>
    <w:aliases w:val="Footnote,Fußnote,C26 Footnote body"/>
    <w:basedOn w:val="Normal"/>
    <w:link w:val="FootnoteTextChar"/>
    <w:rsid w:val="00461D0A"/>
    <w:pPr>
      <w:ind w:left="357" w:hanging="357"/>
    </w:pPr>
    <w:rPr>
      <w:sz w:val="20"/>
    </w:rPr>
  </w:style>
  <w:style w:type="paragraph" w:styleId="Header">
    <w:name w:val="header"/>
    <w:basedOn w:val="Normal"/>
    <w:link w:val="HeaderChar"/>
    <w:uiPriority w:val="99"/>
    <w:rsid w:val="00461D0A"/>
    <w:pPr>
      <w:tabs>
        <w:tab w:val="center" w:pos="4153"/>
        <w:tab w:val="right" w:pos="8306"/>
      </w:tabs>
    </w:pPr>
  </w:style>
  <w:style w:type="paragraph" w:styleId="Index1">
    <w:name w:val="index 1"/>
    <w:basedOn w:val="Normal"/>
    <w:next w:val="Normal"/>
    <w:autoRedefine/>
    <w:semiHidden/>
    <w:rsid w:val="00461D0A"/>
    <w:pPr>
      <w:ind w:left="240" w:hanging="240"/>
    </w:pPr>
  </w:style>
  <w:style w:type="paragraph" w:styleId="Index2">
    <w:name w:val="index 2"/>
    <w:basedOn w:val="Normal"/>
    <w:next w:val="Normal"/>
    <w:autoRedefine/>
    <w:semiHidden/>
    <w:rsid w:val="00461D0A"/>
    <w:pPr>
      <w:ind w:left="480" w:hanging="240"/>
    </w:pPr>
  </w:style>
  <w:style w:type="paragraph" w:styleId="Index3">
    <w:name w:val="index 3"/>
    <w:basedOn w:val="Normal"/>
    <w:next w:val="Normal"/>
    <w:autoRedefine/>
    <w:semiHidden/>
    <w:rsid w:val="00461D0A"/>
    <w:pPr>
      <w:ind w:left="720" w:hanging="240"/>
    </w:pPr>
  </w:style>
  <w:style w:type="paragraph" w:styleId="Index4">
    <w:name w:val="index 4"/>
    <w:basedOn w:val="Normal"/>
    <w:next w:val="Normal"/>
    <w:autoRedefine/>
    <w:semiHidden/>
    <w:rsid w:val="00461D0A"/>
    <w:pPr>
      <w:ind w:left="960" w:hanging="240"/>
    </w:pPr>
  </w:style>
  <w:style w:type="paragraph" w:styleId="Index5">
    <w:name w:val="index 5"/>
    <w:basedOn w:val="Normal"/>
    <w:next w:val="Normal"/>
    <w:autoRedefine/>
    <w:semiHidden/>
    <w:rsid w:val="00461D0A"/>
    <w:pPr>
      <w:ind w:left="1200" w:hanging="240"/>
    </w:pPr>
  </w:style>
  <w:style w:type="paragraph" w:styleId="Index6">
    <w:name w:val="index 6"/>
    <w:basedOn w:val="Normal"/>
    <w:next w:val="Normal"/>
    <w:autoRedefine/>
    <w:semiHidden/>
    <w:rsid w:val="00461D0A"/>
    <w:pPr>
      <w:ind w:left="1440" w:hanging="240"/>
    </w:pPr>
  </w:style>
  <w:style w:type="paragraph" w:styleId="Index7">
    <w:name w:val="index 7"/>
    <w:basedOn w:val="Normal"/>
    <w:next w:val="Normal"/>
    <w:autoRedefine/>
    <w:semiHidden/>
    <w:rsid w:val="00461D0A"/>
    <w:pPr>
      <w:ind w:left="1680" w:hanging="240"/>
    </w:pPr>
  </w:style>
  <w:style w:type="paragraph" w:styleId="Index8">
    <w:name w:val="index 8"/>
    <w:basedOn w:val="Normal"/>
    <w:next w:val="Normal"/>
    <w:autoRedefine/>
    <w:semiHidden/>
    <w:rsid w:val="00461D0A"/>
    <w:pPr>
      <w:ind w:left="1920" w:hanging="240"/>
    </w:pPr>
  </w:style>
  <w:style w:type="paragraph" w:styleId="Index9">
    <w:name w:val="index 9"/>
    <w:basedOn w:val="Normal"/>
    <w:next w:val="Normal"/>
    <w:autoRedefine/>
    <w:semiHidden/>
    <w:rsid w:val="00461D0A"/>
    <w:pPr>
      <w:ind w:left="2160" w:hanging="240"/>
    </w:pPr>
  </w:style>
  <w:style w:type="paragraph" w:styleId="IndexHeading">
    <w:name w:val="index heading"/>
    <w:basedOn w:val="Normal"/>
    <w:next w:val="Index1"/>
    <w:semiHidden/>
    <w:rsid w:val="00461D0A"/>
    <w:rPr>
      <w:rFonts w:ascii="Arial" w:hAnsi="Arial"/>
      <w:b/>
    </w:rPr>
  </w:style>
  <w:style w:type="paragraph" w:styleId="List">
    <w:name w:val="List"/>
    <w:basedOn w:val="Normal"/>
    <w:rsid w:val="00461D0A"/>
    <w:pPr>
      <w:ind w:left="283" w:hanging="283"/>
    </w:pPr>
  </w:style>
  <w:style w:type="paragraph" w:styleId="List2">
    <w:name w:val="List 2"/>
    <w:basedOn w:val="Normal"/>
    <w:rsid w:val="00461D0A"/>
    <w:pPr>
      <w:ind w:left="566" w:hanging="283"/>
    </w:pPr>
  </w:style>
  <w:style w:type="paragraph" w:styleId="List3">
    <w:name w:val="List 3"/>
    <w:basedOn w:val="Normal"/>
    <w:rsid w:val="00461D0A"/>
    <w:pPr>
      <w:ind w:left="849" w:hanging="283"/>
    </w:pPr>
  </w:style>
  <w:style w:type="paragraph" w:styleId="List4">
    <w:name w:val="List 4"/>
    <w:basedOn w:val="Normal"/>
    <w:rsid w:val="00461D0A"/>
    <w:pPr>
      <w:ind w:left="1132" w:hanging="283"/>
    </w:pPr>
  </w:style>
  <w:style w:type="paragraph" w:styleId="List5">
    <w:name w:val="List 5"/>
    <w:basedOn w:val="Normal"/>
    <w:rsid w:val="00461D0A"/>
    <w:pPr>
      <w:ind w:left="1415" w:hanging="283"/>
    </w:pPr>
  </w:style>
  <w:style w:type="paragraph" w:styleId="ListBullet">
    <w:name w:val="List Bullet"/>
    <w:basedOn w:val="Normal"/>
    <w:rsid w:val="00577EC6"/>
    <w:pPr>
      <w:numPr>
        <w:numId w:val="4"/>
      </w:numPr>
    </w:pPr>
  </w:style>
  <w:style w:type="paragraph" w:styleId="ListBullet2">
    <w:name w:val="List Bullet 2"/>
    <w:basedOn w:val="Text2"/>
    <w:link w:val="ListBullet2Char"/>
    <w:rsid w:val="00577EC6"/>
    <w:pPr>
      <w:numPr>
        <w:numId w:val="6"/>
      </w:numPr>
      <w:tabs>
        <w:tab w:val="clear" w:pos="2302"/>
      </w:tabs>
    </w:pPr>
  </w:style>
  <w:style w:type="paragraph" w:styleId="ListBullet3">
    <w:name w:val="List Bullet 3"/>
    <w:basedOn w:val="Text3"/>
    <w:rsid w:val="00577EC6"/>
    <w:pPr>
      <w:numPr>
        <w:numId w:val="7"/>
      </w:numPr>
      <w:tabs>
        <w:tab w:val="clear" w:pos="2302"/>
      </w:tabs>
    </w:pPr>
  </w:style>
  <w:style w:type="paragraph" w:styleId="ListBullet4">
    <w:name w:val="List Bullet 4"/>
    <w:basedOn w:val="Text4"/>
    <w:rsid w:val="00577EC6"/>
    <w:pPr>
      <w:numPr>
        <w:numId w:val="8"/>
      </w:numPr>
      <w:tabs>
        <w:tab w:val="clear" w:pos="2302"/>
      </w:tabs>
    </w:pPr>
  </w:style>
  <w:style w:type="paragraph" w:styleId="ListBullet5">
    <w:name w:val="List Bullet 5"/>
    <w:basedOn w:val="Normal"/>
    <w:autoRedefine/>
    <w:rsid w:val="00577EC6"/>
    <w:pPr>
      <w:numPr>
        <w:numId w:val="1"/>
      </w:numPr>
    </w:pPr>
  </w:style>
  <w:style w:type="paragraph" w:styleId="ListContinue">
    <w:name w:val="List Continue"/>
    <w:basedOn w:val="Normal"/>
    <w:rsid w:val="00461D0A"/>
    <w:pPr>
      <w:spacing w:after="120"/>
      <w:ind w:left="283"/>
    </w:pPr>
  </w:style>
  <w:style w:type="paragraph" w:styleId="ListContinue2">
    <w:name w:val="List Continue 2"/>
    <w:basedOn w:val="Normal"/>
    <w:rsid w:val="00461D0A"/>
    <w:pPr>
      <w:spacing w:after="120"/>
      <w:ind w:left="566"/>
    </w:pPr>
  </w:style>
  <w:style w:type="paragraph" w:styleId="ListContinue3">
    <w:name w:val="List Continue 3"/>
    <w:basedOn w:val="Normal"/>
    <w:rsid w:val="00461D0A"/>
    <w:pPr>
      <w:spacing w:after="120"/>
      <w:ind w:left="849"/>
    </w:pPr>
  </w:style>
  <w:style w:type="paragraph" w:styleId="ListContinue4">
    <w:name w:val="List Continue 4"/>
    <w:basedOn w:val="Normal"/>
    <w:rsid w:val="00461D0A"/>
    <w:pPr>
      <w:spacing w:after="120"/>
      <w:ind w:left="1132"/>
    </w:pPr>
  </w:style>
  <w:style w:type="paragraph" w:styleId="ListContinue5">
    <w:name w:val="List Continue 5"/>
    <w:basedOn w:val="Normal"/>
    <w:rsid w:val="00461D0A"/>
    <w:pPr>
      <w:spacing w:after="120"/>
      <w:ind w:left="1415"/>
    </w:pPr>
  </w:style>
  <w:style w:type="paragraph" w:styleId="ListNumber">
    <w:name w:val="List Number"/>
    <w:basedOn w:val="Normal"/>
    <w:rsid w:val="00577EC6"/>
    <w:pPr>
      <w:numPr>
        <w:numId w:val="14"/>
      </w:numPr>
    </w:pPr>
  </w:style>
  <w:style w:type="paragraph" w:styleId="ListNumber2">
    <w:name w:val="List Number 2"/>
    <w:basedOn w:val="Text2"/>
    <w:rsid w:val="00577EC6"/>
    <w:pPr>
      <w:numPr>
        <w:numId w:val="16"/>
      </w:numPr>
      <w:tabs>
        <w:tab w:val="clear" w:pos="2302"/>
      </w:tabs>
    </w:pPr>
  </w:style>
  <w:style w:type="paragraph" w:styleId="ListNumber3">
    <w:name w:val="List Number 3"/>
    <w:basedOn w:val="Text3"/>
    <w:rsid w:val="00577EC6"/>
    <w:pPr>
      <w:numPr>
        <w:numId w:val="17"/>
      </w:numPr>
      <w:tabs>
        <w:tab w:val="clear" w:pos="2302"/>
      </w:tabs>
    </w:pPr>
  </w:style>
  <w:style w:type="paragraph" w:styleId="ListNumber4">
    <w:name w:val="List Number 4"/>
    <w:basedOn w:val="Text4"/>
    <w:rsid w:val="00577EC6"/>
    <w:pPr>
      <w:numPr>
        <w:numId w:val="18"/>
      </w:numPr>
      <w:tabs>
        <w:tab w:val="clear" w:pos="2302"/>
      </w:tabs>
    </w:pPr>
  </w:style>
  <w:style w:type="paragraph" w:styleId="ListNumber5">
    <w:name w:val="List Number 5"/>
    <w:basedOn w:val="Normal"/>
    <w:rsid w:val="00577EC6"/>
    <w:pPr>
      <w:numPr>
        <w:numId w:val="2"/>
      </w:numPr>
    </w:pPr>
  </w:style>
  <w:style w:type="paragraph" w:styleId="MacroText">
    <w:name w:val="macro"/>
    <w:link w:val="MacroTextChar"/>
    <w:semiHidden/>
    <w:rsid w:val="00461D0A"/>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MessageHeader">
    <w:name w:val="Message Header"/>
    <w:basedOn w:val="Normal"/>
    <w:link w:val="MessageHeaderChar"/>
    <w:rsid w:val="00461D0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rsid w:val="00461D0A"/>
    <w:pPr>
      <w:ind w:left="720"/>
    </w:pPr>
  </w:style>
  <w:style w:type="paragraph" w:styleId="NoteHeading">
    <w:name w:val="Note Heading"/>
    <w:basedOn w:val="Normal"/>
    <w:next w:val="Normal"/>
    <w:link w:val="NoteHeadingChar"/>
    <w:rsid w:val="00461D0A"/>
  </w:style>
  <w:style w:type="paragraph" w:customStyle="1" w:styleId="NoteHead">
    <w:name w:val="NoteHead"/>
    <w:basedOn w:val="Normal"/>
    <w:next w:val="Subject"/>
    <w:rsid w:val="00461D0A"/>
    <w:pPr>
      <w:spacing w:before="720" w:after="720"/>
      <w:jc w:val="center"/>
    </w:pPr>
    <w:rPr>
      <w:b/>
      <w:smallCaps/>
    </w:rPr>
  </w:style>
  <w:style w:type="paragraph" w:customStyle="1" w:styleId="Subject">
    <w:name w:val="Subject"/>
    <w:basedOn w:val="Normal"/>
    <w:next w:val="Normal"/>
    <w:rsid w:val="00461D0A"/>
    <w:pPr>
      <w:spacing w:after="480"/>
      <w:ind w:left="1531" w:hanging="1531"/>
      <w:jc w:val="left"/>
    </w:pPr>
    <w:rPr>
      <w:b/>
    </w:rPr>
  </w:style>
  <w:style w:type="paragraph" w:customStyle="1" w:styleId="NoteList">
    <w:name w:val="NoteList"/>
    <w:basedOn w:val="Normal"/>
    <w:next w:val="Subject"/>
    <w:rsid w:val="00461D0A"/>
    <w:pPr>
      <w:tabs>
        <w:tab w:val="left" w:pos="5823"/>
      </w:tabs>
      <w:spacing w:before="720" w:after="720"/>
      <w:ind w:left="5104" w:hanging="3119"/>
      <w:jc w:val="left"/>
    </w:pPr>
    <w:rPr>
      <w:b/>
      <w:smallCaps/>
    </w:rPr>
  </w:style>
  <w:style w:type="paragraph" w:customStyle="1" w:styleId="NumPar1">
    <w:name w:val="NumPar 1"/>
    <w:basedOn w:val="Heading1"/>
    <w:next w:val="Text1"/>
    <w:rsid w:val="00577EC6"/>
    <w:pPr>
      <w:keepNext w:val="0"/>
      <w:spacing w:before="0"/>
      <w:outlineLvl w:val="9"/>
    </w:pPr>
    <w:rPr>
      <w:b w:val="0"/>
      <w:smallCaps w:val="0"/>
    </w:rPr>
  </w:style>
  <w:style w:type="paragraph" w:customStyle="1" w:styleId="NumPar2">
    <w:name w:val="NumPar 2"/>
    <w:basedOn w:val="Heading2"/>
    <w:next w:val="Text2"/>
    <w:rsid w:val="00577EC6"/>
    <w:pPr>
      <w:keepNext w:val="0"/>
      <w:outlineLvl w:val="9"/>
    </w:pPr>
    <w:rPr>
      <w:b w:val="0"/>
    </w:rPr>
  </w:style>
  <w:style w:type="paragraph" w:customStyle="1" w:styleId="NumPar3">
    <w:name w:val="NumPar 3"/>
    <w:basedOn w:val="Heading3"/>
    <w:next w:val="Text3"/>
    <w:rsid w:val="00577EC6"/>
    <w:pPr>
      <w:keepNext w:val="0"/>
      <w:outlineLvl w:val="9"/>
    </w:pPr>
    <w:rPr>
      <w:i w:val="0"/>
    </w:rPr>
  </w:style>
  <w:style w:type="paragraph" w:customStyle="1" w:styleId="NumPar4">
    <w:name w:val="NumPar 4"/>
    <w:basedOn w:val="Heading4"/>
    <w:next w:val="Text4"/>
    <w:rsid w:val="00577EC6"/>
    <w:pPr>
      <w:keepNext w:val="0"/>
      <w:outlineLvl w:val="9"/>
    </w:pPr>
  </w:style>
  <w:style w:type="paragraph" w:customStyle="1" w:styleId="PartTitle">
    <w:name w:val="PartTitle"/>
    <w:basedOn w:val="Normal"/>
    <w:next w:val="ChapterTitle"/>
    <w:rsid w:val="00461D0A"/>
    <w:pPr>
      <w:keepNext/>
      <w:pageBreakBefore/>
      <w:spacing w:after="480"/>
      <w:jc w:val="center"/>
    </w:pPr>
    <w:rPr>
      <w:b/>
      <w:sz w:val="36"/>
    </w:rPr>
  </w:style>
  <w:style w:type="paragraph" w:styleId="PlainText">
    <w:name w:val="Plain Text"/>
    <w:basedOn w:val="Normal"/>
    <w:link w:val="PlainTextChar"/>
    <w:rsid w:val="00461D0A"/>
    <w:rPr>
      <w:rFonts w:ascii="Courier New" w:hAnsi="Courier New"/>
      <w:sz w:val="20"/>
    </w:rPr>
  </w:style>
  <w:style w:type="paragraph" w:styleId="Salutation">
    <w:name w:val="Salutation"/>
    <w:basedOn w:val="Normal"/>
    <w:next w:val="Normal"/>
    <w:link w:val="SalutationChar"/>
    <w:rsid w:val="00461D0A"/>
  </w:style>
  <w:style w:type="paragraph" w:styleId="Signature">
    <w:name w:val="Signature"/>
    <w:basedOn w:val="Normal"/>
    <w:next w:val="Enclosures"/>
    <w:link w:val="SignatureChar"/>
    <w:rsid w:val="00461D0A"/>
    <w:pPr>
      <w:tabs>
        <w:tab w:val="left" w:pos="5103"/>
      </w:tabs>
      <w:spacing w:before="1200" w:after="0"/>
      <w:ind w:left="5103"/>
      <w:jc w:val="center"/>
    </w:pPr>
  </w:style>
  <w:style w:type="paragraph" w:styleId="Subtitle">
    <w:name w:val="Subtitle"/>
    <w:basedOn w:val="Normal"/>
    <w:link w:val="SubtitleChar"/>
    <w:rsid w:val="00461D0A"/>
    <w:pPr>
      <w:spacing w:after="60"/>
      <w:jc w:val="center"/>
      <w:outlineLvl w:val="1"/>
    </w:pPr>
    <w:rPr>
      <w:rFonts w:ascii="Arial" w:hAnsi="Arial"/>
    </w:rPr>
  </w:style>
  <w:style w:type="paragraph" w:customStyle="1" w:styleId="SubTitle1">
    <w:name w:val="SubTitle 1"/>
    <w:basedOn w:val="Normal"/>
    <w:next w:val="SubTitle2"/>
    <w:rsid w:val="00461D0A"/>
    <w:pPr>
      <w:jc w:val="center"/>
    </w:pPr>
    <w:rPr>
      <w:b/>
      <w:sz w:val="40"/>
    </w:rPr>
  </w:style>
  <w:style w:type="paragraph" w:customStyle="1" w:styleId="SubTitle2">
    <w:name w:val="SubTitle 2"/>
    <w:basedOn w:val="Normal"/>
    <w:rsid w:val="00461D0A"/>
    <w:pPr>
      <w:jc w:val="center"/>
    </w:pPr>
    <w:rPr>
      <w:b/>
      <w:sz w:val="32"/>
    </w:rPr>
  </w:style>
  <w:style w:type="paragraph" w:styleId="TableofAuthorities">
    <w:name w:val="table of authorities"/>
    <w:basedOn w:val="Normal"/>
    <w:next w:val="Normal"/>
    <w:semiHidden/>
    <w:rsid w:val="00461D0A"/>
    <w:pPr>
      <w:ind w:left="240" w:hanging="240"/>
    </w:pPr>
  </w:style>
  <w:style w:type="paragraph" w:styleId="TableofFigures">
    <w:name w:val="table of figures"/>
    <w:basedOn w:val="Normal"/>
    <w:next w:val="Normal"/>
    <w:semiHidden/>
    <w:rsid w:val="00461D0A"/>
    <w:pPr>
      <w:ind w:left="480" w:hanging="480"/>
    </w:pPr>
  </w:style>
  <w:style w:type="paragraph" w:styleId="Title">
    <w:name w:val="Title"/>
    <w:basedOn w:val="Normal"/>
    <w:next w:val="SubTitle1"/>
    <w:link w:val="TitleChar"/>
    <w:rsid w:val="00461D0A"/>
    <w:pPr>
      <w:spacing w:after="480"/>
      <w:jc w:val="center"/>
    </w:pPr>
    <w:rPr>
      <w:b/>
      <w:kern w:val="28"/>
      <w:sz w:val="48"/>
    </w:rPr>
  </w:style>
  <w:style w:type="paragraph" w:styleId="TOAHeading">
    <w:name w:val="toa heading"/>
    <w:basedOn w:val="Normal"/>
    <w:next w:val="Normal"/>
    <w:semiHidden/>
    <w:rsid w:val="00461D0A"/>
    <w:pPr>
      <w:spacing w:before="120"/>
    </w:pPr>
    <w:rPr>
      <w:rFonts w:ascii="Arial" w:hAnsi="Arial"/>
      <w:b/>
    </w:rPr>
  </w:style>
  <w:style w:type="paragraph" w:styleId="TOC1">
    <w:name w:val="toc 1"/>
    <w:basedOn w:val="Normal"/>
    <w:next w:val="Normal"/>
    <w:uiPriority w:val="39"/>
    <w:rsid w:val="001D2A51"/>
    <w:pPr>
      <w:tabs>
        <w:tab w:val="right" w:leader="dot" w:pos="8640"/>
      </w:tabs>
      <w:spacing w:before="120" w:after="120"/>
      <w:ind w:left="482" w:right="720" w:hanging="482"/>
    </w:pPr>
    <w:rPr>
      <w:rFonts w:ascii="Verdana" w:hAnsi="Verdana"/>
      <w:caps/>
      <w:sz w:val="18"/>
    </w:rPr>
  </w:style>
  <w:style w:type="paragraph" w:styleId="TOC2">
    <w:name w:val="toc 2"/>
    <w:basedOn w:val="Normal"/>
    <w:next w:val="Normal"/>
    <w:uiPriority w:val="39"/>
    <w:rsid w:val="001D2A51"/>
    <w:pPr>
      <w:tabs>
        <w:tab w:val="right" w:leader="dot" w:pos="8640"/>
      </w:tabs>
      <w:spacing w:before="60" w:after="60"/>
      <w:ind w:left="1077" w:right="720" w:hanging="595"/>
    </w:pPr>
    <w:rPr>
      <w:rFonts w:ascii="Verdana" w:hAnsi="Verdana"/>
      <w:sz w:val="18"/>
    </w:rPr>
  </w:style>
  <w:style w:type="paragraph" w:styleId="TOC3">
    <w:name w:val="toc 3"/>
    <w:basedOn w:val="Normal"/>
    <w:next w:val="Normal"/>
    <w:uiPriority w:val="39"/>
    <w:semiHidden/>
    <w:qFormat/>
    <w:rsid w:val="00461D0A"/>
    <w:pPr>
      <w:tabs>
        <w:tab w:val="right" w:leader="dot" w:pos="8640"/>
      </w:tabs>
      <w:spacing w:before="60" w:after="60"/>
      <w:ind w:left="1916" w:right="720" w:hanging="839"/>
    </w:pPr>
  </w:style>
  <w:style w:type="paragraph" w:styleId="TOC4">
    <w:name w:val="toc 4"/>
    <w:basedOn w:val="Normal"/>
    <w:next w:val="Normal"/>
    <w:semiHidden/>
    <w:rsid w:val="00461D0A"/>
    <w:pPr>
      <w:tabs>
        <w:tab w:val="right" w:leader="dot" w:pos="8641"/>
      </w:tabs>
      <w:spacing w:before="60" w:after="60"/>
      <w:ind w:left="2880" w:right="720" w:hanging="964"/>
    </w:pPr>
  </w:style>
  <w:style w:type="paragraph" w:styleId="TOC5">
    <w:name w:val="toc 5"/>
    <w:basedOn w:val="Normal"/>
    <w:next w:val="Normal"/>
    <w:semiHidden/>
    <w:rsid w:val="00461D0A"/>
    <w:pPr>
      <w:tabs>
        <w:tab w:val="right" w:leader="dot" w:pos="8641"/>
      </w:tabs>
      <w:spacing w:before="240" w:after="120"/>
      <w:ind w:right="720"/>
    </w:pPr>
    <w:rPr>
      <w:caps/>
    </w:rPr>
  </w:style>
  <w:style w:type="paragraph" w:styleId="TOC6">
    <w:name w:val="toc 6"/>
    <w:basedOn w:val="Normal"/>
    <w:next w:val="Normal"/>
    <w:autoRedefine/>
    <w:semiHidden/>
    <w:rsid w:val="00461D0A"/>
    <w:pPr>
      <w:ind w:left="1200"/>
    </w:pPr>
  </w:style>
  <w:style w:type="paragraph" w:styleId="TOC7">
    <w:name w:val="toc 7"/>
    <w:basedOn w:val="Normal"/>
    <w:next w:val="Normal"/>
    <w:autoRedefine/>
    <w:semiHidden/>
    <w:rsid w:val="00461D0A"/>
    <w:pPr>
      <w:ind w:left="1440"/>
    </w:pPr>
  </w:style>
  <w:style w:type="paragraph" w:styleId="TOC8">
    <w:name w:val="toc 8"/>
    <w:basedOn w:val="Normal"/>
    <w:next w:val="Normal"/>
    <w:autoRedefine/>
    <w:semiHidden/>
    <w:rsid w:val="00461D0A"/>
    <w:pPr>
      <w:ind w:left="1680"/>
    </w:pPr>
  </w:style>
  <w:style w:type="paragraph" w:styleId="TOC9">
    <w:name w:val="toc 9"/>
    <w:basedOn w:val="Normal"/>
    <w:next w:val="Normal"/>
    <w:autoRedefine/>
    <w:semiHidden/>
    <w:rsid w:val="00461D0A"/>
    <w:pPr>
      <w:ind w:left="1920"/>
    </w:pPr>
  </w:style>
  <w:style w:type="paragraph" w:customStyle="1" w:styleId="YReferences">
    <w:name w:val="YReferences"/>
    <w:basedOn w:val="Normal"/>
    <w:next w:val="Normal"/>
    <w:rsid w:val="00461D0A"/>
    <w:pPr>
      <w:spacing w:after="480"/>
      <w:ind w:left="1531" w:hanging="1531"/>
    </w:pPr>
  </w:style>
  <w:style w:type="paragraph" w:customStyle="1" w:styleId="ListBullet1">
    <w:name w:val="List Bullet 1"/>
    <w:basedOn w:val="Text1"/>
    <w:rsid w:val="00577EC6"/>
    <w:pPr>
      <w:numPr>
        <w:numId w:val="5"/>
      </w:numPr>
    </w:pPr>
  </w:style>
  <w:style w:type="paragraph" w:customStyle="1" w:styleId="ListDash">
    <w:name w:val="List Dash"/>
    <w:basedOn w:val="Normal"/>
    <w:rsid w:val="00577EC6"/>
    <w:pPr>
      <w:numPr>
        <w:numId w:val="9"/>
      </w:numPr>
    </w:pPr>
  </w:style>
  <w:style w:type="paragraph" w:customStyle="1" w:styleId="ListDash1">
    <w:name w:val="List Dash 1"/>
    <w:basedOn w:val="Text1"/>
    <w:rsid w:val="00577EC6"/>
    <w:pPr>
      <w:numPr>
        <w:numId w:val="10"/>
      </w:numPr>
    </w:pPr>
  </w:style>
  <w:style w:type="paragraph" w:customStyle="1" w:styleId="ListDash2">
    <w:name w:val="List Dash 2"/>
    <w:basedOn w:val="Text2"/>
    <w:rsid w:val="00577EC6"/>
    <w:pPr>
      <w:numPr>
        <w:numId w:val="11"/>
      </w:numPr>
      <w:tabs>
        <w:tab w:val="clear" w:pos="2302"/>
      </w:tabs>
    </w:pPr>
  </w:style>
  <w:style w:type="paragraph" w:customStyle="1" w:styleId="ListDash3">
    <w:name w:val="List Dash 3"/>
    <w:basedOn w:val="Text3"/>
    <w:rsid w:val="00577EC6"/>
    <w:pPr>
      <w:numPr>
        <w:numId w:val="12"/>
      </w:numPr>
      <w:tabs>
        <w:tab w:val="clear" w:pos="2302"/>
      </w:tabs>
    </w:pPr>
  </w:style>
  <w:style w:type="paragraph" w:customStyle="1" w:styleId="ListDash4">
    <w:name w:val="List Dash 4"/>
    <w:basedOn w:val="Text4"/>
    <w:rsid w:val="00577EC6"/>
    <w:pPr>
      <w:numPr>
        <w:numId w:val="13"/>
      </w:numPr>
      <w:tabs>
        <w:tab w:val="clear" w:pos="2302"/>
      </w:tabs>
    </w:pPr>
  </w:style>
  <w:style w:type="paragraph" w:customStyle="1" w:styleId="ListNumberLevel2">
    <w:name w:val="List Number (Level 2)"/>
    <w:basedOn w:val="Normal"/>
    <w:rsid w:val="00577EC6"/>
    <w:pPr>
      <w:numPr>
        <w:ilvl w:val="1"/>
        <w:numId w:val="14"/>
      </w:numPr>
    </w:pPr>
  </w:style>
  <w:style w:type="paragraph" w:customStyle="1" w:styleId="ListNumberLevel3">
    <w:name w:val="List Number (Level 3)"/>
    <w:basedOn w:val="Normal"/>
    <w:rsid w:val="00577EC6"/>
    <w:pPr>
      <w:numPr>
        <w:ilvl w:val="2"/>
        <w:numId w:val="14"/>
      </w:numPr>
    </w:pPr>
  </w:style>
  <w:style w:type="paragraph" w:customStyle="1" w:styleId="ListNumberLevel4">
    <w:name w:val="List Number (Level 4)"/>
    <w:basedOn w:val="Normal"/>
    <w:rsid w:val="00577EC6"/>
    <w:pPr>
      <w:numPr>
        <w:ilvl w:val="3"/>
        <w:numId w:val="14"/>
      </w:numPr>
    </w:pPr>
  </w:style>
  <w:style w:type="paragraph" w:customStyle="1" w:styleId="ListNumber1">
    <w:name w:val="List Number 1"/>
    <w:basedOn w:val="Text1"/>
    <w:rsid w:val="00577EC6"/>
    <w:pPr>
      <w:numPr>
        <w:numId w:val="15"/>
      </w:numPr>
    </w:pPr>
  </w:style>
  <w:style w:type="paragraph" w:customStyle="1" w:styleId="ListNumber1Level2">
    <w:name w:val="List Number 1 (Level 2)"/>
    <w:basedOn w:val="Text1"/>
    <w:rsid w:val="00577EC6"/>
    <w:pPr>
      <w:numPr>
        <w:ilvl w:val="1"/>
        <w:numId w:val="15"/>
      </w:numPr>
    </w:pPr>
  </w:style>
  <w:style w:type="paragraph" w:customStyle="1" w:styleId="ListNumber1Level3">
    <w:name w:val="List Number 1 (Level 3)"/>
    <w:basedOn w:val="Text1"/>
    <w:rsid w:val="00577EC6"/>
    <w:pPr>
      <w:numPr>
        <w:ilvl w:val="2"/>
        <w:numId w:val="15"/>
      </w:numPr>
    </w:pPr>
  </w:style>
  <w:style w:type="paragraph" w:customStyle="1" w:styleId="ListNumber1Level4">
    <w:name w:val="List Number 1 (Level 4)"/>
    <w:basedOn w:val="Text1"/>
    <w:rsid w:val="00577EC6"/>
    <w:pPr>
      <w:numPr>
        <w:ilvl w:val="3"/>
        <w:numId w:val="15"/>
      </w:numPr>
    </w:pPr>
  </w:style>
  <w:style w:type="paragraph" w:customStyle="1" w:styleId="ListNumber2Level2">
    <w:name w:val="List Number 2 (Level 2)"/>
    <w:basedOn w:val="Text2"/>
    <w:rsid w:val="00577EC6"/>
    <w:pPr>
      <w:numPr>
        <w:ilvl w:val="1"/>
        <w:numId w:val="16"/>
      </w:numPr>
      <w:tabs>
        <w:tab w:val="clear" w:pos="2302"/>
      </w:tabs>
    </w:pPr>
  </w:style>
  <w:style w:type="paragraph" w:customStyle="1" w:styleId="ListNumber2Level3">
    <w:name w:val="List Number 2 (Level 3)"/>
    <w:basedOn w:val="Text2"/>
    <w:rsid w:val="00577EC6"/>
    <w:pPr>
      <w:numPr>
        <w:ilvl w:val="2"/>
        <w:numId w:val="16"/>
      </w:numPr>
      <w:tabs>
        <w:tab w:val="clear" w:pos="2302"/>
      </w:tabs>
    </w:pPr>
  </w:style>
  <w:style w:type="paragraph" w:customStyle="1" w:styleId="ListNumber2Level4">
    <w:name w:val="List Number 2 (Level 4)"/>
    <w:basedOn w:val="Text2"/>
    <w:rsid w:val="00577EC6"/>
    <w:pPr>
      <w:numPr>
        <w:ilvl w:val="3"/>
        <w:numId w:val="16"/>
      </w:numPr>
      <w:tabs>
        <w:tab w:val="clear" w:pos="2302"/>
      </w:tabs>
    </w:pPr>
  </w:style>
  <w:style w:type="paragraph" w:customStyle="1" w:styleId="ListNumber3Level2">
    <w:name w:val="List Number 3 (Level 2)"/>
    <w:basedOn w:val="Text3"/>
    <w:rsid w:val="00577EC6"/>
    <w:pPr>
      <w:numPr>
        <w:ilvl w:val="1"/>
        <w:numId w:val="17"/>
      </w:numPr>
      <w:tabs>
        <w:tab w:val="clear" w:pos="2302"/>
      </w:tabs>
    </w:pPr>
  </w:style>
  <w:style w:type="paragraph" w:customStyle="1" w:styleId="ListNumber3Level3">
    <w:name w:val="List Number 3 (Level 3)"/>
    <w:basedOn w:val="Text3"/>
    <w:rsid w:val="00577EC6"/>
    <w:pPr>
      <w:numPr>
        <w:ilvl w:val="2"/>
        <w:numId w:val="17"/>
      </w:numPr>
      <w:tabs>
        <w:tab w:val="clear" w:pos="2302"/>
      </w:tabs>
    </w:pPr>
  </w:style>
  <w:style w:type="paragraph" w:customStyle="1" w:styleId="ListNumber3Level4">
    <w:name w:val="List Number 3 (Level 4)"/>
    <w:basedOn w:val="Text3"/>
    <w:rsid w:val="00577EC6"/>
    <w:pPr>
      <w:numPr>
        <w:ilvl w:val="3"/>
        <w:numId w:val="17"/>
      </w:numPr>
      <w:tabs>
        <w:tab w:val="clear" w:pos="2302"/>
      </w:tabs>
    </w:pPr>
  </w:style>
  <w:style w:type="paragraph" w:customStyle="1" w:styleId="ListNumber4Level2">
    <w:name w:val="List Number 4 (Level 2)"/>
    <w:basedOn w:val="Text4"/>
    <w:rsid w:val="00577EC6"/>
    <w:pPr>
      <w:numPr>
        <w:ilvl w:val="1"/>
        <w:numId w:val="18"/>
      </w:numPr>
      <w:tabs>
        <w:tab w:val="clear" w:pos="2302"/>
      </w:tabs>
    </w:pPr>
  </w:style>
  <w:style w:type="paragraph" w:customStyle="1" w:styleId="ListNumber4Level3">
    <w:name w:val="List Number 4 (Level 3)"/>
    <w:basedOn w:val="Text4"/>
    <w:rsid w:val="00577EC6"/>
    <w:pPr>
      <w:numPr>
        <w:ilvl w:val="2"/>
        <w:numId w:val="18"/>
      </w:numPr>
      <w:tabs>
        <w:tab w:val="clear" w:pos="2302"/>
      </w:tabs>
    </w:pPr>
  </w:style>
  <w:style w:type="paragraph" w:customStyle="1" w:styleId="ListNumber4Level4">
    <w:name w:val="List Number 4 (Level 4)"/>
    <w:basedOn w:val="Text4"/>
    <w:rsid w:val="00577EC6"/>
    <w:pPr>
      <w:numPr>
        <w:ilvl w:val="3"/>
        <w:numId w:val="18"/>
      </w:numPr>
      <w:tabs>
        <w:tab w:val="clear" w:pos="2302"/>
      </w:tabs>
    </w:pPr>
  </w:style>
  <w:style w:type="paragraph" w:customStyle="1" w:styleId="TOCHeading1">
    <w:name w:val="TOC Heading1"/>
    <w:basedOn w:val="Normal"/>
    <w:next w:val="Normal"/>
    <w:rsid w:val="00461D0A"/>
    <w:pPr>
      <w:keepNext/>
      <w:spacing w:before="240"/>
      <w:jc w:val="center"/>
    </w:pPr>
    <w:rPr>
      <w:b/>
    </w:rPr>
  </w:style>
  <w:style w:type="paragraph" w:customStyle="1" w:styleId="Contact">
    <w:name w:val="Contact"/>
    <w:basedOn w:val="Normal"/>
    <w:next w:val="Normal"/>
    <w:rsid w:val="00461D0A"/>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uiPriority w:val="99"/>
    <w:rsid w:val="006914AD"/>
    <w:rPr>
      <w:color w:val="0000FF"/>
      <w:u w:val="single"/>
    </w:rPr>
  </w:style>
  <w:style w:type="character" w:styleId="FootnoteReference">
    <w:name w:val="footnote reference"/>
    <w:aliases w:val="Footnote Reference Number,Footnote Reference_LVL6,C26 Footnote Number,Footnote Reference_LVL61,Footnote Reference_LVL62,Footnote Reference_LVL63,Footnote Reference_LVL64"/>
    <w:rsid w:val="00CD08CF"/>
    <w:rPr>
      <w:vertAlign w:val="superscript"/>
    </w:rPr>
  </w:style>
  <w:style w:type="table" w:styleId="ColorfulGrid-Accent3">
    <w:name w:val="Colorful Grid Accent 3"/>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Tms Rmn" w:hAnsi="Tms Rmn"/>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
    <w:uiPriority w:val="99"/>
    <w:semiHidden/>
    <w:rsid w:val="00E52A1D"/>
    <w:rPr>
      <w:rFonts w:ascii="Tahoma" w:hAnsi="Tahoma" w:cs="Tahoma"/>
      <w:sz w:val="16"/>
      <w:szCs w:val="16"/>
    </w:rPr>
  </w:style>
  <w:style w:type="paragraph" w:customStyle="1" w:styleId="DocumentTitle">
    <w:name w:val="Document Title"/>
    <w:basedOn w:val="Normal"/>
    <w:link w:val="DocumentTitleChar"/>
    <w:qFormat/>
    <w:rsid w:val="001E6AC6"/>
    <w:pPr>
      <w:jc w:val="center"/>
    </w:pPr>
    <w:rPr>
      <w:rFonts w:ascii="Verdana" w:hAnsi="Verdana"/>
      <w:b/>
      <w:sz w:val="52"/>
    </w:rPr>
  </w:style>
  <w:style w:type="paragraph" w:customStyle="1" w:styleId="Footerapproval">
    <w:name w:val="Footer approval"/>
    <w:basedOn w:val="Footer"/>
    <w:link w:val="ApprovalfooterChar"/>
    <w:qFormat/>
    <w:rsid w:val="00ED7D13"/>
    <w:pPr>
      <w:tabs>
        <w:tab w:val="left" w:pos="6804"/>
      </w:tabs>
    </w:pPr>
    <w:rPr>
      <w:rFonts w:ascii="Verdana" w:hAnsi="Verdana"/>
      <w:sz w:val="13"/>
      <w:lang w:val="fr-BE"/>
    </w:rPr>
  </w:style>
  <w:style w:type="character" w:customStyle="1" w:styleId="DocumentTitleChar">
    <w:name w:val="Document Title Char"/>
    <w:link w:val="DocumentTitle"/>
    <w:rsid w:val="001E6AC6"/>
    <w:rPr>
      <w:rFonts w:ascii="Verdana" w:hAnsi="Verdana"/>
      <w:b/>
      <w:sz w:val="52"/>
      <w:lang w:val="fr-FR" w:eastAsia="en-US"/>
    </w:rPr>
  </w:style>
  <w:style w:type="paragraph" w:customStyle="1" w:styleId="FooterDate">
    <w:name w:val="Footer Date"/>
    <w:basedOn w:val="Footer"/>
    <w:link w:val="FooterDateChar"/>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3C7A25"/>
    <w:rPr>
      <w:b w:val="0"/>
      <w:sz w:val="32"/>
      <w:szCs w:val="36"/>
    </w:rPr>
  </w:style>
  <w:style w:type="paragraph" w:customStyle="1" w:styleId="HeaderTitle">
    <w:name w:val="Header Title"/>
    <w:basedOn w:val="Normal"/>
    <w:link w:val="HeaderTitleChar"/>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3C7A25"/>
    <w:rPr>
      <w:rFonts w:ascii="Verdana" w:hAnsi="Verdana"/>
      <w:sz w:val="32"/>
      <w:szCs w:val="36"/>
      <w:lang w:val="en-GB" w:eastAsia="en-US"/>
    </w:rPr>
  </w:style>
  <w:style w:type="paragraph" w:customStyle="1" w:styleId="Bulletpoint1">
    <w:name w:val="Bullet point1"/>
    <w:basedOn w:val="NormalIndent"/>
    <w:link w:val="Bulletpoint1Char"/>
    <w:qFormat/>
    <w:rsid w:val="007F3473"/>
    <w:pPr>
      <w:numPr>
        <w:numId w:val="20"/>
      </w:numPr>
      <w:spacing w:after="120"/>
      <w:jc w:val="left"/>
    </w:pPr>
    <w:rPr>
      <w:rFonts w:ascii="Verdana" w:hAnsi="Verdana"/>
      <w:sz w:val="18"/>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TOC1"/>
    <w:link w:val="HeadingChar"/>
    <w:qFormat/>
    <w:rsid w:val="009370CD"/>
    <w:pPr>
      <w:widowControl w:val="0"/>
      <w:autoSpaceDE w:val="0"/>
      <w:autoSpaceDN w:val="0"/>
      <w:adjustRightInd w:val="0"/>
      <w:spacing w:after="0"/>
      <w:ind w:left="0" w:firstLine="0"/>
      <w:jc w:val="left"/>
    </w:pPr>
    <w:rPr>
      <w:b/>
      <w:sz w:val="20"/>
      <w:u w:val="singl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F3473"/>
    <w:rPr>
      <w:rFonts w:ascii="Verdana" w:hAnsi="Verdana"/>
      <w:sz w:val="18"/>
      <w:lang w:val="fr-FR" w:eastAsia="en-US"/>
    </w:rPr>
  </w:style>
  <w:style w:type="paragraph" w:customStyle="1" w:styleId="BulletPoint2">
    <w:name w:val="Bullet Point 2"/>
    <w:basedOn w:val="NormalIndent"/>
    <w:link w:val="BulletPoint2Char"/>
    <w:qFormat/>
    <w:rsid w:val="00577EC6"/>
    <w:pPr>
      <w:numPr>
        <w:numId w:val="19"/>
      </w:numPr>
      <w:spacing w:after="120"/>
      <w:ind w:left="1077" w:hanging="357"/>
      <w:jc w:val="left"/>
    </w:pPr>
    <w:rPr>
      <w:rFonts w:ascii="Verdana" w:hAnsi="Verdana"/>
      <w:sz w:val="18"/>
    </w:rPr>
  </w:style>
  <w:style w:type="character" w:customStyle="1" w:styleId="HeadingChar">
    <w:name w:val="Heading Char"/>
    <w:link w:val="Heading"/>
    <w:rsid w:val="00B14205"/>
    <w:rPr>
      <w:rFonts w:ascii="Verdana" w:hAnsi="Verdana"/>
      <w:b/>
      <w:caps/>
      <w:u w:val="single"/>
      <w:lang w:val="fr-FR"/>
    </w:rPr>
  </w:style>
  <w:style w:type="paragraph" w:customStyle="1" w:styleId="Body">
    <w:name w:val="Body"/>
    <w:basedOn w:val="Normal"/>
    <w:link w:val="BodyChar"/>
    <w:qFormat/>
    <w:rsid w:val="00ED7D13"/>
    <w:pPr>
      <w:jc w:val="left"/>
    </w:pPr>
    <w:rPr>
      <w:rFonts w:ascii="Verdana" w:hAnsi="Verdana"/>
      <w:sz w:val="18"/>
    </w:rPr>
  </w:style>
  <w:style w:type="character" w:customStyle="1" w:styleId="BulletPoint2Char">
    <w:name w:val="Bullet Point 2 Char"/>
    <w:link w:val="BulletPoint2"/>
    <w:rsid w:val="00577EC6"/>
    <w:rPr>
      <w:rFonts w:ascii="Verdana" w:hAnsi="Verdana"/>
      <w:sz w:val="18"/>
      <w:lang w:val="fr-FR" w:eastAsia="en-US"/>
    </w:rPr>
  </w:style>
  <w:style w:type="paragraph" w:customStyle="1" w:styleId="Heading20">
    <w:name w:val="Heading2"/>
    <w:basedOn w:val="Title2"/>
    <w:link w:val="Heading2Char0"/>
    <w:qFormat/>
    <w:rsid w:val="009370CD"/>
    <w:pPr>
      <w:numPr>
        <w:numId w:val="0"/>
      </w:numPr>
    </w:pPr>
    <w:rPr>
      <w:rFonts w:ascii="Verdana" w:hAnsi="Verdana"/>
      <w:b/>
      <w:i/>
    </w:rPr>
  </w:style>
  <w:style w:type="character" w:customStyle="1" w:styleId="BodyChar">
    <w:name w:val="Body Char"/>
    <w:link w:val="Body"/>
    <w:rsid w:val="00ED7D13"/>
    <w:rPr>
      <w:rFonts w:ascii="Verdana" w:hAnsi="Verdana"/>
      <w:sz w:val="18"/>
      <w:lang w:val="fr-FR" w:eastAsia="en-US"/>
    </w:rPr>
  </w:style>
  <w:style w:type="table" w:styleId="TableGrid">
    <w:name w:val="Table Grid"/>
    <w:aliases w:val="Document Table"/>
    <w:basedOn w:val="TableNormal"/>
    <w:uiPriority w:val="59"/>
    <w:rsid w:val="007F3473"/>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color w:val="FFFFFF"/>
      </w:rPr>
      <w:tblPr/>
      <w:tcPr>
        <w:shd w:val="clear" w:color="auto" w:fill="00AEF0"/>
      </w:tcPr>
    </w:tblStylePr>
  </w:style>
  <w:style w:type="character" w:customStyle="1" w:styleId="Heading2Char0">
    <w:name w:val="Heading2 Char"/>
    <w:link w:val="Heading20"/>
    <w:rsid w:val="009370CD"/>
    <w:rPr>
      <w:rFonts w:ascii="Verdana" w:hAnsi="Verdana"/>
      <w:b/>
      <w:i/>
      <w:sz w:val="24"/>
      <w:lang w:val="fr-FR" w:eastAsia="en-US"/>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oterDocument">
    <w:name w:val="Footer Document"/>
    <w:basedOn w:val="Body"/>
    <w:link w:val="FooterDocumentChar"/>
    <w:rsid w:val="00F5647F"/>
    <w:pPr>
      <w:spacing w:after="0"/>
    </w:pPr>
    <w:rPr>
      <w:i/>
      <w:noProof/>
      <w:sz w:val="13"/>
      <w:lang w:val="en-US"/>
    </w:rPr>
  </w:style>
  <w:style w:type="character" w:customStyle="1" w:styleId="FooterDocumentChar">
    <w:name w:val="Footer Document Char"/>
    <w:link w:val="FooterDocument"/>
    <w:rsid w:val="00F5647F"/>
    <w:rPr>
      <w:rFonts w:ascii="Verdana" w:hAnsi="Verdana"/>
      <w:i/>
      <w:noProof/>
      <w:sz w:val="13"/>
      <w:lang w:val="en-US" w:eastAsia="en-US"/>
    </w:rPr>
  </w:style>
  <w:style w:type="paragraph" w:styleId="TOCHeading">
    <w:name w:val="TOC Heading"/>
    <w:basedOn w:val="Heading1"/>
    <w:next w:val="Normal"/>
    <w:uiPriority w:val="39"/>
    <w:unhideWhenUsed/>
    <w:qFormat/>
    <w:rsid w:val="000A7FCF"/>
    <w:pPr>
      <w:keepLines/>
      <w:numPr>
        <w:numId w:val="0"/>
      </w:numPr>
      <w:spacing w:before="480" w:after="0" w:line="276" w:lineRule="auto"/>
      <w:jc w:val="left"/>
      <w:outlineLvl w:val="9"/>
    </w:pPr>
    <w:rPr>
      <w:rFonts w:asciiTheme="majorHAnsi" w:eastAsiaTheme="majorEastAsia" w:hAnsiTheme="majorHAnsi" w:cstheme="majorBidi"/>
      <w:bCs/>
      <w:smallCaps w:val="0"/>
      <w:color w:val="365F91" w:themeColor="accent1" w:themeShade="BF"/>
      <w:sz w:val="28"/>
      <w:szCs w:val="28"/>
      <w:lang w:val="en-US"/>
    </w:rPr>
  </w:style>
  <w:style w:type="paragraph" w:customStyle="1" w:styleId="Title2">
    <w:name w:val="Title 2"/>
    <w:basedOn w:val="Normal"/>
    <w:rsid w:val="00B14205"/>
    <w:pPr>
      <w:numPr>
        <w:numId w:val="21"/>
      </w:numPr>
    </w:pPr>
  </w:style>
  <w:style w:type="paragraph" w:customStyle="1" w:styleId="Subtitle0">
    <w:name w:val="Subtitle_"/>
    <w:basedOn w:val="TOC2"/>
    <w:link w:val="SubtitleChar0"/>
    <w:qFormat/>
    <w:rsid w:val="001D2A51"/>
    <w:pPr>
      <w:ind w:left="0" w:firstLine="0"/>
    </w:pPr>
    <w:rPr>
      <w:b/>
      <w:i/>
      <w:sz w:val="20"/>
    </w:rPr>
  </w:style>
  <w:style w:type="character" w:customStyle="1" w:styleId="SubtitleChar0">
    <w:name w:val="Subtitle_ Char"/>
    <w:basedOn w:val="Heading2Char0"/>
    <w:link w:val="Subtitle0"/>
    <w:rsid w:val="001D2A51"/>
    <w:rPr>
      <w:rFonts w:ascii="Verdana" w:hAnsi="Verdana"/>
      <w:b/>
      <w:i/>
      <w:sz w:val="24"/>
      <w:lang w:val="fr-FR" w:eastAsia="en-US"/>
    </w:rPr>
  </w:style>
  <w:style w:type="paragraph" w:customStyle="1" w:styleId="HeadingBody">
    <w:name w:val="Heading Body"/>
    <w:basedOn w:val="Normal"/>
    <w:link w:val="HeadingBodyChar"/>
    <w:qFormat/>
    <w:rsid w:val="001D2A51"/>
    <w:pPr>
      <w:spacing w:after="120"/>
    </w:pPr>
    <w:rPr>
      <w:rFonts w:ascii="Verdana" w:hAnsi="Verdana"/>
      <w:b/>
      <w:sz w:val="20"/>
      <w:szCs w:val="18"/>
    </w:rPr>
  </w:style>
  <w:style w:type="paragraph" w:customStyle="1" w:styleId="Titlepublication">
    <w:name w:val="Title publication"/>
    <w:basedOn w:val="Normal"/>
    <w:link w:val="TitlepublicationChar"/>
    <w:qFormat/>
    <w:rsid w:val="001D2A51"/>
    <w:pPr>
      <w:jc w:val="center"/>
    </w:pPr>
    <w:rPr>
      <w:rFonts w:ascii="Verdana" w:hAnsi="Verdana"/>
      <w:b/>
      <w:color w:val="FF0000"/>
      <w:sz w:val="52"/>
      <w:szCs w:val="52"/>
    </w:rPr>
  </w:style>
  <w:style w:type="character" w:customStyle="1" w:styleId="HeadingBodyChar">
    <w:name w:val="Heading Body Char"/>
    <w:basedOn w:val="DefaultParagraphFont"/>
    <w:link w:val="HeadingBody"/>
    <w:rsid w:val="001D2A51"/>
    <w:rPr>
      <w:rFonts w:ascii="Verdana" w:hAnsi="Verdana"/>
      <w:b/>
      <w:szCs w:val="18"/>
      <w:lang w:val="en-GB" w:eastAsia="en-US"/>
    </w:rPr>
  </w:style>
  <w:style w:type="paragraph" w:customStyle="1" w:styleId="Subtitlepublication">
    <w:name w:val="Subtitle publication"/>
    <w:basedOn w:val="Normal"/>
    <w:link w:val="SubtitlepublicationChar"/>
    <w:qFormat/>
    <w:rsid w:val="003C7A25"/>
    <w:pPr>
      <w:jc w:val="center"/>
    </w:pPr>
    <w:rPr>
      <w:rFonts w:ascii="Verdana" w:hAnsi="Verdana"/>
      <w:b/>
      <w:i/>
      <w:color w:val="FF0000"/>
      <w:sz w:val="32"/>
    </w:rPr>
  </w:style>
  <w:style w:type="character" w:customStyle="1" w:styleId="TitlepublicationChar">
    <w:name w:val="Title publication Char"/>
    <w:basedOn w:val="DefaultParagraphFont"/>
    <w:link w:val="Titlepublication"/>
    <w:rsid w:val="001D2A51"/>
    <w:rPr>
      <w:rFonts w:ascii="Verdana" w:hAnsi="Verdana"/>
      <w:b/>
      <w:color w:val="FF0000"/>
      <w:sz w:val="52"/>
      <w:szCs w:val="52"/>
      <w:lang w:val="en-GB" w:eastAsia="en-US"/>
    </w:rPr>
  </w:style>
  <w:style w:type="paragraph" w:customStyle="1" w:styleId="Editorname">
    <w:name w:val="Editor name"/>
    <w:basedOn w:val="Normal"/>
    <w:link w:val="EditornameChar"/>
    <w:qFormat/>
    <w:rsid w:val="001D2A51"/>
    <w:pPr>
      <w:jc w:val="center"/>
    </w:pPr>
    <w:rPr>
      <w:rFonts w:ascii="Verdana" w:hAnsi="Verdana"/>
      <w:color w:val="FF0000"/>
    </w:rPr>
  </w:style>
  <w:style w:type="character" w:customStyle="1" w:styleId="SubtitlepublicationChar">
    <w:name w:val="Subtitle publication Char"/>
    <w:basedOn w:val="DefaultParagraphFont"/>
    <w:link w:val="Subtitlepublication"/>
    <w:rsid w:val="003C7A25"/>
    <w:rPr>
      <w:rFonts w:ascii="Verdana" w:hAnsi="Verdana"/>
      <w:b/>
      <w:i/>
      <w:color w:val="FF0000"/>
      <w:sz w:val="32"/>
      <w:lang w:val="en-GB" w:eastAsia="en-US"/>
    </w:rPr>
  </w:style>
  <w:style w:type="paragraph" w:customStyle="1" w:styleId="Backcoversummary">
    <w:name w:val="Backcover_summary"/>
    <w:basedOn w:val="Normal"/>
    <w:link w:val="BackcoversummaryChar"/>
    <w:qFormat/>
    <w:rsid w:val="001D2A51"/>
    <w:rPr>
      <w:rFonts w:ascii="Verdana" w:hAnsi="Verdana"/>
      <w:color w:val="FF0000"/>
    </w:rPr>
  </w:style>
  <w:style w:type="character" w:customStyle="1" w:styleId="EditornameChar">
    <w:name w:val="Editor name Char"/>
    <w:basedOn w:val="DefaultParagraphFont"/>
    <w:link w:val="Editorname"/>
    <w:rsid w:val="001D2A51"/>
    <w:rPr>
      <w:rFonts w:ascii="Verdana" w:hAnsi="Verdana"/>
      <w:color w:val="FF0000"/>
      <w:sz w:val="24"/>
      <w:lang w:val="en-GB" w:eastAsia="en-US"/>
    </w:rPr>
  </w:style>
  <w:style w:type="paragraph" w:customStyle="1" w:styleId="Backcovercategory">
    <w:name w:val="Backcover_category"/>
    <w:basedOn w:val="Normal"/>
    <w:link w:val="BackcovercategoryChar"/>
    <w:qFormat/>
    <w:rsid w:val="001D2A51"/>
    <w:pPr>
      <w:ind w:right="28"/>
    </w:pPr>
    <w:rPr>
      <w:rFonts w:ascii="Verdana" w:hAnsi="Verdana"/>
      <w:i/>
      <w:color w:val="FF0000"/>
      <w:sz w:val="18"/>
    </w:rPr>
  </w:style>
  <w:style w:type="character" w:customStyle="1" w:styleId="BackcoversummaryChar">
    <w:name w:val="Backcover_summary Char"/>
    <w:basedOn w:val="DefaultParagraphFont"/>
    <w:link w:val="Backcoversummary"/>
    <w:rsid w:val="001D2A51"/>
    <w:rPr>
      <w:rFonts w:ascii="Verdana" w:hAnsi="Verdana"/>
      <w:color w:val="FF0000"/>
      <w:sz w:val="24"/>
      <w:lang w:val="en-GB" w:eastAsia="en-US"/>
    </w:rPr>
  </w:style>
  <w:style w:type="character" w:customStyle="1" w:styleId="BackcovercategoryChar">
    <w:name w:val="Backcover_category Char"/>
    <w:basedOn w:val="DefaultParagraphFont"/>
    <w:link w:val="Backcovercategory"/>
    <w:rsid w:val="001D2A51"/>
    <w:rPr>
      <w:rFonts w:ascii="Verdana" w:hAnsi="Verdana"/>
      <w:i/>
      <w:color w:val="FF0000"/>
      <w:sz w:val="18"/>
      <w:lang w:val="en-GB" w:eastAsia="en-US"/>
    </w:rPr>
  </w:style>
  <w:style w:type="paragraph" w:customStyle="1" w:styleId="StyleBodyTextAfter0pt">
    <w:name w:val="Style Body Text + After:  0 pt"/>
    <w:basedOn w:val="BodyText"/>
    <w:link w:val="StyleBodyTextAfter0ptChar"/>
    <w:rsid w:val="0084455C"/>
    <w:pPr>
      <w:spacing w:after="0"/>
    </w:pPr>
  </w:style>
  <w:style w:type="character" w:customStyle="1" w:styleId="BodyTextChar">
    <w:name w:val="Body Text Char"/>
    <w:link w:val="BodyText"/>
    <w:rsid w:val="0084455C"/>
    <w:rPr>
      <w:sz w:val="24"/>
      <w:lang w:val="fr-FR" w:eastAsia="en-US"/>
    </w:rPr>
  </w:style>
  <w:style w:type="numbering" w:customStyle="1" w:styleId="Style2">
    <w:name w:val="Style2"/>
    <w:basedOn w:val="NoList"/>
    <w:rsid w:val="0084455C"/>
    <w:pPr>
      <w:numPr>
        <w:numId w:val="22"/>
      </w:numPr>
    </w:pPr>
  </w:style>
  <w:style w:type="paragraph" w:customStyle="1" w:styleId="StyleHeading2VerdanaAuto">
    <w:name w:val="Style Heading 2 + Verdana Auto"/>
    <w:basedOn w:val="Heading2"/>
    <w:rsid w:val="0084455C"/>
    <w:pPr>
      <w:numPr>
        <w:ilvl w:val="0"/>
        <w:numId w:val="0"/>
      </w:numPr>
      <w:spacing w:before="240" w:after="60"/>
    </w:pPr>
    <w:rPr>
      <w:rFonts w:ascii="Verdana" w:hAnsi="Verdana" w:cs="Arial"/>
      <w:bCs/>
      <w:color w:val="263673"/>
      <w:sz w:val="22"/>
      <w:szCs w:val="28"/>
      <w:lang w:eastAsia="en-GB"/>
    </w:rPr>
  </w:style>
  <w:style w:type="paragraph" w:customStyle="1" w:styleId="StyleListBullet2">
    <w:name w:val="Style List Bullet 2 +"/>
    <w:basedOn w:val="ListBullet2"/>
    <w:link w:val="StyleListBullet2Char"/>
    <w:rsid w:val="0084455C"/>
    <w:pPr>
      <w:tabs>
        <w:tab w:val="clear" w:pos="1485"/>
        <w:tab w:val="num" w:pos="227"/>
      </w:tabs>
      <w:spacing w:before="60" w:after="60"/>
      <w:ind w:left="227" w:hanging="227"/>
      <w:jc w:val="left"/>
    </w:pPr>
  </w:style>
  <w:style w:type="character" w:customStyle="1" w:styleId="ListBullet2Char">
    <w:name w:val="List Bullet 2 Char"/>
    <w:link w:val="ListBullet2"/>
    <w:rsid w:val="0084455C"/>
    <w:rPr>
      <w:sz w:val="24"/>
      <w:lang w:val="fr-FR" w:eastAsia="en-US"/>
    </w:rPr>
  </w:style>
  <w:style w:type="character" w:customStyle="1" w:styleId="StyleListBullet2Char">
    <w:name w:val="Style List Bullet 2 + Char"/>
    <w:basedOn w:val="ListBullet2Char"/>
    <w:link w:val="StyleListBullet2"/>
    <w:rsid w:val="0084455C"/>
    <w:rPr>
      <w:sz w:val="24"/>
      <w:lang w:val="fr-FR" w:eastAsia="en-US"/>
    </w:rPr>
  </w:style>
  <w:style w:type="character" w:customStyle="1" w:styleId="StyleBodyTextAfter0ptChar">
    <w:name w:val="Style Body Text + After:  0 pt Char"/>
    <w:basedOn w:val="BodyTextChar"/>
    <w:link w:val="StyleBodyTextAfter0pt"/>
    <w:rsid w:val="0084455C"/>
    <w:rPr>
      <w:sz w:val="24"/>
      <w:lang w:val="fr-FR" w:eastAsia="en-US"/>
    </w:rPr>
  </w:style>
  <w:style w:type="paragraph" w:customStyle="1" w:styleId="StyleStyleBodyTextAfter0ptVerdanaBold">
    <w:name w:val="Style Style Body Text + After:  0 pt + Verdana Bold"/>
    <w:basedOn w:val="StyleBodyTextAfter0pt"/>
    <w:link w:val="StyleStyleBodyTextAfter0ptVerdanaBoldChar"/>
    <w:rsid w:val="0084455C"/>
    <w:rPr>
      <w:b/>
      <w:bCs/>
      <w:szCs w:val="24"/>
    </w:rPr>
  </w:style>
  <w:style w:type="character" w:customStyle="1" w:styleId="StyleStyleBodyTextAfter0ptVerdanaBoldChar">
    <w:name w:val="Style Style Body Text + After:  0 pt + Verdana Bold Char"/>
    <w:link w:val="StyleStyleBodyTextAfter0ptVerdanaBold"/>
    <w:rsid w:val="0084455C"/>
    <w:rPr>
      <w:b/>
      <w:bCs/>
      <w:sz w:val="24"/>
      <w:szCs w:val="24"/>
      <w:lang w:val="fr-FR" w:eastAsia="en-US"/>
    </w:rPr>
  </w:style>
  <w:style w:type="paragraph" w:customStyle="1" w:styleId="StyleStyleBodyTextAfter0ptVerdanaBoldAuto">
    <w:name w:val="Style Style Body Text + After:  0 pt + Verdana Bold Auto"/>
    <w:basedOn w:val="StyleBodyTextAfter0pt"/>
    <w:link w:val="StyleStyleBodyTextAfter0ptVerdanaBoldAutoChar"/>
    <w:rsid w:val="0084455C"/>
    <w:rPr>
      <w:b/>
      <w:bCs/>
      <w:szCs w:val="24"/>
    </w:rPr>
  </w:style>
  <w:style w:type="character" w:customStyle="1" w:styleId="StyleStyleBodyTextAfter0ptVerdanaBoldAutoChar">
    <w:name w:val="Style Style Body Text + After:  0 pt + Verdana Bold Auto Char"/>
    <w:link w:val="StyleStyleBodyTextAfter0ptVerdanaBoldAuto"/>
    <w:rsid w:val="0084455C"/>
    <w:rPr>
      <w:b/>
      <w:bCs/>
      <w:sz w:val="24"/>
      <w:szCs w:val="24"/>
      <w:lang w:val="fr-FR" w:eastAsia="en-US"/>
    </w:rPr>
  </w:style>
  <w:style w:type="character" w:customStyle="1" w:styleId="Heading1Char">
    <w:name w:val="Heading 1 Char"/>
    <w:link w:val="Heading1"/>
    <w:rsid w:val="0084455C"/>
    <w:rPr>
      <w:b/>
      <w:smallCaps/>
      <w:sz w:val="24"/>
      <w:lang w:val="fr-FR" w:eastAsia="en-US"/>
    </w:rPr>
  </w:style>
  <w:style w:type="paragraph" w:customStyle="1" w:styleId="StyleHeading1Gray-80">
    <w:name w:val="Style Heading 1 + Gray-80%"/>
    <w:basedOn w:val="Heading1"/>
    <w:link w:val="StyleHeading1Gray-80Char"/>
    <w:rsid w:val="0084455C"/>
    <w:pPr>
      <w:numPr>
        <w:numId w:val="0"/>
      </w:numPr>
      <w:spacing w:after="60"/>
    </w:pPr>
    <w:rPr>
      <w:rFonts w:ascii="Verdana" w:hAnsi="Verdana" w:cs="Arial"/>
      <w:bCs/>
      <w:smallCaps w:val="0"/>
      <w:color w:val="263673"/>
      <w:kern w:val="32"/>
      <w:sz w:val="28"/>
      <w:szCs w:val="32"/>
      <w:lang w:eastAsia="en-GB"/>
    </w:rPr>
  </w:style>
  <w:style w:type="character" w:customStyle="1" w:styleId="StyleHeading1Gray-80Char">
    <w:name w:val="Style Heading 1 + Gray-80% Char"/>
    <w:basedOn w:val="Heading1Char"/>
    <w:link w:val="StyleHeading1Gray-80"/>
    <w:rsid w:val="0084455C"/>
    <w:rPr>
      <w:rFonts w:ascii="Verdana" w:hAnsi="Verdana" w:cs="Arial"/>
      <w:b/>
      <w:bCs/>
      <w:smallCaps w:val="0"/>
      <w:color w:val="263673"/>
      <w:kern w:val="32"/>
      <w:sz w:val="28"/>
      <w:szCs w:val="32"/>
      <w:lang w:val="en-GB" w:eastAsia="en-GB"/>
    </w:rPr>
  </w:style>
  <w:style w:type="paragraph" w:styleId="ListParagraph">
    <w:name w:val="List Paragraph"/>
    <w:basedOn w:val="Normal"/>
    <w:uiPriority w:val="34"/>
    <w:qFormat/>
    <w:rsid w:val="00C46893"/>
    <w:pPr>
      <w:ind w:left="720"/>
      <w:contextualSpacing/>
    </w:pPr>
  </w:style>
  <w:style w:type="character" w:styleId="Emphasis">
    <w:name w:val="Emphasis"/>
    <w:basedOn w:val="DefaultParagraphFont"/>
    <w:uiPriority w:val="20"/>
    <w:qFormat/>
    <w:rsid w:val="00B56119"/>
    <w:rPr>
      <w:b/>
      <w:bCs/>
      <w:i w:val="0"/>
      <w:iCs w:val="0"/>
    </w:rPr>
  </w:style>
  <w:style w:type="character" w:customStyle="1" w:styleId="st">
    <w:name w:val="st"/>
    <w:basedOn w:val="DefaultParagraphFont"/>
    <w:rsid w:val="00B56119"/>
  </w:style>
  <w:style w:type="character" w:customStyle="1" w:styleId="FootnoteTextChar">
    <w:name w:val="Footnote Text Char"/>
    <w:aliases w:val="Footnote Char,Fußnote Char,C26 Footnote body Char"/>
    <w:basedOn w:val="DefaultParagraphFont"/>
    <w:link w:val="FootnoteText"/>
    <w:rsid w:val="00F06A0E"/>
    <w:rPr>
      <w:lang w:val="fr-FR" w:eastAsia="en-US"/>
    </w:rPr>
  </w:style>
  <w:style w:type="character" w:customStyle="1" w:styleId="CommentTextChar">
    <w:name w:val="Comment Text Char"/>
    <w:basedOn w:val="DefaultParagraphFont"/>
    <w:link w:val="CommentText"/>
    <w:uiPriority w:val="99"/>
    <w:rsid w:val="001959F2"/>
    <w:rPr>
      <w:lang w:val="fr-FR" w:eastAsia="en-US"/>
    </w:rPr>
  </w:style>
  <w:style w:type="character" w:customStyle="1" w:styleId="apple-converted-space">
    <w:name w:val="apple-converted-space"/>
    <w:basedOn w:val="DefaultParagraphFont"/>
    <w:rsid w:val="00B85FC0"/>
  </w:style>
  <w:style w:type="character" w:styleId="CommentReference">
    <w:name w:val="annotation reference"/>
    <w:basedOn w:val="DefaultParagraphFont"/>
    <w:uiPriority w:val="99"/>
    <w:semiHidden/>
    <w:unhideWhenUsed/>
    <w:rsid w:val="00B85FC0"/>
    <w:rPr>
      <w:sz w:val="16"/>
      <w:szCs w:val="16"/>
    </w:rPr>
  </w:style>
  <w:style w:type="paragraph" w:styleId="CommentSubject">
    <w:name w:val="annotation subject"/>
    <w:basedOn w:val="CommentText"/>
    <w:next w:val="CommentText"/>
    <w:link w:val="CommentSubjectChar"/>
    <w:uiPriority w:val="99"/>
    <w:semiHidden/>
    <w:unhideWhenUsed/>
    <w:rsid w:val="00B85FC0"/>
    <w:pPr>
      <w:spacing w:after="0"/>
      <w:jc w:val="left"/>
    </w:pPr>
    <w:rPr>
      <w:rFonts w:eastAsiaTheme="minorHAnsi"/>
      <w:b/>
      <w:bCs/>
      <w:lang w:eastAsia="en-GB"/>
    </w:rPr>
  </w:style>
  <w:style w:type="character" w:customStyle="1" w:styleId="CommentSubjectChar">
    <w:name w:val="Comment Subject Char"/>
    <w:basedOn w:val="CommentTextChar"/>
    <w:link w:val="CommentSubject"/>
    <w:uiPriority w:val="99"/>
    <w:semiHidden/>
    <w:rsid w:val="00B85FC0"/>
    <w:rPr>
      <w:rFonts w:eastAsiaTheme="minorHAnsi"/>
      <w:b/>
      <w:bCs/>
      <w:lang w:val="en-GB" w:eastAsia="en-GB"/>
    </w:rPr>
  </w:style>
  <w:style w:type="character" w:customStyle="1" w:styleId="BalloonTextChar">
    <w:name w:val="Balloon Text Char"/>
    <w:basedOn w:val="DefaultParagraphFont"/>
    <w:link w:val="BalloonText"/>
    <w:uiPriority w:val="99"/>
    <w:semiHidden/>
    <w:rsid w:val="00B85FC0"/>
    <w:rPr>
      <w:rFonts w:ascii="Tahoma" w:hAnsi="Tahoma" w:cs="Tahoma"/>
      <w:sz w:val="16"/>
      <w:szCs w:val="16"/>
      <w:lang w:val="fr-FR" w:eastAsia="en-US"/>
    </w:rPr>
  </w:style>
  <w:style w:type="character" w:customStyle="1" w:styleId="EndnoteTextChar">
    <w:name w:val="Endnote Text Char"/>
    <w:basedOn w:val="DefaultParagraphFont"/>
    <w:link w:val="EndnoteText"/>
    <w:uiPriority w:val="99"/>
    <w:rsid w:val="00B85FC0"/>
    <w:rPr>
      <w:lang w:val="fr-FR" w:eastAsia="en-US"/>
    </w:rPr>
  </w:style>
  <w:style w:type="character" w:styleId="EndnoteReference">
    <w:name w:val="endnote reference"/>
    <w:uiPriority w:val="99"/>
    <w:unhideWhenUsed/>
    <w:rsid w:val="00B85FC0"/>
    <w:rPr>
      <w:rFonts w:ascii="dcr10" w:hAnsi="dcr10"/>
      <w:sz w:val="32"/>
      <w:szCs w:val="24"/>
      <w:vertAlign w:val="superscript"/>
    </w:rPr>
  </w:style>
  <w:style w:type="character" w:styleId="FollowedHyperlink">
    <w:name w:val="FollowedHyperlink"/>
    <w:basedOn w:val="DefaultParagraphFont"/>
    <w:uiPriority w:val="99"/>
    <w:semiHidden/>
    <w:unhideWhenUsed/>
    <w:rsid w:val="00B85FC0"/>
    <w:rPr>
      <w:color w:val="800080"/>
      <w:u w:val="single"/>
    </w:rPr>
  </w:style>
  <w:style w:type="paragraph" w:customStyle="1" w:styleId="xl65">
    <w:name w:val="xl65"/>
    <w:basedOn w:val="Normal"/>
    <w:rsid w:val="00B85FC0"/>
    <w:pPr>
      <w:spacing w:before="100" w:beforeAutospacing="1" w:after="100" w:afterAutospacing="1"/>
      <w:jc w:val="left"/>
    </w:pPr>
    <w:rPr>
      <w:rFonts w:ascii="Arial" w:hAnsi="Arial" w:cs="Arial"/>
      <w:sz w:val="26"/>
      <w:szCs w:val="26"/>
      <w:lang w:eastAsia="en-GB"/>
    </w:rPr>
  </w:style>
  <w:style w:type="paragraph" w:customStyle="1" w:styleId="xl66">
    <w:name w:val="xl66"/>
    <w:basedOn w:val="Normal"/>
    <w:rsid w:val="00B85FC0"/>
    <w:pPr>
      <w:spacing w:before="100" w:beforeAutospacing="1" w:after="100" w:afterAutospacing="1"/>
      <w:jc w:val="left"/>
    </w:pPr>
    <w:rPr>
      <w:rFonts w:ascii="dcr10" w:hAnsi="dcr10"/>
      <w:sz w:val="26"/>
      <w:szCs w:val="26"/>
      <w:lang w:eastAsia="en-GB"/>
    </w:rPr>
  </w:style>
  <w:style w:type="paragraph" w:customStyle="1" w:styleId="xl67">
    <w:name w:val="xl67"/>
    <w:basedOn w:val="Normal"/>
    <w:rsid w:val="00B85FC0"/>
    <w:pPr>
      <w:spacing w:before="100" w:beforeAutospacing="1" w:after="100" w:afterAutospacing="1"/>
      <w:jc w:val="left"/>
    </w:pPr>
    <w:rPr>
      <w:rFonts w:ascii="dcr10" w:hAnsi="dcr10"/>
      <w:b/>
      <w:bCs/>
      <w:sz w:val="26"/>
      <w:szCs w:val="26"/>
      <w:lang w:eastAsia="en-GB"/>
    </w:rPr>
  </w:style>
  <w:style w:type="paragraph" w:customStyle="1" w:styleId="xl68">
    <w:name w:val="xl68"/>
    <w:basedOn w:val="Normal"/>
    <w:rsid w:val="00B85FC0"/>
    <w:pPr>
      <w:pBdr>
        <w:left w:val="single" w:sz="4" w:space="0" w:color="auto"/>
      </w:pBdr>
      <w:spacing w:before="100" w:beforeAutospacing="1" w:after="100" w:afterAutospacing="1"/>
      <w:jc w:val="left"/>
    </w:pPr>
    <w:rPr>
      <w:rFonts w:ascii="dcr10" w:hAnsi="dcr10"/>
      <w:sz w:val="26"/>
      <w:szCs w:val="26"/>
      <w:lang w:eastAsia="en-GB"/>
    </w:rPr>
  </w:style>
  <w:style w:type="paragraph" w:customStyle="1" w:styleId="xl69">
    <w:name w:val="xl69"/>
    <w:basedOn w:val="Normal"/>
    <w:rsid w:val="00B85FC0"/>
    <w:pPr>
      <w:pBdr>
        <w:left w:val="single" w:sz="4" w:space="0" w:color="auto"/>
      </w:pBdr>
      <w:spacing w:before="100" w:beforeAutospacing="1" w:after="100" w:afterAutospacing="1"/>
      <w:jc w:val="left"/>
    </w:pPr>
    <w:rPr>
      <w:rFonts w:ascii="dcr10" w:hAnsi="dcr10"/>
      <w:sz w:val="26"/>
      <w:szCs w:val="26"/>
      <w:lang w:eastAsia="en-GB"/>
    </w:rPr>
  </w:style>
  <w:style w:type="paragraph" w:customStyle="1" w:styleId="xl70">
    <w:name w:val="xl70"/>
    <w:basedOn w:val="Normal"/>
    <w:rsid w:val="00B85FC0"/>
    <w:pPr>
      <w:pBdr>
        <w:top w:val="single" w:sz="4" w:space="0" w:color="auto"/>
        <w:left w:val="single" w:sz="4" w:space="0" w:color="auto"/>
        <w:bottom w:val="single" w:sz="4" w:space="0" w:color="auto"/>
      </w:pBdr>
      <w:spacing w:before="100" w:beforeAutospacing="1" w:after="100" w:afterAutospacing="1"/>
      <w:jc w:val="center"/>
      <w:textAlignment w:val="top"/>
    </w:pPr>
    <w:rPr>
      <w:rFonts w:ascii="dcr10" w:hAnsi="dcr10"/>
      <w:szCs w:val="24"/>
      <w:lang w:eastAsia="en-GB"/>
    </w:rPr>
  </w:style>
  <w:style w:type="paragraph" w:customStyle="1" w:styleId="xl71">
    <w:name w:val="xl71"/>
    <w:basedOn w:val="Normal"/>
    <w:rsid w:val="00B85FC0"/>
    <w:pPr>
      <w:pBdr>
        <w:top w:val="single" w:sz="4" w:space="0" w:color="auto"/>
        <w:bottom w:val="single" w:sz="4" w:space="0" w:color="auto"/>
      </w:pBdr>
      <w:spacing w:before="100" w:beforeAutospacing="1" w:after="100" w:afterAutospacing="1"/>
      <w:jc w:val="center"/>
      <w:textAlignment w:val="top"/>
    </w:pPr>
    <w:rPr>
      <w:rFonts w:ascii="dcr10" w:hAnsi="dcr10"/>
      <w:szCs w:val="24"/>
      <w:lang w:eastAsia="en-GB"/>
    </w:rPr>
  </w:style>
  <w:style w:type="paragraph" w:customStyle="1" w:styleId="xl72">
    <w:name w:val="xl72"/>
    <w:basedOn w:val="Normal"/>
    <w:rsid w:val="00B85FC0"/>
    <w:pPr>
      <w:pBdr>
        <w:top w:val="single" w:sz="4" w:space="0" w:color="auto"/>
        <w:bottom w:val="single" w:sz="4" w:space="0" w:color="auto"/>
        <w:right w:val="single" w:sz="4" w:space="0" w:color="auto"/>
      </w:pBdr>
      <w:spacing w:before="100" w:beforeAutospacing="1" w:after="100" w:afterAutospacing="1"/>
      <w:jc w:val="center"/>
      <w:textAlignment w:val="top"/>
    </w:pPr>
    <w:rPr>
      <w:rFonts w:ascii="dcr10" w:hAnsi="dcr10"/>
      <w:szCs w:val="24"/>
      <w:lang w:eastAsia="en-GB"/>
    </w:rPr>
  </w:style>
  <w:style w:type="paragraph" w:customStyle="1" w:styleId="xl73">
    <w:name w:val="xl73"/>
    <w:basedOn w:val="Normal"/>
    <w:rsid w:val="00B85FC0"/>
    <w:pPr>
      <w:pBdr>
        <w:bottom w:val="single" w:sz="4" w:space="0" w:color="auto"/>
      </w:pBdr>
      <w:spacing w:before="100" w:beforeAutospacing="1" w:after="100" w:afterAutospacing="1"/>
      <w:jc w:val="left"/>
    </w:pPr>
    <w:rPr>
      <w:rFonts w:ascii="dcr10" w:hAnsi="dcr10"/>
      <w:b/>
      <w:bCs/>
      <w:sz w:val="26"/>
      <w:szCs w:val="26"/>
      <w:lang w:eastAsia="en-GB"/>
    </w:rPr>
  </w:style>
  <w:style w:type="paragraph" w:customStyle="1" w:styleId="xl74">
    <w:name w:val="xl74"/>
    <w:basedOn w:val="Normal"/>
    <w:rsid w:val="00B85FC0"/>
    <w:pPr>
      <w:pBdr>
        <w:top w:val="single" w:sz="4" w:space="0" w:color="auto"/>
      </w:pBdr>
      <w:spacing w:before="100" w:beforeAutospacing="1" w:after="100" w:afterAutospacing="1"/>
      <w:jc w:val="left"/>
    </w:pPr>
    <w:rPr>
      <w:rFonts w:ascii="dcr10" w:hAnsi="dcr10"/>
      <w:sz w:val="26"/>
      <w:szCs w:val="26"/>
      <w:lang w:eastAsia="en-GB"/>
    </w:rPr>
  </w:style>
  <w:style w:type="paragraph" w:customStyle="1" w:styleId="xl75">
    <w:name w:val="xl75"/>
    <w:basedOn w:val="Normal"/>
    <w:rsid w:val="00B85FC0"/>
    <w:pPr>
      <w:pBdr>
        <w:left w:val="single" w:sz="4" w:space="0" w:color="auto"/>
        <w:bottom w:val="single" w:sz="4" w:space="0" w:color="auto"/>
      </w:pBdr>
      <w:spacing w:before="100" w:beforeAutospacing="1" w:after="100" w:afterAutospacing="1"/>
      <w:jc w:val="center"/>
      <w:textAlignment w:val="top"/>
    </w:pPr>
    <w:rPr>
      <w:rFonts w:ascii="dcr10" w:hAnsi="dcr10"/>
      <w:szCs w:val="24"/>
      <w:lang w:eastAsia="en-GB"/>
    </w:rPr>
  </w:style>
  <w:style w:type="paragraph" w:customStyle="1" w:styleId="xl76">
    <w:name w:val="xl76"/>
    <w:basedOn w:val="Normal"/>
    <w:rsid w:val="00B85FC0"/>
    <w:pPr>
      <w:pBdr>
        <w:bottom w:val="single" w:sz="4" w:space="0" w:color="auto"/>
      </w:pBdr>
      <w:spacing w:before="100" w:beforeAutospacing="1" w:after="100" w:afterAutospacing="1"/>
      <w:jc w:val="center"/>
      <w:textAlignment w:val="top"/>
    </w:pPr>
    <w:rPr>
      <w:rFonts w:ascii="dcr10" w:hAnsi="dcr10"/>
      <w:szCs w:val="24"/>
      <w:lang w:eastAsia="en-GB"/>
    </w:rPr>
  </w:style>
  <w:style w:type="paragraph" w:customStyle="1" w:styleId="xl77">
    <w:name w:val="xl77"/>
    <w:basedOn w:val="Normal"/>
    <w:rsid w:val="00B85FC0"/>
    <w:pPr>
      <w:pBdr>
        <w:bottom w:val="single" w:sz="4" w:space="0" w:color="auto"/>
        <w:right w:val="single" w:sz="4" w:space="0" w:color="auto"/>
      </w:pBdr>
      <w:spacing w:before="100" w:beforeAutospacing="1" w:after="100" w:afterAutospacing="1"/>
      <w:jc w:val="center"/>
      <w:textAlignment w:val="top"/>
    </w:pPr>
    <w:rPr>
      <w:rFonts w:ascii="dcr10" w:hAnsi="dcr10"/>
      <w:szCs w:val="24"/>
      <w:lang w:eastAsia="en-GB"/>
    </w:rPr>
  </w:style>
  <w:style w:type="paragraph" w:customStyle="1" w:styleId="xl78">
    <w:name w:val="xl78"/>
    <w:basedOn w:val="Normal"/>
    <w:rsid w:val="00B85FC0"/>
    <w:pPr>
      <w:pBdr>
        <w:bottom w:val="single" w:sz="8" w:space="0" w:color="auto"/>
      </w:pBdr>
      <w:spacing w:before="100" w:beforeAutospacing="1" w:after="100" w:afterAutospacing="1"/>
      <w:jc w:val="left"/>
    </w:pPr>
    <w:rPr>
      <w:rFonts w:ascii="dcr10" w:hAnsi="dcr10"/>
      <w:sz w:val="26"/>
      <w:szCs w:val="26"/>
      <w:lang w:eastAsia="en-GB"/>
    </w:rPr>
  </w:style>
  <w:style w:type="paragraph" w:customStyle="1" w:styleId="xl79">
    <w:name w:val="xl79"/>
    <w:basedOn w:val="Normal"/>
    <w:rsid w:val="00B85FC0"/>
    <w:pPr>
      <w:pBdr>
        <w:left w:val="single" w:sz="4" w:space="0" w:color="auto"/>
        <w:bottom w:val="single" w:sz="8" w:space="0" w:color="auto"/>
      </w:pBdr>
      <w:spacing w:before="100" w:beforeAutospacing="1" w:after="100" w:afterAutospacing="1"/>
      <w:jc w:val="left"/>
    </w:pPr>
    <w:rPr>
      <w:rFonts w:ascii="dcr10" w:hAnsi="dcr10"/>
      <w:sz w:val="26"/>
      <w:szCs w:val="26"/>
      <w:lang w:eastAsia="en-GB"/>
    </w:rPr>
  </w:style>
  <w:style w:type="paragraph" w:customStyle="1" w:styleId="xl80">
    <w:name w:val="xl80"/>
    <w:basedOn w:val="Normal"/>
    <w:rsid w:val="00B85FC0"/>
    <w:pPr>
      <w:pBdr>
        <w:bottom w:val="single" w:sz="4" w:space="0" w:color="auto"/>
      </w:pBdr>
      <w:spacing w:before="100" w:beforeAutospacing="1" w:after="100" w:afterAutospacing="1"/>
      <w:jc w:val="left"/>
    </w:pPr>
    <w:rPr>
      <w:rFonts w:ascii="dcr10" w:hAnsi="dcr10"/>
      <w:i/>
      <w:iCs/>
      <w:sz w:val="26"/>
      <w:szCs w:val="26"/>
      <w:lang w:eastAsia="en-GB"/>
    </w:rPr>
  </w:style>
  <w:style w:type="paragraph" w:customStyle="1" w:styleId="xl81">
    <w:name w:val="xl81"/>
    <w:basedOn w:val="Normal"/>
    <w:rsid w:val="00B85FC0"/>
    <w:pPr>
      <w:spacing w:before="100" w:beforeAutospacing="1" w:after="100" w:afterAutospacing="1"/>
      <w:jc w:val="left"/>
    </w:pPr>
    <w:rPr>
      <w:rFonts w:ascii="dcr10" w:hAnsi="dcr10"/>
      <w:i/>
      <w:iCs/>
      <w:sz w:val="26"/>
      <w:szCs w:val="26"/>
      <w:lang w:eastAsia="en-GB"/>
    </w:rPr>
  </w:style>
  <w:style w:type="paragraph" w:customStyle="1" w:styleId="xl82">
    <w:name w:val="xl82"/>
    <w:basedOn w:val="Normal"/>
    <w:rsid w:val="00B85FC0"/>
    <w:pPr>
      <w:spacing w:before="100" w:beforeAutospacing="1" w:after="100" w:afterAutospacing="1"/>
      <w:jc w:val="center"/>
      <w:textAlignment w:val="top"/>
    </w:pPr>
    <w:rPr>
      <w:rFonts w:ascii="dcr10" w:hAnsi="dcr10"/>
      <w:szCs w:val="24"/>
      <w:lang w:eastAsia="en-GB"/>
    </w:rPr>
  </w:style>
  <w:style w:type="paragraph" w:customStyle="1" w:styleId="xl83">
    <w:name w:val="xl83"/>
    <w:basedOn w:val="Normal"/>
    <w:rsid w:val="00B85FC0"/>
    <w:pPr>
      <w:pBdr>
        <w:left w:val="single" w:sz="4" w:space="0" w:color="auto"/>
      </w:pBdr>
      <w:spacing w:before="100" w:beforeAutospacing="1" w:after="100" w:afterAutospacing="1"/>
      <w:jc w:val="center"/>
      <w:textAlignment w:val="top"/>
    </w:pPr>
    <w:rPr>
      <w:rFonts w:ascii="dcr10" w:hAnsi="dcr10"/>
      <w:szCs w:val="24"/>
      <w:lang w:eastAsia="en-GB"/>
    </w:rPr>
  </w:style>
  <w:style w:type="paragraph" w:customStyle="1" w:styleId="xl84">
    <w:name w:val="xl84"/>
    <w:basedOn w:val="Normal"/>
    <w:rsid w:val="00B85FC0"/>
    <w:pPr>
      <w:pBdr>
        <w:right w:val="single" w:sz="4" w:space="0" w:color="auto"/>
      </w:pBdr>
      <w:spacing w:before="100" w:beforeAutospacing="1" w:after="100" w:afterAutospacing="1"/>
      <w:jc w:val="center"/>
      <w:textAlignment w:val="top"/>
    </w:pPr>
    <w:rPr>
      <w:rFonts w:ascii="dcr10" w:hAnsi="dcr10"/>
      <w:szCs w:val="24"/>
      <w:lang w:eastAsia="en-GB"/>
    </w:rPr>
  </w:style>
  <w:style w:type="paragraph" w:customStyle="1" w:styleId="xl85">
    <w:name w:val="xl85"/>
    <w:basedOn w:val="Normal"/>
    <w:rsid w:val="00B85FC0"/>
    <w:pPr>
      <w:pBdr>
        <w:right w:val="single" w:sz="4" w:space="0" w:color="auto"/>
      </w:pBdr>
      <w:spacing w:before="100" w:beforeAutospacing="1" w:after="100" w:afterAutospacing="1"/>
      <w:jc w:val="left"/>
    </w:pPr>
    <w:rPr>
      <w:rFonts w:ascii="dcr10" w:hAnsi="dcr10"/>
      <w:sz w:val="26"/>
      <w:szCs w:val="26"/>
      <w:lang w:eastAsia="en-GB"/>
    </w:rPr>
  </w:style>
  <w:style w:type="paragraph" w:customStyle="1" w:styleId="xl86">
    <w:name w:val="xl86"/>
    <w:basedOn w:val="Normal"/>
    <w:rsid w:val="00B85FC0"/>
    <w:pPr>
      <w:pBdr>
        <w:left w:val="single" w:sz="4" w:space="0" w:color="auto"/>
      </w:pBdr>
      <w:spacing w:before="100" w:beforeAutospacing="1" w:after="100" w:afterAutospacing="1"/>
      <w:jc w:val="right"/>
    </w:pPr>
    <w:rPr>
      <w:rFonts w:ascii="dcr10" w:hAnsi="dcr10"/>
      <w:sz w:val="26"/>
      <w:szCs w:val="26"/>
      <w:lang w:eastAsia="en-GB"/>
    </w:rPr>
  </w:style>
  <w:style w:type="paragraph" w:customStyle="1" w:styleId="xl87">
    <w:name w:val="xl87"/>
    <w:basedOn w:val="Normal"/>
    <w:rsid w:val="00B85FC0"/>
    <w:pPr>
      <w:pBdr>
        <w:left w:val="single" w:sz="4" w:space="0" w:color="auto"/>
      </w:pBdr>
      <w:spacing w:before="100" w:beforeAutospacing="1" w:after="100" w:afterAutospacing="1"/>
      <w:jc w:val="right"/>
      <w:textAlignment w:val="top"/>
    </w:pPr>
    <w:rPr>
      <w:rFonts w:ascii="dcr10" w:hAnsi="dcr10"/>
      <w:szCs w:val="24"/>
      <w:lang w:eastAsia="en-GB"/>
    </w:rPr>
  </w:style>
  <w:style w:type="paragraph" w:customStyle="1" w:styleId="xl88">
    <w:name w:val="xl88"/>
    <w:basedOn w:val="Normal"/>
    <w:rsid w:val="00B85FC0"/>
    <w:pPr>
      <w:spacing w:before="100" w:beforeAutospacing="1" w:after="100" w:afterAutospacing="1"/>
      <w:jc w:val="right"/>
      <w:textAlignment w:val="top"/>
    </w:pPr>
    <w:rPr>
      <w:rFonts w:ascii="dcr10" w:hAnsi="dcr10"/>
      <w:szCs w:val="24"/>
      <w:lang w:eastAsia="en-GB"/>
    </w:rPr>
  </w:style>
  <w:style w:type="paragraph" w:customStyle="1" w:styleId="xl89">
    <w:name w:val="xl89"/>
    <w:basedOn w:val="Normal"/>
    <w:rsid w:val="00B85FC0"/>
    <w:pPr>
      <w:pBdr>
        <w:right w:val="single" w:sz="4" w:space="0" w:color="auto"/>
      </w:pBdr>
      <w:spacing w:before="100" w:beforeAutospacing="1" w:after="100" w:afterAutospacing="1"/>
      <w:jc w:val="right"/>
      <w:textAlignment w:val="top"/>
    </w:pPr>
    <w:rPr>
      <w:rFonts w:ascii="dcr10" w:hAnsi="dcr10"/>
      <w:szCs w:val="24"/>
      <w:lang w:eastAsia="en-GB"/>
    </w:rPr>
  </w:style>
  <w:style w:type="paragraph" w:customStyle="1" w:styleId="xl90">
    <w:name w:val="xl90"/>
    <w:basedOn w:val="Normal"/>
    <w:rsid w:val="00B85FC0"/>
    <w:pPr>
      <w:pBdr>
        <w:left w:val="single" w:sz="4" w:space="0" w:color="auto"/>
      </w:pBdr>
      <w:spacing w:before="100" w:beforeAutospacing="1" w:after="100" w:afterAutospacing="1"/>
      <w:jc w:val="right"/>
    </w:pPr>
    <w:rPr>
      <w:rFonts w:ascii="dcr10" w:hAnsi="dcr10"/>
      <w:sz w:val="26"/>
      <w:szCs w:val="26"/>
      <w:lang w:eastAsia="en-GB"/>
    </w:rPr>
  </w:style>
  <w:style w:type="paragraph" w:customStyle="1" w:styleId="xl91">
    <w:name w:val="xl91"/>
    <w:basedOn w:val="Normal"/>
    <w:rsid w:val="00B85FC0"/>
    <w:pPr>
      <w:spacing w:before="100" w:beforeAutospacing="1" w:after="100" w:afterAutospacing="1"/>
      <w:jc w:val="right"/>
    </w:pPr>
    <w:rPr>
      <w:rFonts w:ascii="dcr10" w:hAnsi="dcr10"/>
      <w:sz w:val="26"/>
      <w:szCs w:val="26"/>
      <w:lang w:eastAsia="en-GB"/>
    </w:rPr>
  </w:style>
  <w:style w:type="paragraph" w:customStyle="1" w:styleId="xl92">
    <w:name w:val="xl92"/>
    <w:basedOn w:val="Normal"/>
    <w:rsid w:val="00B85FC0"/>
    <w:pPr>
      <w:pBdr>
        <w:right w:val="single" w:sz="4" w:space="0" w:color="auto"/>
      </w:pBdr>
      <w:spacing w:before="100" w:beforeAutospacing="1" w:after="100" w:afterAutospacing="1"/>
      <w:jc w:val="right"/>
    </w:pPr>
    <w:rPr>
      <w:rFonts w:ascii="dcr10" w:hAnsi="dcr10"/>
      <w:sz w:val="26"/>
      <w:szCs w:val="26"/>
      <w:lang w:eastAsia="en-GB"/>
    </w:rPr>
  </w:style>
  <w:style w:type="paragraph" w:customStyle="1" w:styleId="xl93">
    <w:name w:val="xl93"/>
    <w:basedOn w:val="Normal"/>
    <w:rsid w:val="00B85FC0"/>
    <w:pPr>
      <w:pBdr>
        <w:top w:val="single" w:sz="4" w:space="0" w:color="auto"/>
        <w:left w:val="single" w:sz="4" w:space="0" w:color="auto"/>
        <w:bottom w:val="single" w:sz="4" w:space="0" w:color="auto"/>
      </w:pBdr>
      <w:spacing w:before="100" w:beforeAutospacing="1" w:after="100" w:afterAutospacing="1"/>
      <w:jc w:val="center"/>
    </w:pPr>
    <w:rPr>
      <w:rFonts w:ascii="dcr10" w:hAnsi="dcr10"/>
      <w:b/>
      <w:bCs/>
      <w:sz w:val="26"/>
      <w:szCs w:val="26"/>
      <w:lang w:eastAsia="en-GB"/>
    </w:rPr>
  </w:style>
  <w:style w:type="paragraph" w:customStyle="1" w:styleId="xl94">
    <w:name w:val="xl94"/>
    <w:basedOn w:val="Normal"/>
    <w:rsid w:val="00B85FC0"/>
    <w:pPr>
      <w:pBdr>
        <w:top w:val="single" w:sz="4" w:space="0" w:color="auto"/>
        <w:bottom w:val="single" w:sz="4" w:space="0" w:color="auto"/>
      </w:pBdr>
      <w:spacing w:before="100" w:beforeAutospacing="1" w:after="100" w:afterAutospacing="1"/>
      <w:jc w:val="center"/>
    </w:pPr>
    <w:rPr>
      <w:rFonts w:ascii="dcr10" w:hAnsi="dcr10"/>
      <w:b/>
      <w:bCs/>
      <w:sz w:val="26"/>
      <w:szCs w:val="26"/>
      <w:lang w:eastAsia="en-GB"/>
    </w:rPr>
  </w:style>
  <w:style w:type="paragraph" w:customStyle="1" w:styleId="xl95">
    <w:name w:val="xl95"/>
    <w:basedOn w:val="Normal"/>
    <w:rsid w:val="00B85FC0"/>
    <w:pPr>
      <w:pBdr>
        <w:top w:val="single" w:sz="4" w:space="0" w:color="auto"/>
      </w:pBdr>
      <w:spacing w:before="100" w:beforeAutospacing="1" w:after="100" w:afterAutospacing="1"/>
      <w:jc w:val="center"/>
      <w:textAlignment w:val="center"/>
    </w:pPr>
    <w:rPr>
      <w:rFonts w:ascii="dcr10" w:hAnsi="dcr10"/>
      <w:sz w:val="26"/>
      <w:szCs w:val="26"/>
      <w:lang w:eastAsia="en-GB"/>
    </w:rPr>
  </w:style>
  <w:style w:type="paragraph" w:customStyle="1" w:styleId="xl96">
    <w:name w:val="xl96"/>
    <w:basedOn w:val="Normal"/>
    <w:rsid w:val="00B85FC0"/>
    <w:pPr>
      <w:spacing w:before="100" w:beforeAutospacing="1" w:after="100" w:afterAutospacing="1"/>
      <w:jc w:val="center"/>
      <w:textAlignment w:val="center"/>
    </w:pPr>
    <w:rPr>
      <w:rFonts w:ascii="dcr10" w:hAnsi="dcr10"/>
      <w:sz w:val="26"/>
      <w:szCs w:val="26"/>
      <w:lang w:eastAsia="en-GB"/>
    </w:rPr>
  </w:style>
  <w:style w:type="paragraph" w:customStyle="1" w:styleId="xl97">
    <w:name w:val="xl97"/>
    <w:basedOn w:val="Normal"/>
    <w:rsid w:val="00B85FC0"/>
    <w:pPr>
      <w:pBdr>
        <w:bottom w:val="single" w:sz="8" w:space="0" w:color="auto"/>
      </w:pBdr>
      <w:spacing w:before="100" w:beforeAutospacing="1" w:after="100" w:afterAutospacing="1"/>
      <w:jc w:val="center"/>
      <w:textAlignment w:val="center"/>
    </w:pPr>
    <w:rPr>
      <w:rFonts w:ascii="dcr10" w:hAnsi="dcr10"/>
      <w:sz w:val="26"/>
      <w:szCs w:val="26"/>
      <w:lang w:eastAsia="en-GB"/>
    </w:rPr>
  </w:style>
  <w:style w:type="paragraph" w:customStyle="1" w:styleId="xl98">
    <w:name w:val="xl98"/>
    <w:basedOn w:val="Normal"/>
    <w:rsid w:val="00B85FC0"/>
    <w:pPr>
      <w:pBdr>
        <w:top w:val="single" w:sz="4" w:space="0" w:color="auto"/>
        <w:bottom w:val="single" w:sz="4" w:space="0" w:color="auto"/>
      </w:pBdr>
      <w:spacing w:before="100" w:beforeAutospacing="1" w:after="100" w:afterAutospacing="1"/>
      <w:jc w:val="center"/>
    </w:pPr>
    <w:rPr>
      <w:rFonts w:ascii="dcr10" w:hAnsi="dcr10"/>
      <w:sz w:val="26"/>
      <w:szCs w:val="26"/>
      <w:lang w:eastAsia="en-GB"/>
    </w:rPr>
  </w:style>
  <w:style w:type="paragraph" w:customStyle="1" w:styleId="xl99">
    <w:name w:val="xl99"/>
    <w:basedOn w:val="Normal"/>
    <w:rsid w:val="00B85FC0"/>
    <w:pPr>
      <w:pBdr>
        <w:top w:val="single" w:sz="4" w:space="0" w:color="auto"/>
        <w:bottom w:val="single" w:sz="4" w:space="0" w:color="auto"/>
      </w:pBdr>
      <w:spacing w:before="100" w:beforeAutospacing="1" w:after="100" w:afterAutospacing="1"/>
      <w:jc w:val="center"/>
    </w:pPr>
    <w:rPr>
      <w:rFonts w:ascii="dcr10" w:hAnsi="dcr10"/>
      <w:sz w:val="26"/>
      <w:szCs w:val="26"/>
      <w:lang w:eastAsia="en-GB"/>
    </w:rPr>
  </w:style>
  <w:style w:type="paragraph" w:customStyle="1" w:styleId="xl100">
    <w:name w:val="xl100"/>
    <w:basedOn w:val="Normal"/>
    <w:rsid w:val="00B85FC0"/>
    <w:pPr>
      <w:pBdr>
        <w:top w:val="single" w:sz="4" w:space="0" w:color="auto"/>
        <w:bottom w:val="single" w:sz="4" w:space="0" w:color="auto"/>
        <w:right w:val="single" w:sz="4" w:space="0" w:color="auto"/>
      </w:pBdr>
      <w:spacing w:before="100" w:beforeAutospacing="1" w:after="100" w:afterAutospacing="1"/>
      <w:jc w:val="center"/>
    </w:pPr>
    <w:rPr>
      <w:rFonts w:ascii="dcr10" w:hAnsi="dcr10"/>
      <w:b/>
      <w:bCs/>
      <w:sz w:val="26"/>
      <w:szCs w:val="26"/>
      <w:lang w:eastAsia="en-GB"/>
    </w:rPr>
  </w:style>
  <w:style w:type="paragraph" w:customStyle="1" w:styleId="xl101">
    <w:name w:val="xl101"/>
    <w:basedOn w:val="Normal"/>
    <w:rsid w:val="00B85FC0"/>
    <w:pPr>
      <w:pBdr>
        <w:top w:val="single" w:sz="4" w:space="0" w:color="auto"/>
        <w:left w:val="single" w:sz="4" w:space="0" w:color="auto"/>
        <w:bottom w:val="single" w:sz="4" w:space="0" w:color="auto"/>
      </w:pBdr>
      <w:spacing w:before="100" w:beforeAutospacing="1" w:after="100" w:afterAutospacing="1"/>
      <w:jc w:val="center"/>
    </w:pPr>
    <w:rPr>
      <w:rFonts w:ascii="dcr10" w:hAnsi="dcr10"/>
      <w:b/>
      <w:bCs/>
      <w:sz w:val="26"/>
      <w:szCs w:val="26"/>
      <w:lang w:eastAsia="en-GB"/>
    </w:rPr>
  </w:style>
  <w:style w:type="paragraph" w:customStyle="1" w:styleId="xl102">
    <w:name w:val="xl102"/>
    <w:basedOn w:val="Normal"/>
    <w:rsid w:val="00B85FC0"/>
    <w:pPr>
      <w:pBdr>
        <w:top w:val="single" w:sz="4" w:space="0" w:color="auto"/>
        <w:bottom w:val="single" w:sz="4" w:space="0" w:color="auto"/>
      </w:pBdr>
      <w:spacing w:before="100" w:beforeAutospacing="1" w:after="100" w:afterAutospacing="1"/>
      <w:jc w:val="center"/>
    </w:pPr>
    <w:rPr>
      <w:rFonts w:ascii="dcr10" w:hAnsi="dcr10"/>
      <w:b/>
      <w:bCs/>
      <w:sz w:val="26"/>
      <w:szCs w:val="26"/>
      <w:lang w:eastAsia="en-GB"/>
    </w:rPr>
  </w:style>
  <w:style w:type="paragraph" w:customStyle="1" w:styleId="xl103">
    <w:name w:val="xl103"/>
    <w:basedOn w:val="Normal"/>
    <w:rsid w:val="00B85FC0"/>
    <w:pPr>
      <w:pBdr>
        <w:top w:val="single" w:sz="4" w:space="0" w:color="auto"/>
        <w:bottom w:val="single" w:sz="4" w:space="0" w:color="auto"/>
        <w:right w:val="single" w:sz="4" w:space="0" w:color="auto"/>
      </w:pBdr>
      <w:spacing w:before="100" w:beforeAutospacing="1" w:after="100" w:afterAutospacing="1"/>
      <w:jc w:val="center"/>
    </w:pPr>
    <w:rPr>
      <w:rFonts w:ascii="dcr10" w:hAnsi="dcr10"/>
      <w:b/>
      <w:bCs/>
      <w:sz w:val="26"/>
      <w:szCs w:val="26"/>
      <w:lang w:eastAsia="en-GB"/>
    </w:rPr>
  </w:style>
  <w:style w:type="paragraph" w:styleId="NormalWeb">
    <w:name w:val="Normal (Web)"/>
    <w:basedOn w:val="Normal"/>
    <w:uiPriority w:val="99"/>
    <w:semiHidden/>
    <w:unhideWhenUsed/>
    <w:rsid w:val="00D448AF"/>
    <w:pPr>
      <w:spacing w:before="100" w:beforeAutospacing="1" w:after="100" w:afterAutospacing="1"/>
      <w:jc w:val="left"/>
    </w:pPr>
    <w:rPr>
      <w:szCs w:val="24"/>
      <w:lang w:eastAsia="en-GB"/>
    </w:rPr>
  </w:style>
  <w:style w:type="character" w:customStyle="1" w:styleId="Heading2Char">
    <w:name w:val="Heading 2 Char"/>
    <w:basedOn w:val="DefaultParagraphFont"/>
    <w:link w:val="Heading2"/>
    <w:rsid w:val="00A770A7"/>
    <w:rPr>
      <w:b/>
      <w:sz w:val="24"/>
      <w:lang w:val="fr-FR" w:eastAsia="en-US"/>
    </w:rPr>
  </w:style>
  <w:style w:type="character" w:customStyle="1" w:styleId="Heading3Char">
    <w:name w:val="Heading 3 Char"/>
    <w:basedOn w:val="DefaultParagraphFont"/>
    <w:link w:val="Heading3"/>
    <w:rsid w:val="00A770A7"/>
    <w:rPr>
      <w:i/>
      <w:sz w:val="24"/>
      <w:lang w:val="fr-FR" w:eastAsia="en-US"/>
    </w:rPr>
  </w:style>
  <w:style w:type="character" w:customStyle="1" w:styleId="Heading4Char">
    <w:name w:val="Heading 4 Char"/>
    <w:basedOn w:val="DefaultParagraphFont"/>
    <w:link w:val="Heading4"/>
    <w:rsid w:val="00A770A7"/>
    <w:rPr>
      <w:sz w:val="24"/>
      <w:lang w:val="fr-FR" w:eastAsia="en-US"/>
    </w:rPr>
  </w:style>
  <w:style w:type="character" w:customStyle="1" w:styleId="Heading5Char">
    <w:name w:val="Heading 5 Char"/>
    <w:basedOn w:val="DefaultParagraphFont"/>
    <w:link w:val="Heading5"/>
    <w:rsid w:val="00A770A7"/>
    <w:rPr>
      <w:rFonts w:ascii="Arial" w:hAnsi="Arial"/>
      <w:sz w:val="22"/>
      <w:lang w:val="fr-FR" w:eastAsia="en-US"/>
    </w:rPr>
  </w:style>
  <w:style w:type="character" w:customStyle="1" w:styleId="Heading6Char">
    <w:name w:val="Heading 6 Char"/>
    <w:basedOn w:val="DefaultParagraphFont"/>
    <w:link w:val="Heading6"/>
    <w:rsid w:val="00A770A7"/>
    <w:rPr>
      <w:rFonts w:ascii="Arial" w:hAnsi="Arial"/>
      <w:i/>
      <w:sz w:val="22"/>
      <w:lang w:val="fr-FR" w:eastAsia="en-US"/>
    </w:rPr>
  </w:style>
  <w:style w:type="character" w:customStyle="1" w:styleId="Heading7Char">
    <w:name w:val="Heading 7 Char"/>
    <w:basedOn w:val="DefaultParagraphFont"/>
    <w:link w:val="Heading7"/>
    <w:rsid w:val="00A770A7"/>
    <w:rPr>
      <w:rFonts w:ascii="Arial" w:hAnsi="Arial"/>
      <w:lang w:val="fr-FR" w:eastAsia="en-US"/>
    </w:rPr>
  </w:style>
  <w:style w:type="character" w:customStyle="1" w:styleId="Heading8Char">
    <w:name w:val="Heading 8 Char"/>
    <w:basedOn w:val="DefaultParagraphFont"/>
    <w:link w:val="Heading8"/>
    <w:rsid w:val="00A770A7"/>
    <w:rPr>
      <w:rFonts w:ascii="Arial" w:hAnsi="Arial"/>
      <w:i/>
      <w:lang w:val="fr-FR" w:eastAsia="en-US"/>
    </w:rPr>
  </w:style>
  <w:style w:type="character" w:customStyle="1" w:styleId="Heading9Char">
    <w:name w:val="Heading 9 Char"/>
    <w:basedOn w:val="DefaultParagraphFont"/>
    <w:link w:val="Heading9"/>
    <w:rsid w:val="00A770A7"/>
    <w:rPr>
      <w:rFonts w:ascii="Arial" w:hAnsi="Arial"/>
      <w:i/>
      <w:sz w:val="18"/>
      <w:lang w:val="fr-FR" w:eastAsia="en-US"/>
    </w:rPr>
  </w:style>
  <w:style w:type="character" w:customStyle="1" w:styleId="BodyText2Char">
    <w:name w:val="Body Text 2 Char"/>
    <w:basedOn w:val="DefaultParagraphFont"/>
    <w:link w:val="BodyText2"/>
    <w:rsid w:val="00A770A7"/>
    <w:rPr>
      <w:sz w:val="24"/>
      <w:lang w:val="fr-FR" w:eastAsia="en-US"/>
    </w:rPr>
  </w:style>
  <w:style w:type="character" w:customStyle="1" w:styleId="BodyText3Char">
    <w:name w:val="Body Text 3 Char"/>
    <w:basedOn w:val="DefaultParagraphFont"/>
    <w:link w:val="BodyText3"/>
    <w:rsid w:val="00A770A7"/>
    <w:rPr>
      <w:sz w:val="16"/>
      <w:lang w:val="fr-FR" w:eastAsia="en-US"/>
    </w:rPr>
  </w:style>
  <w:style w:type="character" w:customStyle="1" w:styleId="BodyTextFirstIndentChar">
    <w:name w:val="Body Text First Indent Char"/>
    <w:basedOn w:val="BodyTextChar"/>
    <w:link w:val="BodyTextFirstIndent"/>
    <w:rsid w:val="00A770A7"/>
    <w:rPr>
      <w:sz w:val="24"/>
      <w:lang w:val="fr-FR" w:eastAsia="en-US"/>
    </w:rPr>
  </w:style>
  <w:style w:type="character" w:customStyle="1" w:styleId="BodyTextIndentChar">
    <w:name w:val="Body Text Indent Char"/>
    <w:basedOn w:val="DefaultParagraphFont"/>
    <w:link w:val="BodyTextIndent"/>
    <w:rsid w:val="00A770A7"/>
    <w:rPr>
      <w:sz w:val="24"/>
      <w:lang w:val="fr-FR" w:eastAsia="en-US"/>
    </w:rPr>
  </w:style>
  <w:style w:type="character" w:customStyle="1" w:styleId="BodyTextFirstIndent2Char">
    <w:name w:val="Body Text First Indent 2 Char"/>
    <w:basedOn w:val="BodyTextIndentChar"/>
    <w:link w:val="BodyTextFirstIndent2"/>
    <w:rsid w:val="00A770A7"/>
    <w:rPr>
      <w:sz w:val="24"/>
      <w:lang w:val="fr-FR" w:eastAsia="en-US"/>
    </w:rPr>
  </w:style>
  <w:style w:type="character" w:customStyle="1" w:styleId="BodyTextIndent2Char">
    <w:name w:val="Body Text Indent 2 Char"/>
    <w:basedOn w:val="DefaultParagraphFont"/>
    <w:link w:val="BodyTextIndent2"/>
    <w:rsid w:val="00A770A7"/>
    <w:rPr>
      <w:sz w:val="24"/>
      <w:lang w:val="fr-FR" w:eastAsia="en-US"/>
    </w:rPr>
  </w:style>
  <w:style w:type="character" w:customStyle="1" w:styleId="BodyTextIndent3Char">
    <w:name w:val="Body Text Indent 3 Char"/>
    <w:basedOn w:val="DefaultParagraphFont"/>
    <w:link w:val="BodyTextIndent3"/>
    <w:rsid w:val="00A770A7"/>
    <w:rPr>
      <w:sz w:val="16"/>
      <w:lang w:val="fr-FR" w:eastAsia="en-US"/>
    </w:rPr>
  </w:style>
  <w:style w:type="character" w:customStyle="1" w:styleId="ClosingChar">
    <w:name w:val="Closing Char"/>
    <w:basedOn w:val="DefaultParagraphFont"/>
    <w:link w:val="Closing"/>
    <w:rsid w:val="00A770A7"/>
    <w:rPr>
      <w:sz w:val="24"/>
      <w:lang w:val="fr-FR" w:eastAsia="en-US"/>
    </w:rPr>
  </w:style>
  <w:style w:type="character" w:customStyle="1" w:styleId="DateChar">
    <w:name w:val="Date Char"/>
    <w:basedOn w:val="DefaultParagraphFont"/>
    <w:link w:val="Date"/>
    <w:rsid w:val="00A770A7"/>
    <w:rPr>
      <w:sz w:val="24"/>
      <w:lang w:val="fr-FR" w:eastAsia="en-US"/>
    </w:rPr>
  </w:style>
  <w:style w:type="character" w:customStyle="1" w:styleId="DocumentMapChar">
    <w:name w:val="Document Map Char"/>
    <w:basedOn w:val="DefaultParagraphFont"/>
    <w:link w:val="DocumentMap"/>
    <w:semiHidden/>
    <w:rsid w:val="00A770A7"/>
    <w:rPr>
      <w:rFonts w:ascii="Tahoma" w:hAnsi="Tahoma"/>
      <w:sz w:val="24"/>
      <w:shd w:val="clear" w:color="auto" w:fill="000080"/>
      <w:lang w:val="fr-FR" w:eastAsia="en-US"/>
    </w:rPr>
  </w:style>
  <w:style w:type="character" w:customStyle="1" w:styleId="MacroTextChar">
    <w:name w:val="Macro Text Char"/>
    <w:basedOn w:val="DefaultParagraphFont"/>
    <w:link w:val="MacroText"/>
    <w:semiHidden/>
    <w:rsid w:val="00A770A7"/>
    <w:rPr>
      <w:rFonts w:ascii="Courier New" w:hAnsi="Courier New"/>
      <w:lang w:val="en-GB" w:eastAsia="en-US"/>
    </w:rPr>
  </w:style>
  <w:style w:type="character" w:customStyle="1" w:styleId="MessageHeaderChar">
    <w:name w:val="Message Header Char"/>
    <w:basedOn w:val="DefaultParagraphFont"/>
    <w:link w:val="MessageHeader"/>
    <w:rsid w:val="00A770A7"/>
    <w:rPr>
      <w:rFonts w:ascii="Arial" w:hAnsi="Arial"/>
      <w:sz w:val="24"/>
      <w:shd w:val="pct20" w:color="auto" w:fill="auto"/>
      <w:lang w:val="fr-FR" w:eastAsia="en-US"/>
    </w:rPr>
  </w:style>
  <w:style w:type="character" w:customStyle="1" w:styleId="NoteHeadingChar">
    <w:name w:val="Note Heading Char"/>
    <w:basedOn w:val="DefaultParagraphFont"/>
    <w:link w:val="NoteHeading"/>
    <w:rsid w:val="00A770A7"/>
    <w:rPr>
      <w:sz w:val="24"/>
      <w:lang w:val="fr-FR" w:eastAsia="en-US"/>
    </w:rPr>
  </w:style>
  <w:style w:type="character" w:customStyle="1" w:styleId="PlainTextChar">
    <w:name w:val="Plain Text Char"/>
    <w:basedOn w:val="DefaultParagraphFont"/>
    <w:link w:val="PlainText"/>
    <w:rsid w:val="00A770A7"/>
    <w:rPr>
      <w:rFonts w:ascii="Courier New" w:hAnsi="Courier New"/>
      <w:lang w:val="fr-FR" w:eastAsia="en-US"/>
    </w:rPr>
  </w:style>
  <w:style w:type="character" w:customStyle="1" w:styleId="SalutationChar">
    <w:name w:val="Salutation Char"/>
    <w:basedOn w:val="DefaultParagraphFont"/>
    <w:link w:val="Salutation"/>
    <w:rsid w:val="00A770A7"/>
    <w:rPr>
      <w:sz w:val="24"/>
      <w:lang w:val="fr-FR" w:eastAsia="en-US"/>
    </w:rPr>
  </w:style>
  <w:style w:type="character" w:customStyle="1" w:styleId="SignatureChar">
    <w:name w:val="Signature Char"/>
    <w:basedOn w:val="DefaultParagraphFont"/>
    <w:link w:val="Signature"/>
    <w:rsid w:val="00A770A7"/>
    <w:rPr>
      <w:sz w:val="24"/>
      <w:lang w:val="fr-FR" w:eastAsia="en-US"/>
    </w:rPr>
  </w:style>
  <w:style w:type="character" w:customStyle="1" w:styleId="SubtitleChar">
    <w:name w:val="Subtitle Char"/>
    <w:basedOn w:val="DefaultParagraphFont"/>
    <w:link w:val="Subtitle"/>
    <w:rsid w:val="00A770A7"/>
    <w:rPr>
      <w:rFonts w:ascii="Arial" w:hAnsi="Arial"/>
      <w:sz w:val="24"/>
      <w:lang w:val="fr-FR" w:eastAsia="en-US"/>
    </w:rPr>
  </w:style>
  <w:style w:type="character" w:customStyle="1" w:styleId="TitleChar">
    <w:name w:val="Title Char"/>
    <w:basedOn w:val="DefaultParagraphFont"/>
    <w:link w:val="Title"/>
    <w:rsid w:val="00A770A7"/>
    <w:rPr>
      <w:b/>
      <w:kern w:val="28"/>
      <w:sz w:val="48"/>
      <w:lang w:val="fr-FR" w:eastAsia="en-US"/>
    </w:rPr>
  </w:style>
  <w:style w:type="character" w:styleId="Strong">
    <w:name w:val="Strong"/>
    <w:basedOn w:val="DefaultParagraphFont"/>
    <w:uiPriority w:val="22"/>
    <w:qFormat/>
    <w:rsid w:val="006E614E"/>
    <w:rPr>
      <w:b/>
      <w:bCs/>
    </w:rPr>
  </w:style>
  <w:style w:type="character" w:styleId="PlaceholderText">
    <w:name w:val="Placeholder Text"/>
    <w:basedOn w:val="DefaultParagraphFont"/>
    <w:uiPriority w:val="99"/>
    <w:semiHidden/>
    <w:rsid w:val="00DA6D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17818">
      <w:bodyDiv w:val="1"/>
      <w:marLeft w:val="0"/>
      <w:marRight w:val="0"/>
      <w:marTop w:val="0"/>
      <w:marBottom w:val="0"/>
      <w:divBdr>
        <w:top w:val="none" w:sz="0" w:space="0" w:color="auto"/>
        <w:left w:val="none" w:sz="0" w:space="0" w:color="auto"/>
        <w:bottom w:val="none" w:sz="0" w:space="0" w:color="auto"/>
        <w:right w:val="none" w:sz="0" w:space="0" w:color="auto"/>
      </w:divBdr>
    </w:div>
    <w:div w:id="396099782">
      <w:bodyDiv w:val="1"/>
      <w:marLeft w:val="0"/>
      <w:marRight w:val="0"/>
      <w:marTop w:val="0"/>
      <w:marBottom w:val="0"/>
      <w:divBdr>
        <w:top w:val="none" w:sz="0" w:space="0" w:color="auto"/>
        <w:left w:val="none" w:sz="0" w:space="0" w:color="auto"/>
        <w:bottom w:val="none" w:sz="0" w:space="0" w:color="auto"/>
        <w:right w:val="none" w:sz="0" w:space="0" w:color="auto"/>
      </w:divBdr>
      <w:divsChild>
        <w:div w:id="1184974432">
          <w:marLeft w:val="432"/>
          <w:marRight w:val="0"/>
          <w:marTop w:val="120"/>
          <w:marBottom w:val="0"/>
          <w:divBdr>
            <w:top w:val="none" w:sz="0" w:space="0" w:color="auto"/>
            <w:left w:val="none" w:sz="0" w:space="0" w:color="auto"/>
            <w:bottom w:val="none" w:sz="0" w:space="0" w:color="auto"/>
            <w:right w:val="none" w:sz="0" w:space="0" w:color="auto"/>
          </w:divBdr>
        </w:div>
        <w:div w:id="1801730223">
          <w:marLeft w:val="432"/>
          <w:marRight w:val="0"/>
          <w:marTop w:val="120"/>
          <w:marBottom w:val="0"/>
          <w:divBdr>
            <w:top w:val="none" w:sz="0" w:space="0" w:color="auto"/>
            <w:left w:val="none" w:sz="0" w:space="0" w:color="auto"/>
            <w:bottom w:val="none" w:sz="0" w:space="0" w:color="auto"/>
            <w:right w:val="none" w:sz="0" w:space="0" w:color="auto"/>
          </w:divBdr>
        </w:div>
        <w:div w:id="1009913360">
          <w:marLeft w:val="432"/>
          <w:marRight w:val="0"/>
          <w:marTop w:val="120"/>
          <w:marBottom w:val="0"/>
          <w:divBdr>
            <w:top w:val="none" w:sz="0" w:space="0" w:color="auto"/>
            <w:left w:val="none" w:sz="0" w:space="0" w:color="auto"/>
            <w:bottom w:val="none" w:sz="0" w:space="0" w:color="auto"/>
            <w:right w:val="none" w:sz="0" w:space="0" w:color="auto"/>
          </w:divBdr>
        </w:div>
      </w:divsChild>
    </w:div>
    <w:div w:id="885679879">
      <w:bodyDiv w:val="1"/>
      <w:marLeft w:val="0"/>
      <w:marRight w:val="0"/>
      <w:marTop w:val="0"/>
      <w:marBottom w:val="0"/>
      <w:divBdr>
        <w:top w:val="none" w:sz="0" w:space="0" w:color="auto"/>
        <w:left w:val="none" w:sz="0" w:space="0" w:color="auto"/>
        <w:bottom w:val="none" w:sz="0" w:space="0" w:color="auto"/>
        <w:right w:val="none" w:sz="0" w:space="0" w:color="auto"/>
      </w:divBdr>
    </w:div>
    <w:div w:id="1060708030">
      <w:bodyDiv w:val="1"/>
      <w:marLeft w:val="0"/>
      <w:marRight w:val="0"/>
      <w:marTop w:val="0"/>
      <w:marBottom w:val="0"/>
      <w:divBdr>
        <w:top w:val="none" w:sz="0" w:space="0" w:color="auto"/>
        <w:left w:val="none" w:sz="0" w:space="0" w:color="auto"/>
        <w:bottom w:val="none" w:sz="0" w:space="0" w:color="auto"/>
        <w:right w:val="none" w:sz="0" w:space="0" w:color="auto"/>
      </w:divBdr>
      <w:divsChild>
        <w:div w:id="1156652472">
          <w:marLeft w:val="0"/>
          <w:marRight w:val="0"/>
          <w:marTop w:val="0"/>
          <w:marBottom w:val="0"/>
          <w:divBdr>
            <w:top w:val="none" w:sz="0" w:space="0" w:color="auto"/>
            <w:left w:val="none" w:sz="0" w:space="0" w:color="auto"/>
            <w:bottom w:val="none" w:sz="0" w:space="0" w:color="auto"/>
            <w:right w:val="none" w:sz="0" w:space="0" w:color="auto"/>
          </w:divBdr>
          <w:divsChild>
            <w:div w:id="154235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44104">
      <w:bodyDiv w:val="1"/>
      <w:marLeft w:val="0"/>
      <w:marRight w:val="0"/>
      <w:marTop w:val="0"/>
      <w:marBottom w:val="0"/>
      <w:divBdr>
        <w:top w:val="none" w:sz="0" w:space="0" w:color="auto"/>
        <w:left w:val="none" w:sz="0" w:space="0" w:color="auto"/>
        <w:bottom w:val="none" w:sz="0" w:space="0" w:color="auto"/>
        <w:right w:val="none" w:sz="0" w:space="0" w:color="auto"/>
      </w:divBdr>
    </w:div>
    <w:div w:id="1189221093">
      <w:bodyDiv w:val="1"/>
      <w:marLeft w:val="0"/>
      <w:marRight w:val="0"/>
      <w:marTop w:val="0"/>
      <w:marBottom w:val="0"/>
      <w:divBdr>
        <w:top w:val="none" w:sz="0" w:space="0" w:color="auto"/>
        <w:left w:val="none" w:sz="0" w:space="0" w:color="auto"/>
        <w:bottom w:val="none" w:sz="0" w:space="0" w:color="auto"/>
        <w:right w:val="none" w:sz="0" w:space="0" w:color="auto"/>
      </w:divBdr>
      <w:divsChild>
        <w:div w:id="220560848">
          <w:marLeft w:val="0"/>
          <w:marRight w:val="0"/>
          <w:marTop w:val="0"/>
          <w:marBottom w:val="0"/>
          <w:divBdr>
            <w:top w:val="none" w:sz="0" w:space="0" w:color="auto"/>
            <w:left w:val="none" w:sz="0" w:space="0" w:color="auto"/>
            <w:bottom w:val="none" w:sz="0" w:space="0" w:color="auto"/>
            <w:right w:val="none" w:sz="0" w:space="0" w:color="auto"/>
          </w:divBdr>
          <w:divsChild>
            <w:div w:id="99113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39940">
      <w:bodyDiv w:val="1"/>
      <w:marLeft w:val="0"/>
      <w:marRight w:val="0"/>
      <w:marTop w:val="0"/>
      <w:marBottom w:val="0"/>
      <w:divBdr>
        <w:top w:val="none" w:sz="0" w:space="0" w:color="auto"/>
        <w:left w:val="none" w:sz="0" w:space="0" w:color="auto"/>
        <w:bottom w:val="none" w:sz="0" w:space="0" w:color="auto"/>
        <w:right w:val="none" w:sz="0" w:space="0" w:color="auto"/>
      </w:divBdr>
    </w:div>
    <w:div w:id="152790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gi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hart" Target="charts/chart1.xml"/><Relationship Id="rId7" Type="http://schemas.microsoft.com/office/2007/relationships/stylesWithEffects" Target="stylesWithEffects.xml"/><Relationship Id="rId12"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customXml" Target="../customXml/item2.xml"/><Relationship Id="rId20" Type="http://schemas.openxmlformats.org/officeDocument/2006/relationships/image" Target="media/image8.gif"/><Relationship Id="rId29"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5.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chart" Target="charts/chart3.xml"/><Relationship Id="rId28" Type="http://schemas.openxmlformats.org/officeDocument/2006/relationships/chart" Target="charts/chart5.xml"/><Relationship Id="rId10" Type="http://schemas.openxmlformats.org/officeDocument/2006/relationships/footnotes" Target="footnotes.xml"/><Relationship Id="rId19" Type="http://schemas.openxmlformats.org/officeDocument/2006/relationships/image" Target="media/image7.gi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chart" Target="charts/chart2.xml"/><Relationship Id="rId27" Type="http://schemas.openxmlformats.org/officeDocument/2006/relationships/chart" Target="charts/chart4.xml"/><Relationship Id="rId30" Type="http://schemas.openxmlformats.org/officeDocument/2006/relationships/chart" Target="charts/chart7.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monastir\Dropbox\_WORK2015\Research\Consultancies\LSE-Enterprise\DG%20EMPL%20Social%20Situation%20Monitor\Labour%20market%20transitions\Country%20transition%20matrices%20-%20some%20analy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onastir\Dropbox\_WORK2015\Research\Consultancies\LSE-Enterprise\DG%20EMPL%20Social%20Situation%20Monitor\Labour%20market%20transitions\FIGURES%20AND%20TABLES%20ORIGINAL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onastir\Dropbox\_WORK2015\Research\Consultancies\LSE-Enterprise\DG%20EMPL%20Social%20Situation%20Monitor\Labour%20market%20transitions\FIGURES%20AND%20TABLES%20ORIGINAL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onastir\Dropbox\_WORK2015\Research\Consultancies\LSE-Enterprise\DG%20EMPL%20Social%20Situation%20Monitor\Labour%20market%20transitions\FIGURES%20AND%20TABLES%20ORIGINAL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monastir\Dropbox\_WORK2015\Research\Consultancies\LSE-Enterprise\DG%20EMPL%20Social%20Situation%20Monitor\Labour%20market%20transitions\FIGURES%20AND%20TABLES%20ORIGINAL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Analysis!$J$1</c:f>
              <c:strCache>
                <c:ptCount val="1"/>
                <c:pt idx="0">
                  <c:v>Pre-crisis</c:v>
                </c:pt>
              </c:strCache>
            </c:strRef>
          </c:tx>
          <c:spPr>
            <a:solidFill>
              <a:schemeClr val="tx1"/>
            </a:solidFill>
          </c:spPr>
          <c:invertIfNegative val="0"/>
          <c:cat>
            <c:strRef>
              <c:f>Analysis!$I$2:$I$26</c:f>
              <c:strCache>
                <c:ptCount val="25"/>
                <c:pt idx="0">
                  <c:v>AT</c:v>
                </c:pt>
                <c:pt idx="1">
                  <c:v>BE</c:v>
                </c:pt>
                <c:pt idx="2">
                  <c:v>BG</c:v>
                </c:pt>
                <c:pt idx="3">
                  <c:v>CY</c:v>
                </c:pt>
                <c:pt idx="4">
                  <c:v>CZ</c:v>
                </c:pt>
                <c:pt idx="5">
                  <c:v>DK</c:v>
                </c:pt>
                <c:pt idx="6">
                  <c:v>EE</c:v>
                </c:pt>
                <c:pt idx="7">
                  <c:v>ES</c:v>
                </c:pt>
                <c:pt idx="8">
                  <c:v>FI</c:v>
                </c:pt>
                <c:pt idx="9">
                  <c:v>FR</c:v>
                </c:pt>
                <c:pt idx="10">
                  <c:v>GR</c:v>
                </c:pt>
                <c:pt idx="11">
                  <c:v>HR</c:v>
                </c:pt>
                <c:pt idx="12">
                  <c:v>HU</c:v>
                </c:pt>
                <c:pt idx="13">
                  <c:v>IT</c:v>
                </c:pt>
                <c:pt idx="14">
                  <c:v>LT</c:v>
                </c:pt>
                <c:pt idx="15">
                  <c:v>LU</c:v>
                </c:pt>
                <c:pt idx="16">
                  <c:v>LV</c:v>
                </c:pt>
                <c:pt idx="17">
                  <c:v>MT</c:v>
                </c:pt>
                <c:pt idx="18">
                  <c:v>NL</c:v>
                </c:pt>
                <c:pt idx="19">
                  <c:v>PL</c:v>
                </c:pt>
                <c:pt idx="20">
                  <c:v>PT</c:v>
                </c:pt>
                <c:pt idx="21">
                  <c:v>RO</c:v>
                </c:pt>
                <c:pt idx="22">
                  <c:v>SE</c:v>
                </c:pt>
                <c:pt idx="23">
                  <c:v>SI</c:v>
                </c:pt>
                <c:pt idx="24">
                  <c:v>SK</c:v>
                </c:pt>
              </c:strCache>
            </c:strRef>
          </c:cat>
          <c:val>
            <c:numRef>
              <c:f>Analysis!$J$2:$J$26</c:f>
              <c:numCache>
                <c:formatCode>General</c:formatCode>
                <c:ptCount val="25"/>
                <c:pt idx="0">
                  <c:v>0.80530410277530684</c:v>
                </c:pt>
                <c:pt idx="1">
                  <c:v>0.87711591067080352</c:v>
                </c:pt>
                <c:pt idx="2">
                  <c:v>0.8621421878577632</c:v>
                </c:pt>
                <c:pt idx="3">
                  <c:v>0.76357559464205915</c:v>
                </c:pt>
                <c:pt idx="4">
                  <c:v>0.81821296825078171</c:v>
                </c:pt>
                <c:pt idx="5">
                  <c:v>0.71407889664584856</c:v>
                </c:pt>
                <c:pt idx="6">
                  <c:v>0.77140068453281918</c:v>
                </c:pt>
                <c:pt idx="7">
                  <c:v>0.73866794624400578</c:v>
                </c:pt>
                <c:pt idx="8">
                  <c:v>0.7751619121785529</c:v>
                </c:pt>
                <c:pt idx="9">
                  <c:v>0.82199803551735184</c:v>
                </c:pt>
                <c:pt idx="10">
                  <c:v>0.87118749415853225</c:v>
                </c:pt>
                <c:pt idx="11">
                  <c:v>0.88832551464350085</c:v>
                </c:pt>
                <c:pt idx="12">
                  <c:v>0.82849805193773085</c:v>
                </c:pt>
                <c:pt idx="13">
                  <c:v>0.87796333285797579</c:v>
                </c:pt>
                <c:pt idx="14">
                  <c:v>0.8110290438041442</c:v>
                </c:pt>
                <c:pt idx="15">
                  <c:v>0.71920976184587604</c:v>
                </c:pt>
                <c:pt idx="16">
                  <c:v>0.81457424528657174</c:v>
                </c:pt>
                <c:pt idx="17">
                  <c:v>0</c:v>
                </c:pt>
                <c:pt idx="18">
                  <c:v>0.67009129588058303</c:v>
                </c:pt>
                <c:pt idx="19">
                  <c:v>0.83859305116785199</c:v>
                </c:pt>
                <c:pt idx="20">
                  <c:v>0.79428264831638395</c:v>
                </c:pt>
                <c:pt idx="21">
                  <c:v>0.80114194980561004</c:v>
                </c:pt>
                <c:pt idx="22">
                  <c:v>0.70078254673557083</c:v>
                </c:pt>
                <c:pt idx="23">
                  <c:v>0.85669251062685259</c:v>
                </c:pt>
                <c:pt idx="24">
                  <c:v>0.85898205935628003</c:v>
                </c:pt>
              </c:numCache>
            </c:numRef>
          </c:val>
          <c:extLst xmlns:c16r2="http://schemas.microsoft.com/office/drawing/2015/06/chart">
            <c:ext xmlns:c16="http://schemas.microsoft.com/office/drawing/2014/chart" uri="{C3380CC4-5D6E-409C-BE32-E72D297353CC}">
              <c16:uniqueId val="{00000000-1C1F-4F50-A046-C171151728C9}"/>
            </c:ext>
          </c:extLst>
        </c:ser>
        <c:ser>
          <c:idx val="1"/>
          <c:order val="1"/>
          <c:tx>
            <c:strRef>
              <c:f>Analysis!$K$1</c:f>
              <c:strCache>
                <c:ptCount val="1"/>
                <c:pt idx="0">
                  <c:v>Crisis</c:v>
                </c:pt>
              </c:strCache>
            </c:strRef>
          </c:tx>
          <c:spPr>
            <a:pattFill prst="ltUpDiag">
              <a:fgClr>
                <a:schemeClr val="tx1"/>
              </a:fgClr>
              <a:bgClr>
                <a:schemeClr val="bg1"/>
              </a:bgClr>
            </a:pattFill>
          </c:spPr>
          <c:invertIfNegative val="0"/>
          <c:cat>
            <c:strRef>
              <c:f>Analysis!$I$2:$I$26</c:f>
              <c:strCache>
                <c:ptCount val="25"/>
                <c:pt idx="0">
                  <c:v>AT</c:v>
                </c:pt>
                <c:pt idx="1">
                  <c:v>BE</c:v>
                </c:pt>
                <c:pt idx="2">
                  <c:v>BG</c:v>
                </c:pt>
                <c:pt idx="3">
                  <c:v>CY</c:v>
                </c:pt>
                <c:pt idx="4">
                  <c:v>CZ</c:v>
                </c:pt>
                <c:pt idx="5">
                  <c:v>DK</c:v>
                </c:pt>
                <c:pt idx="6">
                  <c:v>EE</c:v>
                </c:pt>
                <c:pt idx="7">
                  <c:v>ES</c:v>
                </c:pt>
                <c:pt idx="8">
                  <c:v>FI</c:v>
                </c:pt>
                <c:pt idx="9">
                  <c:v>FR</c:v>
                </c:pt>
                <c:pt idx="10">
                  <c:v>GR</c:v>
                </c:pt>
                <c:pt idx="11">
                  <c:v>HR</c:v>
                </c:pt>
                <c:pt idx="12">
                  <c:v>HU</c:v>
                </c:pt>
                <c:pt idx="13">
                  <c:v>IT</c:v>
                </c:pt>
                <c:pt idx="14">
                  <c:v>LT</c:v>
                </c:pt>
                <c:pt idx="15">
                  <c:v>LU</c:v>
                </c:pt>
                <c:pt idx="16">
                  <c:v>LV</c:v>
                </c:pt>
                <c:pt idx="17">
                  <c:v>MT</c:v>
                </c:pt>
                <c:pt idx="18">
                  <c:v>NL</c:v>
                </c:pt>
                <c:pt idx="19">
                  <c:v>PL</c:v>
                </c:pt>
                <c:pt idx="20">
                  <c:v>PT</c:v>
                </c:pt>
                <c:pt idx="21">
                  <c:v>RO</c:v>
                </c:pt>
                <c:pt idx="22">
                  <c:v>SE</c:v>
                </c:pt>
                <c:pt idx="23">
                  <c:v>SI</c:v>
                </c:pt>
                <c:pt idx="24">
                  <c:v>SK</c:v>
                </c:pt>
              </c:strCache>
            </c:strRef>
          </c:cat>
          <c:val>
            <c:numRef>
              <c:f>Analysis!$K$2:$K$26</c:f>
              <c:numCache>
                <c:formatCode>General</c:formatCode>
                <c:ptCount val="25"/>
                <c:pt idx="0">
                  <c:v>0.80570318298304644</c:v>
                </c:pt>
                <c:pt idx="1">
                  <c:v>0.8647779613475336</c:v>
                </c:pt>
                <c:pt idx="2">
                  <c:v>0.88846221336956399</c:v>
                </c:pt>
                <c:pt idx="3">
                  <c:v>0.80535812663056394</c:v>
                </c:pt>
                <c:pt idx="4">
                  <c:v>0.82185314041844026</c:v>
                </c:pt>
                <c:pt idx="5">
                  <c:v>0.72843037379143671</c:v>
                </c:pt>
                <c:pt idx="6">
                  <c:v>0.78050472971930185</c:v>
                </c:pt>
                <c:pt idx="7">
                  <c:v>0.8117193054405405</c:v>
                </c:pt>
                <c:pt idx="8">
                  <c:v>0.76125976406115414</c:v>
                </c:pt>
                <c:pt idx="9">
                  <c:v>0.81287607274171292</c:v>
                </c:pt>
                <c:pt idx="10">
                  <c:v>0.89993186073758269</c:v>
                </c:pt>
                <c:pt idx="11">
                  <c:v>0.89362343987006765</c:v>
                </c:pt>
                <c:pt idx="12">
                  <c:v>0.83518661600308841</c:v>
                </c:pt>
                <c:pt idx="13">
                  <c:v>0.8821791006311247</c:v>
                </c:pt>
                <c:pt idx="14">
                  <c:v>0.82851126303752698</c:v>
                </c:pt>
                <c:pt idx="15">
                  <c:v>0.71024465919320079</c:v>
                </c:pt>
                <c:pt idx="16">
                  <c:v>0.79229743922339446</c:v>
                </c:pt>
                <c:pt idx="17">
                  <c:v>0.80654557087102319</c:v>
                </c:pt>
                <c:pt idx="18">
                  <c:v>0.68945043867190947</c:v>
                </c:pt>
                <c:pt idx="19">
                  <c:v>0.86329026088908556</c:v>
                </c:pt>
                <c:pt idx="20">
                  <c:v>0.82930049237902181</c:v>
                </c:pt>
                <c:pt idx="21">
                  <c:v>0.88417329627966623</c:v>
                </c:pt>
                <c:pt idx="22">
                  <c:v>0.70611057445033476</c:v>
                </c:pt>
                <c:pt idx="23">
                  <c:v>0.87606111996847835</c:v>
                </c:pt>
                <c:pt idx="24">
                  <c:v>0.87705479032983258</c:v>
                </c:pt>
              </c:numCache>
            </c:numRef>
          </c:val>
          <c:extLst xmlns:c16r2="http://schemas.microsoft.com/office/drawing/2015/06/chart">
            <c:ext xmlns:c16="http://schemas.microsoft.com/office/drawing/2014/chart" uri="{C3380CC4-5D6E-409C-BE32-E72D297353CC}">
              <c16:uniqueId val="{00000001-1C1F-4F50-A046-C171151728C9}"/>
            </c:ext>
          </c:extLst>
        </c:ser>
        <c:ser>
          <c:idx val="2"/>
          <c:order val="2"/>
          <c:tx>
            <c:strRef>
              <c:f>Analysis!$L$1</c:f>
              <c:strCache>
                <c:ptCount val="1"/>
                <c:pt idx="0">
                  <c:v>Recovery</c:v>
                </c:pt>
              </c:strCache>
            </c:strRef>
          </c:tx>
          <c:spPr>
            <a:solidFill>
              <a:schemeClr val="tx1">
                <a:lumMod val="50000"/>
                <a:lumOff val="50000"/>
              </a:schemeClr>
            </a:solidFill>
          </c:spPr>
          <c:invertIfNegative val="0"/>
          <c:cat>
            <c:strRef>
              <c:f>Analysis!$I$2:$I$26</c:f>
              <c:strCache>
                <c:ptCount val="25"/>
                <c:pt idx="0">
                  <c:v>AT</c:v>
                </c:pt>
                <c:pt idx="1">
                  <c:v>BE</c:v>
                </c:pt>
                <c:pt idx="2">
                  <c:v>BG</c:v>
                </c:pt>
                <c:pt idx="3">
                  <c:v>CY</c:v>
                </c:pt>
                <c:pt idx="4">
                  <c:v>CZ</c:v>
                </c:pt>
                <c:pt idx="5">
                  <c:v>DK</c:v>
                </c:pt>
                <c:pt idx="6">
                  <c:v>EE</c:v>
                </c:pt>
                <c:pt idx="7">
                  <c:v>ES</c:v>
                </c:pt>
                <c:pt idx="8">
                  <c:v>FI</c:v>
                </c:pt>
                <c:pt idx="9">
                  <c:v>FR</c:v>
                </c:pt>
                <c:pt idx="10">
                  <c:v>GR</c:v>
                </c:pt>
                <c:pt idx="11">
                  <c:v>HR</c:v>
                </c:pt>
                <c:pt idx="12">
                  <c:v>HU</c:v>
                </c:pt>
                <c:pt idx="13">
                  <c:v>IT</c:v>
                </c:pt>
                <c:pt idx="14">
                  <c:v>LT</c:v>
                </c:pt>
                <c:pt idx="15">
                  <c:v>LU</c:v>
                </c:pt>
                <c:pt idx="16">
                  <c:v>LV</c:v>
                </c:pt>
                <c:pt idx="17">
                  <c:v>MT</c:v>
                </c:pt>
                <c:pt idx="18">
                  <c:v>NL</c:v>
                </c:pt>
                <c:pt idx="19">
                  <c:v>PL</c:v>
                </c:pt>
                <c:pt idx="20">
                  <c:v>PT</c:v>
                </c:pt>
                <c:pt idx="21">
                  <c:v>RO</c:v>
                </c:pt>
                <c:pt idx="22">
                  <c:v>SE</c:v>
                </c:pt>
                <c:pt idx="23">
                  <c:v>SI</c:v>
                </c:pt>
                <c:pt idx="24">
                  <c:v>SK</c:v>
                </c:pt>
              </c:strCache>
            </c:strRef>
          </c:cat>
          <c:val>
            <c:numRef>
              <c:f>Analysis!$L$2:$L$26</c:f>
              <c:numCache>
                <c:formatCode>General</c:formatCode>
                <c:ptCount val="25"/>
                <c:pt idx="0">
                  <c:v>0.82184497953583968</c:v>
                </c:pt>
                <c:pt idx="1">
                  <c:v>0.85513408550051928</c:v>
                </c:pt>
                <c:pt idx="2">
                  <c:v>0.89910254549404811</c:v>
                </c:pt>
                <c:pt idx="3">
                  <c:v>0.83155481594435399</c:v>
                </c:pt>
                <c:pt idx="4">
                  <c:v>0.810784250114442</c:v>
                </c:pt>
                <c:pt idx="5">
                  <c:v>0.7373096512098779</c:v>
                </c:pt>
                <c:pt idx="6">
                  <c:v>0.732405090208195</c:v>
                </c:pt>
                <c:pt idx="7">
                  <c:v>0.83215014752589556</c:v>
                </c:pt>
                <c:pt idx="8">
                  <c:v>0.77630906501936703</c:v>
                </c:pt>
                <c:pt idx="9">
                  <c:v>0.83324313074439349</c:v>
                </c:pt>
                <c:pt idx="10">
                  <c:v>0.91315584027197916</c:v>
                </c:pt>
                <c:pt idx="11">
                  <c:v>0.8802812128054408</c:v>
                </c:pt>
                <c:pt idx="12">
                  <c:v>0.80992929616813669</c:v>
                </c:pt>
                <c:pt idx="13">
                  <c:v>0.88414718061041198</c:v>
                </c:pt>
                <c:pt idx="14">
                  <c:v>0.82344993791761212</c:v>
                </c:pt>
                <c:pt idx="15">
                  <c:v>0.69956735777184553</c:v>
                </c:pt>
                <c:pt idx="16">
                  <c:v>0.77471954314644442</c:v>
                </c:pt>
                <c:pt idx="17">
                  <c:v>0.80629658309801311</c:v>
                </c:pt>
                <c:pt idx="18">
                  <c:v>0.72424890104414974</c:v>
                </c:pt>
                <c:pt idx="19">
                  <c:v>0.85430183002231341</c:v>
                </c:pt>
                <c:pt idx="20">
                  <c:v>0.83489045503194392</c:v>
                </c:pt>
                <c:pt idx="21">
                  <c:v>0.92252079261020459</c:v>
                </c:pt>
                <c:pt idx="22">
                  <c:v>0.69057099284278112</c:v>
                </c:pt>
                <c:pt idx="23">
                  <c:v>0.87018543758304423</c:v>
                </c:pt>
                <c:pt idx="24">
                  <c:v>0.86288141555924058</c:v>
                </c:pt>
              </c:numCache>
            </c:numRef>
          </c:val>
          <c:extLst xmlns:c16r2="http://schemas.microsoft.com/office/drawing/2015/06/chart">
            <c:ext xmlns:c16="http://schemas.microsoft.com/office/drawing/2014/chart" uri="{C3380CC4-5D6E-409C-BE32-E72D297353CC}">
              <c16:uniqueId val="{00000002-1C1F-4F50-A046-C171151728C9}"/>
            </c:ext>
          </c:extLst>
        </c:ser>
        <c:dLbls>
          <c:showLegendKey val="0"/>
          <c:showVal val="0"/>
          <c:showCatName val="0"/>
          <c:showSerName val="0"/>
          <c:showPercent val="0"/>
          <c:showBubbleSize val="0"/>
        </c:dLbls>
        <c:gapWidth val="150"/>
        <c:axId val="126564992"/>
        <c:axId val="126566784"/>
      </c:barChart>
      <c:catAx>
        <c:axId val="126564992"/>
        <c:scaling>
          <c:orientation val="minMax"/>
        </c:scaling>
        <c:delete val="0"/>
        <c:axPos val="b"/>
        <c:numFmt formatCode="General" sourceLinked="0"/>
        <c:majorTickMark val="out"/>
        <c:minorTickMark val="none"/>
        <c:tickLblPos val="nextTo"/>
        <c:crossAx val="126566784"/>
        <c:crosses val="autoZero"/>
        <c:auto val="1"/>
        <c:lblAlgn val="ctr"/>
        <c:lblOffset val="100"/>
        <c:noMultiLvlLbl val="0"/>
      </c:catAx>
      <c:valAx>
        <c:axId val="126566784"/>
        <c:scaling>
          <c:orientation val="minMax"/>
          <c:min val="0.60000000000000009"/>
        </c:scaling>
        <c:delete val="0"/>
        <c:axPos val="l"/>
        <c:majorGridlines/>
        <c:numFmt formatCode="General" sourceLinked="1"/>
        <c:majorTickMark val="out"/>
        <c:minorTickMark val="none"/>
        <c:tickLblPos val="nextTo"/>
        <c:crossAx val="126564992"/>
        <c:crosses val="autoZero"/>
        <c:crossBetween val="between"/>
        <c:majorUnit val="0.1"/>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'Figure 4'!$B$1</c:f>
              <c:strCache>
                <c:ptCount val="1"/>
                <c:pt idx="0">
                  <c:v>Pre-crisis</c:v>
                </c:pt>
              </c:strCache>
            </c:strRef>
          </c:tx>
          <c:spPr>
            <a:solidFill>
              <a:schemeClr val="tx1"/>
            </a:solidFill>
          </c:spPr>
          <c:invertIfNegative val="0"/>
          <c:cat>
            <c:strRef>
              <c:f>'Figure 4'!$A$2:$A$26</c:f>
              <c:strCache>
                <c:ptCount val="25"/>
                <c:pt idx="0">
                  <c:v>AT</c:v>
                </c:pt>
                <c:pt idx="1">
                  <c:v>BE</c:v>
                </c:pt>
                <c:pt idx="2">
                  <c:v>BG</c:v>
                </c:pt>
                <c:pt idx="3">
                  <c:v>CY</c:v>
                </c:pt>
                <c:pt idx="4">
                  <c:v>CZ</c:v>
                </c:pt>
                <c:pt idx="5">
                  <c:v>DK</c:v>
                </c:pt>
                <c:pt idx="6">
                  <c:v>EE</c:v>
                </c:pt>
                <c:pt idx="7">
                  <c:v>ES</c:v>
                </c:pt>
                <c:pt idx="8">
                  <c:v>FI</c:v>
                </c:pt>
                <c:pt idx="9">
                  <c:v>FR</c:v>
                </c:pt>
                <c:pt idx="10">
                  <c:v>GR</c:v>
                </c:pt>
                <c:pt idx="11">
                  <c:v>HR</c:v>
                </c:pt>
                <c:pt idx="12">
                  <c:v>HU</c:v>
                </c:pt>
                <c:pt idx="13">
                  <c:v>IT</c:v>
                </c:pt>
                <c:pt idx="14">
                  <c:v>LT</c:v>
                </c:pt>
                <c:pt idx="15">
                  <c:v>LU</c:v>
                </c:pt>
                <c:pt idx="16">
                  <c:v>LV</c:v>
                </c:pt>
                <c:pt idx="17">
                  <c:v>MT</c:v>
                </c:pt>
                <c:pt idx="18">
                  <c:v>NL</c:v>
                </c:pt>
                <c:pt idx="19">
                  <c:v>PL</c:v>
                </c:pt>
                <c:pt idx="20">
                  <c:v>PT</c:v>
                </c:pt>
                <c:pt idx="21">
                  <c:v>RO</c:v>
                </c:pt>
                <c:pt idx="22">
                  <c:v>SE</c:v>
                </c:pt>
                <c:pt idx="23">
                  <c:v>SI</c:v>
                </c:pt>
                <c:pt idx="24">
                  <c:v>SK</c:v>
                </c:pt>
              </c:strCache>
            </c:strRef>
          </c:cat>
          <c:val>
            <c:numRef>
              <c:f>'Figure 4'!$B$2:$B$26</c:f>
              <c:numCache>
                <c:formatCode>General</c:formatCode>
                <c:ptCount val="25"/>
                <c:pt idx="0">
                  <c:v>0.82044517494335301</c:v>
                </c:pt>
                <c:pt idx="1">
                  <c:v>0.72478960378456203</c:v>
                </c:pt>
                <c:pt idx="2">
                  <c:v>0.72288972967335696</c:v>
                </c:pt>
                <c:pt idx="3">
                  <c:v>0.80585268547019695</c:v>
                </c:pt>
                <c:pt idx="4">
                  <c:v>0.72035903869385398</c:v>
                </c:pt>
                <c:pt idx="5">
                  <c:v>0.80326661223997098</c:v>
                </c:pt>
                <c:pt idx="6">
                  <c:v>0.74175221835698002</c:v>
                </c:pt>
                <c:pt idx="7">
                  <c:v>0.62554102773803499</c:v>
                </c:pt>
                <c:pt idx="8">
                  <c:v>0.78094410869015296</c:v>
                </c:pt>
                <c:pt idx="9">
                  <c:v>0.72805296889410298</c:v>
                </c:pt>
                <c:pt idx="10">
                  <c:v>0.52038979111004802</c:v>
                </c:pt>
                <c:pt idx="11">
                  <c:v>0.45581683160469799</c:v>
                </c:pt>
                <c:pt idx="12">
                  <c:v>0.69362558007595643</c:v>
                </c:pt>
                <c:pt idx="13">
                  <c:v>0.53010626066699718</c:v>
                </c:pt>
                <c:pt idx="14">
                  <c:v>0.63813759469701803</c:v>
                </c:pt>
                <c:pt idx="15">
                  <c:v>0.92784541169508772</c:v>
                </c:pt>
                <c:pt idx="16">
                  <c:v>0.82959193749780535</c:v>
                </c:pt>
                <c:pt idx="18">
                  <c:v>0.95593233644916953</c:v>
                </c:pt>
                <c:pt idx="19">
                  <c:v>0.58586713917392008</c:v>
                </c:pt>
                <c:pt idx="20">
                  <c:v>0.45144099443227337</c:v>
                </c:pt>
                <c:pt idx="21">
                  <c:v>0.81871005137233632</c:v>
                </c:pt>
                <c:pt idx="22">
                  <c:v>0.74760916071791605</c:v>
                </c:pt>
                <c:pt idx="23">
                  <c:v>0.51360442716292265</c:v>
                </c:pt>
                <c:pt idx="24">
                  <c:v>0.65081339314325792</c:v>
                </c:pt>
              </c:numCache>
            </c:numRef>
          </c:val>
          <c:extLst xmlns:c16r2="http://schemas.microsoft.com/office/drawing/2015/06/chart">
            <c:ext xmlns:c16="http://schemas.microsoft.com/office/drawing/2014/chart" uri="{C3380CC4-5D6E-409C-BE32-E72D297353CC}">
              <c16:uniqueId val="{00000000-E3DF-4229-822C-9AAE6CB0D7A6}"/>
            </c:ext>
          </c:extLst>
        </c:ser>
        <c:ser>
          <c:idx val="1"/>
          <c:order val="1"/>
          <c:tx>
            <c:strRef>
              <c:f>'Figure 4'!$C$1</c:f>
              <c:strCache>
                <c:ptCount val="1"/>
                <c:pt idx="0">
                  <c:v>Crisis</c:v>
                </c:pt>
              </c:strCache>
            </c:strRef>
          </c:tx>
          <c:spPr>
            <a:pattFill prst="ltUpDiag">
              <a:fgClr>
                <a:schemeClr val="tx1"/>
              </a:fgClr>
              <a:bgClr>
                <a:schemeClr val="bg1"/>
              </a:bgClr>
            </a:pattFill>
          </c:spPr>
          <c:invertIfNegative val="0"/>
          <c:cat>
            <c:strRef>
              <c:f>'Figure 4'!$A$2:$A$26</c:f>
              <c:strCache>
                <c:ptCount val="25"/>
                <c:pt idx="0">
                  <c:v>AT</c:v>
                </c:pt>
                <c:pt idx="1">
                  <c:v>BE</c:v>
                </c:pt>
                <c:pt idx="2">
                  <c:v>BG</c:v>
                </c:pt>
                <c:pt idx="3">
                  <c:v>CY</c:v>
                </c:pt>
                <c:pt idx="4">
                  <c:v>CZ</c:v>
                </c:pt>
                <c:pt idx="5">
                  <c:v>DK</c:v>
                </c:pt>
                <c:pt idx="6">
                  <c:v>EE</c:v>
                </c:pt>
                <c:pt idx="7">
                  <c:v>ES</c:v>
                </c:pt>
                <c:pt idx="8">
                  <c:v>FI</c:v>
                </c:pt>
                <c:pt idx="9">
                  <c:v>FR</c:v>
                </c:pt>
                <c:pt idx="10">
                  <c:v>GR</c:v>
                </c:pt>
                <c:pt idx="11">
                  <c:v>HR</c:v>
                </c:pt>
                <c:pt idx="12">
                  <c:v>HU</c:v>
                </c:pt>
                <c:pt idx="13">
                  <c:v>IT</c:v>
                </c:pt>
                <c:pt idx="14">
                  <c:v>LT</c:v>
                </c:pt>
                <c:pt idx="15">
                  <c:v>LU</c:v>
                </c:pt>
                <c:pt idx="16">
                  <c:v>LV</c:v>
                </c:pt>
                <c:pt idx="17">
                  <c:v>MT</c:v>
                </c:pt>
                <c:pt idx="18">
                  <c:v>NL</c:v>
                </c:pt>
                <c:pt idx="19">
                  <c:v>PL</c:v>
                </c:pt>
                <c:pt idx="20">
                  <c:v>PT</c:v>
                </c:pt>
                <c:pt idx="21">
                  <c:v>RO</c:v>
                </c:pt>
                <c:pt idx="22">
                  <c:v>SE</c:v>
                </c:pt>
                <c:pt idx="23">
                  <c:v>SI</c:v>
                </c:pt>
                <c:pt idx="24">
                  <c:v>SK</c:v>
                </c:pt>
              </c:strCache>
            </c:strRef>
          </c:cat>
          <c:val>
            <c:numRef>
              <c:f>'Figure 4'!$C$2:$C$26</c:f>
              <c:numCache>
                <c:formatCode>General</c:formatCode>
                <c:ptCount val="25"/>
                <c:pt idx="0">
                  <c:v>0.81803735509879338</c:v>
                </c:pt>
                <c:pt idx="1">
                  <c:v>0.67305595778017335</c:v>
                </c:pt>
                <c:pt idx="2">
                  <c:v>0.55156577850346289</c:v>
                </c:pt>
                <c:pt idx="3">
                  <c:v>0.59539325333239423</c:v>
                </c:pt>
                <c:pt idx="4">
                  <c:v>0.69201474837219479</c:v>
                </c:pt>
                <c:pt idx="5">
                  <c:v>0.71637833081692714</c:v>
                </c:pt>
                <c:pt idx="6">
                  <c:v>0.63142814218712873</c:v>
                </c:pt>
                <c:pt idx="7">
                  <c:v>0.43265915534675431</c:v>
                </c:pt>
                <c:pt idx="8">
                  <c:v>0.76189764413103422</c:v>
                </c:pt>
                <c:pt idx="9">
                  <c:v>0.65562731617206982</c:v>
                </c:pt>
                <c:pt idx="10">
                  <c:v>0.35077665167037969</c:v>
                </c:pt>
                <c:pt idx="11">
                  <c:v>0.36136846025389341</c:v>
                </c:pt>
                <c:pt idx="12">
                  <c:v>0.61097331613909123</c:v>
                </c:pt>
                <c:pt idx="13">
                  <c:v>0.43922100199447273</c:v>
                </c:pt>
                <c:pt idx="14">
                  <c:v>0.5476396353811438</c:v>
                </c:pt>
                <c:pt idx="15">
                  <c:v>0.87194585531980418</c:v>
                </c:pt>
                <c:pt idx="16">
                  <c:v>0.66911839249709748</c:v>
                </c:pt>
                <c:pt idx="17">
                  <c:v>0.8411196858073553</c:v>
                </c:pt>
                <c:pt idx="18">
                  <c:v>0.8780346874113133</c:v>
                </c:pt>
                <c:pt idx="19">
                  <c:v>0.66471345398708059</c:v>
                </c:pt>
                <c:pt idx="20">
                  <c:v>0.42036214544372097</c:v>
                </c:pt>
                <c:pt idx="21">
                  <c:v>0.77027423390531791</c:v>
                </c:pt>
                <c:pt idx="22">
                  <c:v>0.66452301806665293</c:v>
                </c:pt>
                <c:pt idx="23">
                  <c:v>0.49479817201516907</c:v>
                </c:pt>
                <c:pt idx="24">
                  <c:v>0.57420407699534426</c:v>
                </c:pt>
              </c:numCache>
            </c:numRef>
          </c:val>
          <c:extLst xmlns:c16r2="http://schemas.microsoft.com/office/drawing/2015/06/chart">
            <c:ext xmlns:c16="http://schemas.microsoft.com/office/drawing/2014/chart" uri="{C3380CC4-5D6E-409C-BE32-E72D297353CC}">
              <c16:uniqueId val="{00000001-E3DF-4229-822C-9AAE6CB0D7A6}"/>
            </c:ext>
          </c:extLst>
        </c:ser>
        <c:ser>
          <c:idx val="2"/>
          <c:order val="2"/>
          <c:tx>
            <c:strRef>
              <c:f>'Figure 4'!$D$1</c:f>
              <c:strCache>
                <c:ptCount val="1"/>
                <c:pt idx="0">
                  <c:v>Recovery</c:v>
                </c:pt>
              </c:strCache>
            </c:strRef>
          </c:tx>
          <c:spPr>
            <a:solidFill>
              <a:schemeClr val="tx1">
                <a:lumMod val="50000"/>
                <a:lumOff val="50000"/>
              </a:schemeClr>
            </a:solidFill>
          </c:spPr>
          <c:invertIfNegative val="0"/>
          <c:cat>
            <c:strRef>
              <c:f>'Figure 4'!$A$2:$A$26</c:f>
              <c:strCache>
                <c:ptCount val="25"/>
                <c:pt idx="0">
                  <c:v>AT</c:v>
                </c:pt>
                <c:pt idx="1">
                  <c:v>BE</c:v>
                </c:pt>
                <c:pt idx="2">
                  <c:v>BG</c:v>
                </c:pt>
                <c:pt idx="3">
                  <c:v>CY</c:v>
                </c:pt>
                <c:pt idx="4">
                  <c:v>CZ</c:v>
                </c:pt>
                <c:pt idx="5">
                  <c:v>DK</c:v>
                </c:pt>
                <c:pt idx="6">
                  <c:v>EE</c:v>
                </c:pt>
                <c:pt idx="7">
                  <c:v>ES</c:v>
                </c:pt>
                <c:pt idx="8">
                  <c:v>FI</c:v>
                </c:pt>
                <c:pt idx="9">
                  <c:v>FR</c:v>
                </c:pt>
                <c:pt idx="10">
                  <c:v>GR</c:v>
                </c:pt>
                <c:pt idx="11">
                  <c:v>HR</c:v>
                </c:pt>
                <c:pt idx="12">
                  <c:v>HU</c:v>
                </c:pt>
                <c:pt idx="13">
                  <c:v>IT</c:v>
                </c:pt>
                <c:pt idx="14">
                  <c:v>LT</c:v>
                </c:pt>
                <c:pt idx="15">
                  <c:v>LU</c:v>
                </c:pt>
                <c:pt idx="16">
                  <c:v>LV</c:v>
                </c:pt>
                <c:pt idx="17">
                  <c:v>MT</c:v>
                </c:pt>
                <c:pt idx="18">
                  <c:v>NL</c:v>
                </c:pt>
                <c:pt idx="19">
                  <c:v>PL</c:v>
                </c:pt>
                <c:pt idx="20">
                  <c:v>PT</c:v>
                </c:pt>
                <c:pt idx="21">
                  <c:v>RO</c:v>
                </c:pt>
                <c:pt idx="22">
                  <c:v>SE</c:v>
                </c:pt>
                <c:pt idx="23">
                  <c:v>SI</c:v>
                </c:pt>
                <c:pt idx="24">
                  <c:v>SK</c:v>
                </c:pt>
              </c:strCache>
            </c:strRef>
          </c:cat>
          <c:val>
            <c:numRef>
              <c:f>'Figure 4'!$D$2:$D$26</c:f>
              <c:numCache>
                <c:formatCode>General</c:formatCode>
                <c:ptCount val="25"/>
                <c:pt idx="0">
                  <c:v>0.79771124259467685</c:v>
                </c:pt>
                <c:pt idx="1">
                  <c:v>0.68879339412736551</c:v>
                </c:pt>
                <c:pt idx="2">
                  <c:v>0.6436469238920498</c:v>
                </c:pt>
                <c:pt idx="3">
                  <c:v>0.47222149853175571</c:v>
                </c:pt>
                <c:pt idx="4">
                  <c:v>0.75062982541139744</c:v>
                </c:pt>
                <c:pt idx="5">
                  <c:v>0.70925576618657649</c:v>
                </c:pt>
                <c:pt idx="6">
                  <c:v>0.69952783588800571</c:v>
                </c:pt>
                <c:pt idx="7">
                  <c:v>0.41843853725310798</c:v>
                </c:pt>
                <c:pt idx="8">
                  <c:v>0.69192504066957661</c:v>
                </c:pt>
                <c:pt idx="9">
                  <c:v>0.64507409436768604</c:v>
                </c:pt>
                <c:pt idx="10">
                  <c:v>0.31970745713251553</c:v>
                </c:pt>
                <c:pt idx="11">
                  <c:v>0.37104615309316696</c:v>
                </c:pt>
                <c:pt idx="12">
                  <c:v>0.70543984505743529</c:v>
                </c:pt>
                <c:pt idx="13">
                  <c:v>0.39009293796280881</c:v>
                </c:pt>
                <c:pt idx="14">
                  <c:v>0.7129893846759372</c:v>
                </c:pt>
                <c:pt idx="15">
                  <c:v>0.77477567010740567</c:v>
                </c:pt>
                <c:pt idx="16">
                  <c:v>0.77944899643663246</c:v>
                </c:pt>
                <c:pt idx="17">
                  <c:v>0.89746696498658995</c:v>
                </c:pt>
                <c:pt idx="18">
                  <c:v>0.80412633590725902</c:v>
                </c:pt>
                <c:pt idx="19">
                  <c:v>0.70147007089875324</c:v>
                </c:pt>
                <c:pt idx="20">
                  <c:v>0.50192739630798044</c:v>
                </c:pt>
                <c:pt idx="21">
                  <c:v>0.7010468189899679</c:v>
                </c:pt>
                <c:pt idx="22">
                  <c:v>0.69884113038231044</c:v>
                </c:pt>
                <c:pt idx="23">
                  <c:v>0.51771237934201231</c:v>
                </c:pt>
                <c:pt idx="24">
                  <c:v>0.61060123777343978</c:v>
                </c:pt>
              </c:numCache>
            </c:numRef>
          </c:val>
          <c:extLst xmlns:c16r2="http://schemas.microsoft.com/office/drawing/2015/06/chart">
            <c:ext xmlns:c16="http://schemas.microsoft.com/office/drawing/2014/chart" uri="{C3380CC4-5D6E-409C-BE32-E72D297353CC}">
              <c16:uniqueId val="{00000002-E3DF-4229-822C-9AAE6CB0D7A6}"/>
            </c:ext>
          </c:extLst>
        </c:ser>
        <c:dLbls>
          <c:showLegendKey val="0"/>
          <c:showVal val="0"/>
          <c:showCatName val="0"/>
          <c:showSerName val="0"/>
          <c:showPercent val="0"/>
          <c:showBubbleSize val="0"/>
        </c:dLbls>
        <c:gapWidth val="150"/>
        <c:axId val="126610432"/>
        <c:axId val="127767296"/>
      </c:barChart>
      <c:catAx>
        <c:axId val="126610432"/>
        <c:scaling>
          <c:orientation val="minMax"/>
        </c:scaling>
        <c:delete val="0"/>
        <c:axPos val="b"/>
        <c:numFmt formatCode="General" sourceLinked="0"/>
        <c:majorTickMark val="out"/>
        <c:minorTickMark val="none"/>
        <c:tickLblPos val="nextTo"/>
        <c:crossAx val="127767296"/>
        <c:crosses val="autoZero"/>
        <c:auto val="1"/>
        <c:lblAlgn val="ctr"/>
        <c:lblOffset val="100"/>
        <c:noMultiLvlLbl val="0"/>
      </c:catAx>
      <c:valAx>
        <c:axId val="127767296"/>
        <c:scaling>
          <c:orientation val="minMax"/>
        </c:scaling>
        <c:delete val="0"/>
        <c:axPos val="l"/>
        <c:majorGridlines/>
        <c:numFmt formatCode="General" sourceLinked="1"/>
        <c:majorTickMark val="out"/>
        <c:minorTickMark val="none"/>
        <c:tickLblPos val="nextTo"/>
        <c:crossAx val="126610432"/>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'Figure 5'!$B$1</c:f>
              <c:strCache>
                <c:ptCount val="1"/>
                <c:pt idx="0">
                  <c:v>Pre-crisis</c:v>
                </c:pt>
              </c:strCache>
            </c:strRef>
          </c:tx>
          <c:spPr>
            <a:solidFill>
              <a:schemeClr val="tx1"/>
            </a:solidFill>
          </c:spPr>
          <c:invertIfNegative val="0"/>
          <c:cat>
            <c:strRef>
              <c:f>'Figure 5'!$A$2:$A$26</c:f>
              <c:strCache>
                <c:ptCount val="25"/>
                <c:pt idx="0">
                  <c:v>AT</c:v>
                </c:pt>
                <c:pt idx="1">
                  <c:v>BE</c:v>
                </c:pt>
                <c:pt idx="2">
                  <c:v>BG</c:v>
                </c:pt>
                <c:pt idx="3">
                  <c:v>CY</c:v>
                </c:pt>
                <c:pt idx="4">
                  <c:v>CZ</c:v>
                </c:pt>
                <c:pt idx="5">
                  <c:v>DK</c:v>
                </c:pt>
                <c:pt idx="6">
                  <c:v>EE</c:v>
                </c:pt>
                <c:pt idx="7">
                  <c:v>ES</c:v>
                </c:pt>
                <c:pt idx="8">
                  <c:v>FI</c:v>
                </c:pt>
                <c:pt idx="9">
                  <c:v>FR</c:v>
                </c:pt>
                <c:pt idx="10">
                  <c:v>GR</c:v>
                </c:pt>
                <c:pt idx="11">
                  <c:v>HR</c:v>
                </c:pt>
                <c:pt idx="12">
                  <c:v>HU</c:v>
                </c:pt>
                <c:pt idx="13">
                  <c:v>IT</c:v>
                </c:pt>
                <c:pt idx="14">
                  <c:v>LT</c:v>
                </c:pt>
                <c:pt idx="15">
                  <c:v>LU</c:v>
                </c:pt>
                <c:pt idx="16">
                  <c:v>LV</c:v>
                </c:pt>
                <c:pt idx="17">
                  <c:v>MT</c:v>
                </c:pt>
                <c:pt idx="18">
                  <c:v>NL</c:v>
                </c:pt>
                <c:pt idx="19">
                  <c:v>PL</c:v>
                </c:pt>
                <c:pt idx="20">
                  <c:v>PT</c:v>
                </c:pt>
                <c:pt idx="21">
                  <c:v>RO</c:v>
                </c:pt>
                <c:pt idx="22">
                  <c:v>SE</c:v>
                </c:pt>
                <c:pt idx="23">
                  <c:v>SI</c:v>
                </c:pt>
                <c:pt idx="24">
                  <c:v>SK</c:v>
                </c:pt>
              </c:strCache>
            </c:strRef>
          </c:cat>
          <c:val>
            <c:numRef>
              <c:f>'Figure 5'!$B$2:$B$26</c:f>
              <c:numCache>
                <c:formatCode>General</c:formatCode>
                <c:ptCount val="25"/>
                <c:pt idx="0">
                  <c:v>0.20003356127201005</c:v>
                </c:pt>
                <c:pt idx="1">
                  <c:v>0.26268098778657661</c:v>
                </c:pt>
                <c:pt idx="2">
                  <c:v>0.14324313158944002</c:v>
                </c:pt>
                <c:pt idx="3">
                  <c:v>0.12127706346460873</c:v>
                </c:pt>
                <c:pt idx="4">
                  <c:v>0.16009424842981629</c:v>
                </c:pt>
                <c:pt idx="5">
                  <c:v>0.28808497202927835</c:v>
                </c:pt>
                <c:pt idx="6">
                  <c:v>0.29190376616122887</c:v>
                </c:pt>
                <c:pt idx="7">
                  <c:v>0.31064198902528256</c:v>
                </c:pt>
                <c:pt idx="8">
                  <c:v>0.39525245978333412</c:v>
                </c:pt>
                <c:pt idx="9">
                  <c:v>0.1956488073840108</c:v>
                </c:pt>
                <c:pt idx="10">
                  <c:v>0.18067609801005202</c:v>
                </c:pt>
                <c:pt idx="11">
                  <c:v>0.15711152469541084</c:v>
                </c:pt>
                <c:pt idx="12">
                  <c:v>0.20063618072397318</c:v>
                </c:pt>
                <c:pt idx="13">
                  <c:v>0.15172820634162273</c:v>
                </c:pt>
                <c:pt idx="14">
                  <c:v>0.20308164029538672</c:v>
                </c:pt>
                <c:pt idx="15">
                  <c:v>0.31567745653066032</c:v>
                </c:pt>
                <c:pt idx="16">
                  <c:v>0.16888111902998457</c:v>
                </c:pt>
                <c:pt idx="19">
                  <c:v>0.26890715502633999</c:v>
                </c:pt>
                <c:pt idx="20">
                  <c:v>0.15199670409796856</c:v>
                </c:pt>
                <c:pt idx="21">
                  <c:v>0.40865892918006586</c:v>
                </c:pt>
                <c:pt idx="22">
                  <c:v>0.30048424063309481</c:v>
                </c:pt>
                <c:pt idx="23">
                  <c:v>0.23144065114917065</c:v>
                </c:pt>
                <c:pt idx="24">
                  <c:v>0.12604983678523973</c:v>
                </c:pt>
              </c:numCache>
            </c:numRef>
          </c:val>
          <c:extLst xmlns:c16r2="http://schemas.microsoft.com/office/drawing/2015/06/chart">
            <c:ext xmlns:c16="http://schemas.microsoft.com/office/drawing/2014/chart" uri="{C3380CC4-5D6E-409C-BE32-E72D297353CC}">
              <c16:uniqueId val="{00000000-AEB5-43FB-843A-90C863610CC9}"/>
            </c:ext>
          </c:extLst>
        </c:ser>
        <c:ser>
          <c:idx val="1"/>
          <c:order val="1"/>
          <c:tx>
            <c:strRef>
              <c:f>'Figure 5'!$C$1</c:f>
              <c:strCache>
                <c:ptCount val="1"/>
                <c:pt idx="0">
                  <c:v>Crisis</c:v>
                </c:pt>
              </c:strCache>
            </c:strRef>
          </c:tx>
          <c:spPr>
            <a:pattFill prst="ltUpDiag">
              <a:fgClr>
                <a:schemeClr val="tx1"/>
              </a:fgClr>
              <a:bgClr>
                <a:schemeClr val="bg1"/>
              </a:bgClr>
            </a:pattFill>
          </c:spPr>
          <c:invertIfNegative val="0"/>
          <c:cat>
            <c:strRef>
              <c:f>'Figure 5'!$A$2:$A$26</c:f>
              <c:strCache>
                <c:ptCount val="25"/>
                <c:pt idx="0">
                  <c:v>AT</c:v>
                </c:pt>
                <c:pt idx="1">
                  <c:v>BE</c:v>
                </c:pt>
                <c:pt idx="2">
                  <c:v>BG</c:v>
                </c:pt>
                <c:pt idx="3">
                  <c:v>CY</c:v>
                </c:pt>
                <c:pt idx="4">
                  <c:v>CZ</c:v>
                </c:pt>
                <c:pt idx="5">
                  <c:v>DK</c:v>
                </c:pt>
                <c:pt idx="6">
                  <c:v>EE</c:v>
                </c:pt>
                <c:pt idx="7">
                  <c:v>ES</c:v>
                </c:pt>
                <c:pt idx="8">
                  <c:v>FI</c:v>
                </c:pt>
                <c:pt idx="9">
                  <c:v>FR</c:v>
                </c:pt>
                <c:pt idx="10">
                  <c:v>GR</c:v>
                </c:pt>
                <c:pt idx="11">
                  <c:v>HR</c:v>
                </c:pt>
                <c:pt idx="12">
                  <c:v>HU</c:v>
                </c:pt>
                <c:pt idx="13">
                  <c:v>IT</c:v>
                </c:pt>
                <c:pt idx="14">
                  <c:v>LT</c:v>
                </c:pt>
                <c:pt idx="15">
                  <c:v>LU</c:v>
                </c:pt>
                <c:pt idx="16">
                  <c:v>LV</c:v>
                </c:pt>
                <c:pt idx="17">
                  <c:v>MT</c:v>
                </c:pt>
                <c:pt idx="18">
                  <c:v>NL</c:v>
                </c:pt>
                <c:pt idx="19">
                  <c:v>PL</c:v>
                </c:pt>
                <c:pt idx="20">
                  <c:v>PT</c:v>
                </c:pt>
                <c:pt idx="21">
                  <c:v>RO</c:v>
                </c:pt>
                <c:pt idx="22">
                  <c:v>SE</c:v>
                </c:pt>
                <c:pt idx="23">
                  <c:v>SI</c:v>
                </c:pt>
                <c:pt idx="24">
                  <c:v>SK</c:v>
                </c:pt>
              </c:strCache>
            </c:strRef>
          </c:cat>
          <c:val>
            <c:numRef>
              <c:f>'Figure 5'!$C$2:$C$26</c:f>
              <c:numCache>
                <c:formatCode>General</c:formatCode>
                <c:ptCount val="25"/>
                <c:pt idx="0">
                  <c:v>0.21608374645461298</c:v>
                </c:pt>
                <c:pt idx="1">
                  <c:v>0.31453325492829282</c:v>
                </c:pt>
                <c:pt idx="2">
                  <c:v>0.20091951479283388</c:v>
                </c:pt>
                <c:pt idx="3">
                  <c:v>0.14358181654216678</c:v>
                </c:pt>
                <c:pt idx="4">
                  <c:v>0.13328625344832193</c:v>
                </c:pt>
                <c:pt idx="5">
                  <c:v>0.274812127138443</c:v>
                </c:pt>
                <c:pt idx="6">
                  <c:v>0.31249415682633375</c:v>
                </c:pt>
                <c:pt idx="7">
                  <c:v>0.349648450546171</c:v>
                </c:pt>
                <c:pt idx="8">
                  <c:v>0.42932185040031551</c:v>
                </c:pt>
                <c:pt idx="9">
                  <c:v>0.22857111631386234</c:v>
                </c:pt>
                <c:pt idx="10">
                  <c:v>0.26041429263160587</c:v>
                </c:pt>
                <c:pt idx="11">
                  <c:v>0.19151770359943787</c:v>
                </c:pt>
                <c:pt idx="12">
                  <c:v>0.1639816315580428</c:v>
                </c:pt>
                <c:pt idx="13">
                  <c:v>0.21465151119767861</c:v>
                </c:pt>
                <c:pt idx="14">
                  <c:v>0.17845115409323295</c:v>
                </c:pt>
                <c:pt idx="15">
                  <c:v>0.40625280140200243</c:v>
                </c:pt>
                <c:pt idx="16">
                  <c:v>0.18017047907607817</c:v>
                </c:pt>
                <c:pt idx="17">
                  <c:v>0.43439098073560328</c:v>
                </c:pt>
                <c:pt idx="18">
                  <c:v>0.45274288688611064</c:v>
                </c:pt>
                <c:pt idx="19">
                  <c:v>0.12677296616562009</c:v>
                </c:pt>
                <c:pt idx="20">
                  <c:v>0.19423851869032471</c:v>
                </c:pt>
                <c:pt idx="21">
                  <c:v>0.29652917422596942</c:v>
                </c:pt>
                <c:pt idx="22">
                  <c:v>0.41506244656945079</c:v>
                </c:pt>
                <c:pt idx="23">
                  <c:v>0.20895032163163005</c:v>
                </c:pt>
                <c:pt idx="24">
                  <c:v>0.15666144869824924</c:v>
                </c:pt>
              </c:numCache>
            </c:numRef>
          </c:val>
          <c:extLst xmlns:c16r2="http://schemas.microsoft.com/office/drawing/2015/06/chart">
            <c:ext xmlns:c16="http://schemas.microsoft.com/office/drawing/2014/chart" uri="{C3380CC4-5D6E-409C-BE32-E72D297353CC}">
              <c16:uniqueId val="{00000001-AEB5-43FB-843A-90C863610CC9}"/>
            </c:ext>
          </c:extLst>
        </c:ser>
        <c:ser>
          <c:idx val="2"/>
          <c:order val="2"/>
          <c:tx>
            <c:strRef>
              <c:f>'Figure 5'!$D$1</c:f>
              <c:strCache>
                <c:ptCount val="1"/>
                <c:pt idx="0">
                  <c:v>Recovery</c:v>
                </c:pt>
              </c:strCache>
            </c:strRef>
          </c:tx>
          <c:spPr>
            <a:solidFill>
              <a:schemeClr val="tx1">
                <a:lumMod val="50000"/>
                <a:lumOff val="50000"/>
              </a:schemeClr>
            </a:solidFill>
          </c:spPr>
          <c:invertIfNegative val="0"/>
          <c:cat>
            <c:strRef>
              <c:f>'Figure 5'!$A$2:$A$26</c:f>
              <c:strCache>
                <c:ptCount val="25"/>
                <c:pt idx="0">
                  <c:v>AT</c:v>
                </c:pt>
                <c:pt idx="1">
                  <c:v>BE</c:v>
                </c:pt>
                <c:pt idx="2">
                  <c:v>BG</c:v>
                </c:pt>
                <c:pt idx="3">
                  <c:v>CY</c:v>
                </c:pt>
                <c:pt idx="4">
                  <c:v>CZ</c:v>
                </c:pt>
                <c:pt idx="5">
                  <c:v>DK</c:v>
                </c:pt>
                <c:pt idx="6">
                  <c:v>EE</c:v>
                </c:pt>
                <c:pt idx="7">
                  <c:v>ES</c:v>
                </c:pt>
                <c:pt idx="8">
                  <c:v>FI</c:v>
                </c:pt>
                <c:pt idx="9">
                  <c:v>FR</c:v>
                </c:pt>
                <c:pt idx="10">
                  <c:v>GR</c:v>
                </c:pt>
                <c:pt idx="11">
                  <c:v>HR</c:v>
                </c:pt>
                <c:pt idx="12">
                  <c:v>HU</c:v>
                </c:pt>
                <c:pt idx="13">
                  <c:v>IT</c:v>
                </c:pt>
                <c:pt idx="14">
                  <c:v>LT</c:v>
                </c:pt>
                <c:pt idx="15">
                  <c:v>LU</c:v>
                </c:pt>
                <c:pt idx="16">
                  <c:v>LV</c:v>
                </c:pt>
                <c:pt idx="17">
                  <c:v>MT</c:v>
                </c:pt>
                <c:pt idx="18">
                  <c:v>NL</c:v>
                </c:pt>
                <c:pt idx="19">
                  <c:v>PL</c:v>
                </c:pt>
                <c:pt idx="20">
                  <c:v>PT</c:v>
                </c:pt>
                <c:pt idx="21">
                  <c:v>RO</c:v>
                </c:pt>
                <c:pt idx="22">
                  <c:v>SE</c:v>
                </c:pt>
                <c:pt idx="23">
                  <c:v>SI</c:v>
                </c:pt>
                <c:pt idx="24">
                  <c:v>SK</c:v>
                </c:pt>
              </c:strCache>
            </c:strRef>
          </c:cat>
          <c:val>
            <c:numRef>
              <c:f>'Figure 5'!$D$2:$D$26</c:f>
              <c:numCache>
                <c:formatCode>General</c:formatCode>
                <c:ptCount val="25"/>
                <c:pt idx="0">
                  <c:v>0.21158200090605694</c:v>
                </c:pt>
                <c:pt idx="1">
                  <c:v>0.34037601408581686</c:v>
                </c:pt>
                <c:pt idx="2">
                  <c:v>0.22581521229142695</c:v>
                </c:pt>
                <c:pt idx="3">
                  <c:v>0.16310087038946341</c:v>
                </c:pt>
                <c:pt idx="4">
                  <c:v>5.5799898456102649E-2</c:v>
                </c:pt>
                <c:pt idx="5">
                  <c:v>0.27103597449415434</c:v>
                </c:pt>
                <c:pt idx="6">
                  <c:v>0.30912835214475159</c:v>
                </c:pt>
                <c:pt idx="7">
                  <c:v>0.3479722231711217</c:v>
                </c:pt>
                <c:pt idx="8">
                  <c:v>0.4469990746360904</c:v>
                </c:pt>
                <c:pt idx="9">
                  <c:v>0.19585345789585212</c:v>
                </c:pt>
                <c:pt idx="10">
                  <c:v>0.2358209961350774</c:v>
                </c:pt>
                <c:pt idx="11">
                  <c:v>0.14689840391446191</c:v>
                </c:pt>
                <c:pt idx="12">
                  <c:v>0.12052689346639674</c:v>
                </c:pt>
                <c:pt idx="13">
                  <c:v>0.22684444504399151</c:v>
                </c:pt>
                <c:pt idx="14">
                  <c:v>0.18605285585197173</c:v>
                </c:pt>
                <c:pt idx="15">
                  <c:v>0.44023617887243421</c:v>
                </c:pt>
                <c:pt idx="16">
                  <c:v>0.16757749292524277</c:v>
                </c:pt>
                <c:pt idx="17">
                  <c:v>0.21948707912953275</c:v>
                </c:pt>
                <c:pt idx="18">
                  <c:v>0.42710238294415259</c:v>
                </c:pt>
                <c:pt idx="19">
                  <c:v>0.21973235786926976</c:v>
                </c:pt>
                <c:pt idx="20">
                  <c:v>0.1873844236574824</c:v>
                </c:pt>
                <c:pt idx="21">
                  <c:v>0.14045676245827668</c:v>
                </c:pt>
                <c:pt idx="22">
                  <c:v>0.39053406631562665</c:v>
                </c:pt>
                <c:pt idx="23">
                  <c:v>0.13236548466416279</c:v>
                </c:pt>
                <c:pt idx="24">
                  <c:v>0.13838878430980386</c:v>
                </c:pt>
              </c:numCache>
            </c:numRef>
          </c:val>
          <c:extLst xmlns:c16r2="http://schemas.microsoft.com/office/drawing/2015/06/chart">
            <c:ext xmlns:c16="http://schemas.microsoft.com/office/drawing/2014/chart" uri="{C3380CC4-5D6E-409C-BE32-E72D297353CC}">
              <c16:uniqueId val="{00000002-AEB5-43FB-843A-90C863610CC9}"/>
            </c:ext>
          </c:extLst>
        </c:ser>
        <c:dLbls>
          <c:showLegendKey val="0"/>
          <c:showVal val="0"/>
          <c:showCatName val="0"/>
          <c:showSerName val="0"/>
          <c:showPercent val="0"/>
          <c:showBubbleSize val="0"/>
        </c:dLbls>
        <c:gapWidth val="150"/>
        <c:axId val="135859200"/>
        <c:axId val="135860992"/>
      </c:barChart>
      <c:catAx>
        <c:axId val="135859200"/>
        <c:scaling>
          <c:orientation val="minMax"/>
        </c:scaling>
        <c:delete val="0"/>
        <c:axPos val="b"/>
        <c:numFmt formatCode="General" sourceLinked="0"/>
        <c:majorTickMark val="out"/>
        <c:minorTickMark val="none"/>
        <c:tickLblPos val="nextTo"/>
        <c:crossAx val="135860992"/>
        <c:crosses val="autoZero"/>
        <c:auto val="1"/>
        <c:lblAlgn val="ctr"/>
        <c:lblOffset val="100"/>
        <c:noMultiLvlLbl val="0"/>
      </c:catAx>
      <c:valAx>
        <c:axId val="135860992"/>
        <c:scaling>
          <c:orientation val="minMax"/>
        </c:scaling>
        <c:delete val="0"/>
        <c:axPos val="l"/>
        <c:majorGridlines/>
        <c:numFmt formatCode="General" sourceLinked="1"/>
        <c:majorTickMark val="out"/>
        <c:minorTickMark val="none"/>
        <c:tickLblPos val="nextTo"/>
        <c:crossAx val="135859200"/>
        <c:crosses val="autoZero"/>
        <c:crossBetween val="between"/>
      </c:valAx>
    </c:plotArea>
    <c:legend>
      <c:legendPos val="b"/>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'Figure 7'!$B$2</c:f>
              <c:strCache>
                <c:ptCount val="1"/>
                <c:pt idx="0">
                  <c:v>E</c:v>
                </c:pt>
              </c:strCache>
            </c:strRef>
          </c:tx>
          <c:spPr>
            <a:solidFill>
              <a:schemeClr val="tx1"/>
            </a:solidFill>
          </c:spPr>
          <c:invertIfNegative val="0"/>
          <c:cat>
            <c:strRef>
              <c:f>'Figure 7'!$A$3:$A$30</c:f>
              <c:strCache>
                <c:ptCount val="28"/>
                <c:pt idx="0">
                  <c:v>AT</c:v>
                </c:pt>
                <c:pt idx="1">
                  <c:v>BE</c:v>
                </c:pt>
                <c:pt idx="2">
                  <c:v>BG</c:v>
                </c:pt>
                <c:pt idx="3">
                  <c:v>CY</c:v>
                </c:pt>
                <c:pt idx="4">
                  <c:v>CZ</c:v>
                </c:pt>
                <c:pt idx="5">
                  <c:v>DE</c:v>
                </c:pt>
                <c:pt idx="6">
                  <c:v>DK</c:v>
                </c:pt>
                <c:pt idx="7">
                  <c:v>EE</c:v>
                </c:pt>
                <c:pt idx="8">
                  <c:v>ES</c:v>
                </c:pt>
                <c:pt idx="9">
                  <c:v>FI</c:v>
                </c:pt>
                <c:pt idx="10">
                  <c:v>FR</c:v>
                </c:pt>
                <c:pt idx="11">
                  <c:v>GR</c:v>
                </c:pt>
                <c:pt idx="12">
                  <c:v>HR</c:v>
                </c:pt>
                <c:pt idx="13">
                  <c:v>HU</c:v>
                </c:pt>
                <c:pt idx="14">
                  <c:v>IE</c:v>
                </c:pt>
                <c:pt idx="15">
                  <c:v>IT</c:v>
                </c:pt>
                <c:pt idx="16">
                  <c:v>LT</c:v>
                </c:pt>
                <c:pt idx="17">
                  <c:v>LU</c:v>
                </c:pt>
                <c:pt idx="18">
                  <c:v>LV</c:v>
                </c:pt>
                <c:pt idx="19">
                  <c:v>MT</c:v>
                </c:pt>
                <c:pt idx="20">
                  <c:v>NL</c:v>
                </c:pt>
                <c:pt idx="21">
                  <c:v>PL</c:v>
                </c:pt>
                <c:pt idx="22">
                  <c:v>PT</c:v>
                </c:pt>
                <c:pt idx="23">
                  <c:v>RO</c:v>
                </c:pt>
                <c:pt idx="24">
                  <c:v>SE</c:v>
                </c:pt>
                <c:pt idx="25">
                  <c:v>SI</c:v>
                </c:pt>
                <c:pt idx="26">
                  <c:v>SK</c:v>
                </c:pt>
                <c:pt idx="27">
                  <c:v>UK</c:v>
                </c:pt>
              </c:strCache>
            </c:strRef>
          </c:cat>
          <c:val>
            <c:numRef>
              <c:f>'Figure 7'!$B$3:$B$30</c:f>
              <c:numCache>
                <c:formatCode>General</c:formatCode>
                <c:ptCount val="28"/>
                <c:pt idx="0">
                  <c:v>12.947402367876126</c:v>
                </c:pt>
                <c:pt idx="1">
                  <c:v>17.151409530891428</c:v>
                </c:pt>
                <c:pt idx="2">
                  <c:v>13.589217920148489</c:v>
                </c:pt>
                <c:pt idx="3">
                  <c:v>8.2250591415608874</c:v>
                </c:pt>
                <c:pt idx="4">
                  <c:v>11.681772253220274</c:v>
                </c:pt>
                <c:pt idx="6">
                  <c:v>15.072614059173118</c:v>
                </c:pt>
                <c:pt idx="7">
                  <c:v>8.9102403751608819</c:v>
                </c:pt>
                <c:pt idx="8">
                  <c:v>11.824490702960787</c:v>
                </c:pt>
                <c:pt idx="9">
                  <c:v>7.335638527880195</c:v>
                </c:pt>
                <c:pt idx="10">
                  <c:v>9.0446125731842955</c:v>
                </c:pt>
                <c:pt idx="11">
                  <c:v>28.766449593708142</c:v>
                </c:pt>
                <c:pt idx="12">
                  <c:v>21.59934046901456</c:v>
                </c:pt>
                <c:pt idx="13">
                  <c:v>-0.31527431519038362</c:v>
                </c:pt>
                <c:pt idx="15">
                  <c:v>14.842993258377474</c:v>
                </c:pt>
                <c:pt idx="16">
                  <c:v>-3.3969278384760049</c:v>
                </c:pt>
                <c:pt idx="17">
                  <c:v>17.437991635740346</c:v>
                </c:pt>
                <c:pt idx="18">
                  <c:v>1.0036586864489161</c:v>
                </c:pt>
                <c:pt idx="19">
                  <c:v>18.924827971152091</c:v>
                </c:pt>
                <c:pt idx="20">
                  <c:v>5.8615075475853544</c:v>
                </c:pt>
                <c:pt idx="21">
                  <c:v>9.4132091049869864</c:v>
                </c:pt>
                <c:pt idx="22">
                  <c:v>33.025642129803614</c:v>
                </c:pt>
                <c:pt idx="23">
                  <c:v>16.04341423896356</c:v>
                </c:pt>
                <c:pt idx="25">
                  <c:v>34.406737546579969</c:v>
                </c:pt>
                <c:pt idx="26">
                  <c:v>8.17929174302704</c:v>
                </c:pt>
              </c:numCache>
            </c:numRef>
          </c:val>
          <c:extLst xmlns:c16r2="http://schemas.microsoft.com/office/drawing/2015/06/chart">
            <c:ext xmlns:c16="http://schemas.microsoft.com/office/drawing/2014/chart" uri="{C3380CC4-5D6E-409C-BE32-E72D297353CC}">
              <c16:uniqueId val="{00000000-E222-4E59-945F-D05E922D516E}"/>
            </c:ext>
          </c:extLst>
        </c:ser>
        <c:ser>
          <c:idx val="1"/>
          <c:order val="1"/>
          <c:tx>
            <c:strRef>
              <c:f>'Figure 7'!$C$2</c:f>
              <c:strCache>
                <c:ptCount val="1"/>
                <c:pt idx="0">
                  <c:v>U</c:v>
                </c:pt>
              </c:strCache>
            </c:strRef>
          </c:tx>
          <c:spPr>
            <a:pattFill prst="pct50">
              <a:fgClr>
                <a:schemeClr val="tx1"/>
              </a:fgClr>
              <a:bgClr>
                <a:schemeClr val="bg1"/>
              </a:bgClr>
            </a:pattFill>
          </c:spPr>
          <c:invertIfNegative val="0"/>
          <c:cat>
            <c:strRef>
              <c:f>'Figure 7'!$A$3:$A$30</c:f>
              <c:strCache>
                <c:ptCount val="28"/>
                <c:pt idx="0">
                  <c:v>AT</c:v>
                </c:pt>
                <c:pt idx="1">
                  <c:v>BE</c:v>
                </c:pt>
                <c:pt idx="2">
                  <c:v>BG</c:v>
                </c:pt>
                <c:pt idx="3">
                  <c:v>CY</c:v>
                </c:pt>
                <c:pt idx="4">
                  <c:v>CZ</c:v>
                </c:pt>
                <c:pt idx="5">
                  <c:v>DE</c:v>
                </c:pt>
                <c:pt idx="6">
                  <c:v>DK</c:v>
                </c:pt>
                <c:pt idx="7">
                  <c:v>EE</c:v>
                </c:pt>
                <c:pt idx="8">
                  <c:v>ES</c:v>
                </c:pt>
                <c:pt idx="9">
                  <c:v>FI</c:v>
                </c:pt>
                <c:pt idx="10">
                  <c:v>FR</c:v>
                </c:pt>
                <c:pt idx="11">
                  <c:v>GR</c:v>
                </c:pt>
                <c:pt idx="12">
                  <c:v>HR</c:v>
                </c:pt>
                <c:pt idx="13">
                  <c:v>HU</c:v>
                </c:pt>
                <c:pt idx="14">
                  <c:v>IE</c:v>
                </c:pt>
                <c:pt idx="15">
                  <c:v>IT</c:v>
                </c:pt>
                <c:pt idx="16">
                  <c:v>LT</c:v>
                </c:pt>
                <c:pt idx="17">
                  <c:v>LU</c:v>
                </c:pt>
                <c:pt idx="18">
                  <c:v>LV</c:v>
                </c:pt>
                <c:pt idx="19">
                  <c:v>MT</c:v>
                </c:pt>
                <c:pt idx="20">
                  <c:v>NL</c:v>
                </c:pt>
                <c:pt idx="21">
                  <c:v>PL</c:v>
                </c:pt>
                <c:pt idx="22">
                  <c:v>PT</c:v>
                </c:pt>
                <c:pt idx="23">
                  <c:v>RO</c:v>
                </c:pt>
                <c:pt idx="24">
                  <c:v>SE</c:v>
                </c:pt>
                <c:pt idx="25">
                  <c:v>SI</c:v>
                </c:pt>
                <c:pt idx="26">
                  <c:v>SK</c:v>
                </c:pt>
                <c:pt idx="27">
                  <c:v>UK</c:v>
                </c:pt>
              </c:strCache>
            </c:strRef>
          </c:cat>
          <c:val>
            <c:numRef>
              <c:f>'Figure 7'!$C$3:$C$30</c:f>
              <c:numCache>
                <c:formatCode>General</c:formatCode>
                <c:ptCount val="28"/>
                <c:pt idx="0">
                  <c:v>-0.81763488150517272</c:v>
                </c:pt>
                <c:pt idx="1">
                  <c:v>-1.489492871713141</c:v>
                </c:pt>
                <c:pt idx="2">
                  <c:v>-2.5134114652445576</c:v>
                </c:pt>
                <c:pt idx="3">
                  <c:v>-8.5699568466636222</c:v>
                </c:pt>
                <c:pt idx="4">
                  <c:v>1.1564438869116005</c:v>
                </c:pt>
                <c:pt idx="6">
                  <c:v>-0.26527236729608772</c:v>
                </c:pt>
                <c:pt idx="7">
                  <c:v>0.86029439812515884</c:v>
                </c:pt>
                <c:pt idx="8">
                  <c:v>-7.4654527903827566</c:v>
                </c:pt>
                <c:pt idx="9">
                  <c:v>-3.3408743978858029</c:v>
                </c:pt>
                <c:pt idx="10">
                  <c:v>-4.3849749756624865</c:v>
                </c:pt>
                <c:pt idx="11">
                  <c:v>-13.531776731406467</c:v>
                </c:pt>
                <c:pt idx="12">
                  <c:v>-10.554863046657143</c:v>
                </c:pt>
                <c:pt idx="13">
                  <c:v>-1.3651559490292793</c:v>
                </c:pt>
                <c:pt idx="15">
                  <c:v>-7.3644848325324945</c:v>
                </c:pt>
                <c:pt idx="16">
                  <c:v>-1.9716110286445432</c:v>
                </c:pt>
                <c:pt idx="17">
                  <c:v>1.9412215148846557</c:v>
                </c:pt>
                <c:pt idx="18">
                  <c:v>-2.4607041993382288</c:v>
                </c:pt>
                <c:pt idx="19">
                  <c:v>2.4351458613309664</c:v>
                </c:pt>
                <c:pt idx="20">
                  <c:v>-0.39527701679821781</c:v>
                </c:pt>
                <c:pt idx="21">
                  <c:v>-1.3560662453340748</c:v>
                </c:pt>
                <c:pt idx="22">
                  <c:v>-4.761548798930237</c:v>
                </c:pt>
                <c:pt idx="23">
                  <c:v>-0.95049431282595509</c:v>
                </c:pt>
                <c:pt idx="25">
                  <c:v>-4.0329830733172329</c:v>
                </c:pt>
                <c:pt idx="26">
                  <c:v>-3.967072732742817</c:v>
                </c:pt>
              </c:numCache>
            </c:numRef>
          </c:val>
          <c:extLst xmlns:c16r2="http://schemas.microsoft.com/office/drawing/2015/06/chart">
            <c:ext xmlns:c16="http://schemas.microsoft.com/office/drawing/2014/chart" uri="{C3380CC4-5D6E-409C-BE32-E72D297353CC}">
              <c16:uniqueId val="{00000001-E222-4E59-945F-D05E922D516E}"/>
            </c:ext>
          </c:extLst>
        </c:ser>
        <c:ser>
          <c:idx val="2"/>
          <c:order val="2"/>
          <c:tx>
            <c:strRef>
              <c:f>'Figure 7'!$D$2</c:f>
              <c:strCache>
                <c:ptCount val="1"/>
                <c:pt idx="0">
                  <c:v>I</c:v>
                </c:pt>
              </c:strCache>
            </c:strRef>
          </c:tx>
          <c:spPr>
            <a:solidFill>
              <a:schemeClr val="tx1">
                <a:lumMod val="50000"/>
                <a:lumOff val="50000"/>
              </a:schemeClr>
            </a:solidFill>
          </c:spPr>
          <c:invertIfNegative val="0"/>
          <c:cat>
            <c:strRef>
              <c:f>'Figure 7'!$A$3:$A$30</c:f>
              <c:strCache>
                <c:ptCount val="28"/>
                <c:pt idx="0">
                  <c:v>AT</c:v>
                </c:pt>
                <c:pt idx="1">
                  <c:v>BE</c:v>
                </c:pt>
                <c:pt idx="2">
                  <c:v>BG</c:v>
                </c:pt>
                <c:pt idx="3">
                  <c:v>CY</c:v>
                </c:pt>
                <c:pt idx="4">
                  <c:v>CZ</c:v>
                </c:pt>
                <c:pt idx="5">
                  <c:v>DE</c:v>
                </c:pt>
                <c:pt idx="6">
                  <c:v>DK</c:v>
                </c:pt>
                <c:pt idx="7">
                  <c:v>EE</c:v>
                </c:pt>
                <c:pt idx="8">
                  <c:v>ES</c:v>
                </c:pt>
                <c:pt idx="9">
                  <c:v>FI</c:v>
                </c:pt>
                <c:pt idx="10">
                  <c:v>FR</c:v>
                </c:pt>
                <c:pt idx="11">
                  <c:v>GR</c:v>
                </c:pt>
                <c:pt idx="12">
                  <c:v>HR</c:v>
                </c:pt>
                <c:pt idx="13">
                  <c:v>HU</c:v>
                </c:pt>
                <c:pt idx="14">
                  <c:v>IE</c:v>
                </c:pt>
                <c:pt idx="15">
                  <c:v>IT</c:v>
                </c:pt>
                <c:pt idx="16">
                  <c:v>LT</c:v>
                </c:pt>
                <c:pt idx="17">
                  <c:v>LU</c:v>
                </c:pt>
                <c:pt idx="18">
                  <c:v>LV</c:v>
                </c:pt>
                <c:pt idx="19">
                  <c:v>MT</c:v>
                </c:pt>
                <c:pt idx="20">
                  <c:v>NL</c:v>
                </c:pt>
                <c:pt idx="21">
                  <c:v>PL</c:v>
                </c:pt>
                <c:pt idx="22">
                  <c:v>PT</c:v>
                </c:pt>
                <c:pt idx="23">
                  <c:v>RO</c:v>
                </c:pt>
                <c:pt idx="24">
                  <c:v>SE</c:v>
                </c:pt>
                <c:pt idx="25">
                  <c:v>SI</c:v>
                </c:pt>
                <c:pt idx="26">
                  <c:v>SK</c:v>
                </c:pt>
                <c:pt idx="27">
                  <c:v>UK</c:v>
                </c:pt>
              </c:strCache>
            </c:strRef>
          </c:cat>
          <c:val>
            <c:numRef>
              <c:f>'Figure 7'!$D$3:$D$30</c:f>
              <c:numCache>
                <c:formatCode>General</c:formatCode>
                <c:ptCount val="28"/>
                <c:pt idx="0">
                  <c:v>-12.129767486370818</c:v>
                </c:pt>
                <c:pt idx="1">
                  <c:v>-15.661916659178088</c:v>
                </c:pt>
                <c:pt idx="2">
                  <c:v>-11.075806454904185</c:v>
                </c:pt>
                <c:pt idx="3">
                  <c:v>0.34489770510255924</c:v>
                </c:pt>
                <c:pt idx="4">
                  <c:v>-12.838216140131941</c:v>
                </c:pt>
                <c:pt idx="6">
                  <c:v>-14.807341691876896</c:v>
                </c:pt>
                <c:pt idx="7">
                  <c:v>-9.7705347732859664</c:v>
                </c:pt>
                <c:pt idx="8">
                  <c:v>-4.3590379125780343</c:v>
                </c:pt>
                <c:pt idx="9">
                  <c:v>-3.9947641299945102</c:v>
                </c:pt>
                <c:pt idx="10">
                  <c:v>-4.6596375975218374</c:v>
                </c:pt>
                <c:pt idx="11">
                  <c:v>-15.234672862301657</c:v>
                </c:pt>
                <c:pt idx="12">
                  <c:v>-11.044477422357236</c:v>
                </c:pt>
                <c:pt idx="13">
                  <c:v>1.6804302642195457</c:v>
                </c:pt>
                <c:pt idx="15">
                  <c:v>-7.478508425844776</c:v>
                </c:pt>
                <c:pt idx="16">
                  <c:v>5.3685388671206535</c:v>
                </c:pt>
                <c:pt idx="17">
                  <c:v>-19.379213150624942</c:v>
                </c:pt>
                <c:pt idx="18">
                  <c:v>1.4570455128892656</c:v>
                </c:pt>
                <c:pt idx="19">
                  <c:v>-21.359973832482694</c:v>
                </c:pt>
                <c:pt idx="20">
                  <c:v>-5.4662305307871026</c:v>
                </c:pt>
                <c:pt idx="21">
                  <c:v>-8.0571428596530659</c:v>
                </c:pt>
                <c:pt idx="22">
                  <c:v>-28.264093330873308</c:v>
                </c:pt>
                <c:pt idx="23">
                  <c:v>-15.092919926137588</c:v>
                </c:pt>
                <c:pt idx="25">
                  <c:v>-30.373754473262633</c:v>
                </c:pt>
                <c:pt idx="26">
                  <c:v>-4.2122190102839463</c:v>
                </c:pt>
              </c:numCache>
            </c:numRef>
          </c:val>
          <c:extLst xmlns:c16r2="http://schemas.microsoft.com/office/drawing/2015/06/chart">
            <c:ext xmlns:c16="http://schemas.microsoft.com/office/drawing/2014/chart" uri="{C3380CC4-5D6E-409C-BE32-E72D297353CC}">
              <c16:uniqueId val="{00000002-E222-4E59-945F-D05E922D516E}"/>
            </c:ext>
          </c:extLst>
        </c:ser>
        <c:dLbls>
          <c:showLegendKey val="0"/>
          <c:showVal val="0"/>
          <c:showCatName val="0"/>
          <c:showSerName val="0"/>
          <c:showPercent val="0"/>
          <c:showBubbleSize val="0"/>
        </c:dLbls>
        <c:gapWidth val="150"/>
        <c:axId val="135893376"/>
        <c:axId val="135894912"/>
      </c:barChart>
      <c:catAx>
        <c:axId val="135893376"/>
        <c:scaling>
          <c:orientation val="maxMin"/>
        </c:scaling>
        <c:delete val="0"/>
        <c:axPos val="l"/>
        <c:numFmt formatCode="General" sourceLinked="0"/>
        <c:majorTickMark val="out"/>
        <c:minorTickMark val="none"/>
        <c:tickLblPos val="low"/>
        <c:crossAx val="135894912"/>
        <c:crosses val="autoZero"/>
        <c:auto val="1"/>
        <c:lblAlgn val="ctr"/>
        <c:lblOffset val="100"/>
        <c:noMultiLvlLbl val="0"/>
      </c:catAx>
      <c:valAx>
        <c:axId val="135894912"/>
        <c:scaling>
          <c:orientation val="minMax"/>
        </c:scaling>
        <c:delete val="0"/>
        <c:axPos val="t"/>
        <c:majorGridlines/>
        <c:numFmt formatCode="General" sourceLinked="1"/>
        <c:majorTickMark val="out"/>
        <c:minorTickMark val="none"/>
        <c:tickLblPos val="nextTo"/>
        <c:crossAx val="135893376"/>
        <c:crosses val="autoZero"/>
        <c:crossBetween val="between"/>
      </c:valAx>
    </c:plotArea>
    <c:legend>
      <c:legendPos val="b"/>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'Figure 7'!$B$37</c:f>
              <c:strCache>
                <c:ptCount val="1"/>
                <c:pt idx="0">
                  <c:v>E</c:v>
                </c:pt>
              </c:strCache>
            </c:strRef>
          </c:tx>
          <c:spPr>
            <a:solidFill>
              <a:schemeClr val="tx1"/>
            </a:solidFill>
          </c:spPr>
          <c:invertIfNegative val="0"/>
          <c:cat>
            <c:strRef>
              <c:f>'Figure 7'!$A$38:$A$65</c:f>
              <c:strCache>
                <c:ptCount val="28"/>
                <c:pt idx="0">
                  <c:v>AT</c:v>
                </c:pt>
                <c:pt idx="1">
                  <c:v>BE</c:v>
                </c:pt>
                <c:pt idx="2">
                  <c:v>BG</c:v>
                </c:pt>
                <c:pt idx="3">
                  <c:v>CY</c:v>
                </c:pt>
                <c:pt idx="4">
                  <c:v>CZ</c:v>
                </c:pt>
                <c:pt idx="5">
                  <c:v>DE</c:v>
                </c:pt>
                <c:pt idx="6">
                  <c:v>DK</c:v>
                </c:pt>
                <c:pt idx="7">
                  <c:v>EE</c:v>
                </c:pt>
                <c:pt idx="8">
                  <c:v>ES</c:v>
                </c:pt>
                <c:pt idx="9">
                  <c:v>FI</c:v>
                </c:pt>
                <c:pt idx="10">
                  <c:v>FR</c:v>
                </c:pt>
                <c:pt idx="11">
                  <c:v>GR</c:v>
                </c:pt>
                <c:pt idx="12">
                  <c:v>HR</c:v>
                </c:pt>
                <c:pt idx="13">
                  <c:v>HU</c:v>
                </c:pt>
                <c:pt idx="14">
                  <c:v>IE</c:v>
                </c:pt>
                <c:pt idx="15">
                  <c:v>IT</c:v>
                </c:pt>
                <c:pt idx="16">
                  <c:v>LT</c:v>
                </c:pt>
                <c:pt idx="17">
                  <c:v>LU</c:v>
                </c:pt>
                <c:pt idx="18">
                  <c:v>LV</c:v>
                </c:pt>
                <c:pt idx="19">
                  <c:v>MT</c:v>
                </c:pt>
                <c:pt idx="20">
                  <c:v>NL</c:v>
                </c:pt>
                <c:pt idx="21">
                  <c:v>PL</c:v>
                </c:pt>
                <c:pt idx="22">
                  <c:v>PT</c:v>
                </c:pt>
                <c:pt idx="23">
                  <c:v>RO</c:v>
                </c:pt>
                <c:pt idx="24">
                  <c:v>SE</c:v>
                </c:pt>
                <c:pt idx="25">
                  <c:v>SI</c:v>
                </c:pt>
                <c:pt idx="26">
                  <c:v>SK</c:v>
                </c:pt>
                <c:pt idx="27">
                  <c:v>UK</c:v>
                </c:pt>
              </c:strCache>
            </c:strRef>
          </c:cat>
          <c:val>
            <c:numRef>
              <c:f>'Figure 7'!$B$38:$B$65</c:f>
              <c:numCache>
                <c:formatCode>General</c:formatCode>
                <c:ptCount val="28"/>
                <c:pt idx="0">
                  <c:v>-14.83236644344778</c:v>
                </c:pt>
                <c:pt idx="1">
                  <c:v>-11.385872133822994</c:v>
                </c:pt>
                <c:pt idx="2">
                  <c:v>-14.932693651174322</c:v>
                </c:pt>
                <c:pt idx="3">
                  <c:v>-19.438814224214436</c:v>
                </c:pt>
                <c:pt idx="4">
                  <c:v>-16.254937484221131</c:v>
                </c:pt>
                <c:pt idx="6">
                  <c:v>-12.550691744763864</c:v>
                </c:pt>
                <c:pt idx="7">
                  <c:v>-18.849687214225174</c:v>
                </c:pt>
                <c:pt idx="8">
                  <c:v>-16.183078665444452</c:v>
                </c:pt>
                <c:pt idx="9">
                  <c:v>-20.646671209719386</c:v>
                </c:pt>
                <c:pt idx="10">
                  <c:v>-19.201639015829937</c:v>
                </c:pt>
                <c:pt idx="12">
                  <c:v>-7.2515257479027646</c:v>
                </c:pt>
                <c:pt idx="13">
                  <c:v>-29.001923731574163</c:v>
                </c:pt>
                <c:pt idx="15">
                  <c:v>-14.203333207676256</c:v>
                </c:pt>
                <c:pt idx="16">
                  <c:v>-31.488615079902232</c:v>
                </c:pt>
                <c:pt idx="17">
                  <c:v>-10.51908517551235</c:v>
                </c:pt>
                <c:pt idx="18">
                  <c:v>-26.94074673191114</c:v>
                </c:pt>
                <c:pt idx="19">
                  <c:v>-9.6471268103236589</c:v>
                </c:pt>
                <c:pt idx="20">
                  <c:v>-21.49046144551431</c:v>
                </c:pt>
                <c:pt idx="21">
                  <c:v>-18.8854065641547</c:v>
                </c:pt>
                <c:pt idx="22">
                  <c:v>5.0494779394146256</c:v>
                </c:pt>
                <c:pt idx="23">
                  <c:v>-12.388321810179336</c:v>
                </c:pt>
                <c:pt idx="24">
                  <c:v>-26.678771264317685</c:v>
                </c:pt>
                <c:pt idx="25">
                  <c:v>6.2468520097549547</c:v>
                </c:pt>
                <c:pt idx="26">
                  <c:v>-19.546734640446566</c:v>
                </c:pt>
              </c:numCache>
            </c:numRef>
          </c:val>
          <c:extLst xmlns:c16r2="http://schemas.microsoft.com/office/drawing/2015/06/chart">
            <c:ext xmlns:c16="http://schemas.microsoft.com/office/drawing/2014/chart" uri="{C3380CC4-5D6E-409C-BE32-E72D297353CC}">
              <c16:uniqueId val="{00000000-7DDD-44BD-A87A-DA5A0AC33810}"/>
            </c:ext>
          </c:extLst>
        </c:ser>
        <c:ser>
          <c:idx val="1"/>
          <c:order val="1"/>
          <c:tx>
            <c:strRef>
              <c:f>'Figure 7'!$C$37</c:f>
              <c:strCache>
                <c:ptCount val="1"/>
                <c:pt idx="0">
                  <c:v>U</c:v>
                </c:pt>
              </c:strCache>
            </c:strRef>
          </c:tx>
          <c:spPr>
            <a:pattFill prst="pct50">
              <a:fgClr>
                <a:schemeClr val="tx1"/>
              </a:fgClr>
              <a:bgClr>
                <a:schemeClr val="bg1"/>
              </a:bgClr>
            </a:pattFill>
          </c:spPr>
          <c:invertIfNegative val="0"/>
          <c:cat>
            <c:strRef>
              <c:f>'Figure 7'!$A$38:$A$65</c:f>
              <c:strCache>
                <c:ptCount val="28"/>
                <c:pt idx="0">
                  <c:v>AT</c:v>
                </c:pt>
                <c:pt idx="1">
                  <c:v>BE</c:v>
                </c:pt>
                <c:pt idx="2">
                  <c:v>BG</c:v>
                </c:pt>
                <c:pt idx="3">
                  <c:v>CY</c:v>
                </c:pt>
                <c:pt idx="4">
                  <c:v>CZ</c:v>
                </c:pt>
                <c:pt idx="5">
                  <c:v>DE</c:v>
                </c:pt>
                <c:pt idx="6">
                  <c:v>DK</c:v>
                </c:pt>
                <c:pt idx="7">
                  <c:v>EE</c:v>
                </c:pt>
                <c:pt idx="8">
                  <c:v>ES</c:v>
                </c:pt>
                <c:pt idx="9">
                  <c:v>FI</c:v>
                </c:pt>
                <c:pt idx="10">
                  <c:v>FR</c:v>
                </c:pt>
                <c:pt idx="11">
                  <c:v>GR</c:v>
                </c:pt>
                <c:pt idx="12">
                  <c:v>HR</c:v>
                </c:pt>
                <c:pt idx="13">
                  <c:v>HU</c:v>
                </c:pt>
                <c:pt idx="14">
                  <c:v>IE</c:v>
                </c:pt>
                <c:pt idx="15">
                  <c:v>IT</c:v>
                </c:pt>
                <c:pt idx="16">
                  <c:v>LT</c:v>
                </c:pt>
                <c:pt idx="17">
                  <c:v>LU</c:v>
                </c:pt>
                <c:pt idx="18">
                  <c:v>LV</c:v>
                </c:pt>
                <c:pt idx="19">
                  <c:v>MT</c:v>
                </c:pt>
                <c:pt idx="20">
                  <c:v>NL</c:v>
                </c:pt>
                <c:pt idx="21">
                  <c:v>PL</c:v>
                </c:pt>
                <c:pt idx="22">
                  <c:v>PT</c:v>
                </c:pt>
                <c:pt idx="23">
                  <c:v>RO</c:v>
                </c:pt>
                <c:pt idx="24">
                  <c:v>SE</c:v>
                </c:pt>
                <c:pt idx="25">
                  <c:v>SI</c:v>
                </c:pt>
                <c:pt idx="26">
                  <c:v>SK</c:v>
                </c:pt>
                <c:pt idx="27">
                  <c:v>UK</c:v>
                </c:pt>
              </c:strCache>
            </c:strRef>
          </c:cat>
          <c:val>
            <c:numRef>
              <c:f>'Figure 7'!$C$38:$C$65</c:f>
              <c:numCache>
                <c:formatCode>General</c:formatCode>
                <c:ptCount val="28"/>
                <c:pt idx="0">
                  <c:v>12.972474487293198</c:v>
                </c:pt>
                <c:pt idx="1">
                  <c:v>12.095343938727384</c:v>
                </c:pt>
                <c:pt idx="2">
                  <c:v>11.080127689998283</c:v>
                </c:pt>
                <c:pt idx="3">
                  <c:v>5.2581435318603988</c:v>
                </c:pt>
                <c:pt idx="4">
                  <c:v>14.902482630235234</c:v>
                </c:pt>
                <c:pt idx="6">
                  <c:v>13.568565729909782</c:v>
                </c:pt>
                <c:pt idx="7">
                  <c:v>14.657765602140838</c:v>
                </c:pt>
                <c:pt idx="8">
                  <c:v>6.272209840956064</c:v>
                </c:pt>
                <c:pt idx="9">
                  <c:v>10.393407515791948</c:v>
                </c:pt>
                <c:pt idx="10">
                  <c:v>9.2802344397053709</c:v>
                </c:pt>
                <c:pt idx="12">
                  <c:v>2.9485909116150069</c:v>
                </c:pt>
                <c:pt idx="13">
                  <c:v>12.179733637563976</c:v>
                </c:pt>
                <c:pt idx="15">
                  <c:v>6.0850909555575869</c:v>
                </c:pt>
                <c:pt idx="16">
                  <c:v>11.73692500986618</c:v>
                </c:pt>
                <c:pt idx="17">
                  <c:v>15.683324677585125</c:v>
                </c:pt>
                <c:pt idx="18">
                  <c:v>11.288191864068276</c:v>
                </c:pt>
                <c:pt idx="19">
                  <c:v>16.009453306945602</c:v>
                </c:pt>
                <c:pt idx="20">
                  <c:v>13.51285338459755</c:v>
                </c:pt>
                <c:pt idx="21">
                  <c:v>12.295051775531499</c:v>
                </c:pt>
                <c:pt idx="22">
                  <c:v>8.9811435083682003</c:v>
                </c:pt>
                <c:pt idx="23">
                  <c:v>12.662497956418942</c:v>
                </c:pt>
                <c:pt idx="24">
                  <c:v>14.092660905979912</c:v>
                </c:pt>
                <c:pt idx="25">
                  <c:v>9.6538161801346494</c:v>
                </c:pt>
                <c:pt idx="26">
                  <c:v>9.6281217854032004</c:v>
                </c:pt>
              </c:numCache>
            </c:numRef>
          </c:val>
          <c:extLst xmlns:c16r2="http://schemas.microsoft.com/office/drawing/2015/06/chart">
            <c:ext xmlns:c16="http://schemas.microsoft.com/office/drawing/2014/chart" uri="{C3380CC4-5D6E-409C-BE32-E72D297353CC}">
              <c16:uniqueId val="{00000001-7DDD-44BD-A87A-DA5A0AC33810}"/>
            </c:ext>
          </c:extLst>
        </c:ser>
        <c:ser>
          <c:idx val="2"/>
          <c:order val="2"/>
          <c:tx>
            <c:strRef>
              <c:f>'Figure 7'!$D$37</c:f>
              <c:strCache>
                <c:ptCount val="1"/>
                <c:pt idx="0">
                  <c:v>I</c:v>
                </c:pt>
              </c:strCache>
            </c:strRef>
          </c:tx>
          <c:spPr>
            <a:solidFill>
              <a:schemeClr val="tx1">
                <a:lumMod val="50000"/>
                <a:lumOff val="50000"/>
              </a:schemeClr>
            </a:solidFill>
          </c:spPr>
          <c:invertIfNegative val="0"/>
          <c:cat>
            <c:strRef>
              <c:f>'Figure 7'!$A$38:$A$65</c:f>
              <c:strCache>
                <c:ptCount val="28"/>
                <c:pt idx="0">
                  <c:v>AT</c:v>
                </c:pt>
                <c:pt idx="1">
                  <c:v>BE</c:v>
                </c:pt>
                <c:pt idx="2">
                  <c:v>BG</c:v>
                </c:pt>
                <c:pt idx="3">
                  <c:v>CY</c:v>
                </c:pt>
                <c:pt idx="4">
                  <c:v>CZ</c:v>
                </c:pt>
                <c:pt idx="5">
                  <c:v>DE</c:v>
                </c:pt>
                <c:pt idx="6">
                  <c:v>DK</c:v>
                </c:pt>
                <c:pt idx="7">
                  <c:v>EE</c:v>
                </c:pt>
                <c:pt idx="8">
                  <c:v>ES</c:v>
                </c:pt>
                <c:pt idx="9">
                  <c:v>FI</c:v>
                </c:pt>
                <c:pt idx="10">
                  <c:v>FR</c:v>
                </c:pt>
                <c:pt idx="11">
                  <c:v>GR</c:v>
                </c:pt>
                <c:pt idx="12">
                  <c:v>HR</c:v>
                </c:pt>
                <c:pt idx="13">
                  <c:v>HU</c:v>
                </c:pt>
                <c:pt idx="14">
                  <c:v>IE</c:v>
                </c:pt>
                <c:pt idx="15">
                  <c:v>IT</c:v>
                </c:pt>
                <c:pt idx="16">
                  <c:v>LT</c:v>
                </c:pt>
                <c:pt idx="17">
                  <c:v>LU</c:v>
                </c:pt>
                <c:pt idx="18">
                  <c:v>LV</c:v>
                </c:pt>
                <c:pt idx="19">
                  <c:v>MT</c:v>
                </c:pt>
                <c:pt idx="20">
                  <c:v>NL</c:v>
                </c:pt>
                <c:pt idx="21">
                  <c:v>PL</c:v>
                </c:pt>
                <c:pt idx="22">
                  <c:v>PT</c:v>
                </c:pt>
                <c:pt idx="23">
                  <c:v>RO</c:v>
                </c:pt>
                <c:pt idx="24">
                  <c:v>SE</c:v>
                </c:pt>
                <c:pt idx="25">
                  <c:v>SI</c:v>
                </c:pt>
                <c:pt idx="26">
                  <c:v>SK</c:v>
                </c:pt>
                <c:pt idx="27">
                  <c:v>UK</c:v>
                </c:pt>
              </c:strCache>
            </c:strRef>
          </c:cat>
          <c:val>
            <c:numRef>
              <c:f>'Figure 7'!$D$38:$D$65</c:f>
              <c:numCache>
                <c:formatCode>General</c:formatCode>
                <c:ptCount val="28"/>
                <c:pt idx="0">
                  <c:v>1.8598919561547078</c:v>
                </c:pt>
                <c:pt idx="1">
                  <c:v>-0.70947180490421591</c:v>
                </c:pt>
                <c:pt idx="2">
                  <c:v>3.8525659611757579</c:v>
                </c:pt>
                <c:pt idx="3">
                  <c:v>14.180670692353836</c:v>
                </c:pt>
                <c:pt idx="4">
                  <c:v>1.3524548539858183</c:v>
                </c:pt>
                <c:pt idx="6">
                  <c:v>-1.0178739851458007</c:v>
                </c:pt>
                <c:pt idx="7">
                  <c:v>4.1919216120843927</c:v>
                </c:pt>
                <c:pt idx="8">
                  <c:v>9.9108688244883609</c:v>
                </c:pt>
                <c:pt idx="9">
                  <c:v>10.253263693927295</c:v>
                </c:pt>
                <c:pt idx="10">
                  <c:v>9.9214045761245089</c:v>
                </c:pt>
                <c:pt idx="12">
                  <c:v>4.3029348362879194</c:v>
                </c:pt>
                <c:pt idx="13">
                  <c:v>16.822190094010054</c:v>
                </c:pt>
                <c:pt idx="15">
                  <c:v>8.1182422521188577</c:v>
                </c:pt>
                <c:pt idx="16">
                  <c:v>19.751690070036119</c:v>
                </c:pt>
                <c:pt idx="17">
                  <c:v>-5.1642395020727374</c:v>
                </c:pt>
                <c:pt idx="18">
                  <c:v>15.652554867842793</c:v>
                </c:pt>
                <c:pt idx="19">
                  <c:v>-6.3623264966215949</c:v>
                </c:pt>
                <c:pt idx="20">
                  <c:v>7.9776080609167739</c:v>
                </c:pt>
                <c:pt idx="21">
                  <c:v>6.5903547886230314</c:v>
                </c:pt>
                <c:pt idx="22">
                  <c:v>-14.030621447782766</c:v>
                </c:pt>
                <c:pt idx="23">
                  <c:v>-0.27417614623960751</c:v>
                </c:pt>
                <c:pt idx="24">
                  <c:v>12.586110358337754</c:v>
                </c:pt>
                <c:pt idx="25">
                  <c:v>-15.900668189889512</c:v>
                </c:pt>
                <c:pt idx="26">
                  <c:v>9.918612855043623</c:v>
                </c:pt>
              </c:numCache>
            </c:numRef>
          </c:val>
          <c:extLst xmlns:c16r2="http://schemas.microsoft.com/office/drawing/2015/06/chart">
            <c:ext xmlns:c16="http://schemas.microsoft.com/office/drawing/2014/chart" uri="{C3380CC4-5D6E-409C-BE32-E72D297353CC}">
              <c16:uniqueId val="{00000002-7DDD-44BD-A87A-DA5A0AC33810}"/>
            </c:ext>
          </c:extLst>
        </c:ser>
        <c:dLbls>
          <c:showLegendKey val="0"/>
          <c:showVal val="0"/>
          <c:showCatName val="0"/>
          <c:showSerName val="0"/>
          <c:showPercent val="0"/>
          <c:showBubbleSize val="0"/>
        </c:dLbls>
        <c:gapWidth val="150"/>
        <c:axId val="135914240"/>
        <c:axId val="135915776"/>
      </c:barChart>
      <c:catAx>
        <c:axId val="135914240"/>
        <c:scaling>
          <c:orientation val="maxMin"/>
        </c:scaling>
        <c:delete val="0"/>
        <c:axPos val="l"/>
        <c:numFmt formatCode="General" sourceLinked="0"/>
        <c:majorTickMark val="out"/>
        <c:minorTickMark val="none"/>
        <c:tickLblPos val="low"/>
        <c:crossAx val="135915776"/>
        <c:crosses val="autoZero"/>
        <c:auto val="1"/>
        <c:lblAlgn val="ctr"/>
        <c:lblOffset val="100"/>
        <c:noMultiLvlLbl val="0"/>
      </c:catAx>
      <c:valAx>
        <c:axId val="135915776"/>
        <c:scaling>
          <c:orientation val="minMax"/>
          <c:max val="40"/>
        </c:scaling>
        <c:delete val="0"/>
        <c:axPos val="t"/>
        <c:majorGridlines/>
        <c:numFmt formatCode="General" sourceLinked="1"/>
        <c:majorTickMark val="out"/>
        <c:minorTickMark val="none"/>
        <c:tickLblPos val="nextTo"/>
        <c:crossAx val="135914240"/>
        <c:crosses val="autoZero"/>
        <c:crossBetween val="between"/>
      </c:valAx>
    </c:plotArea>
    <c:legend>
      <c:legendPos val="b"/>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2"/>
          <c:order val="0"/>
          <c:tx>
            <c:strRef>
              <c:f>'Figure 8'!$B$2</c:f>
              <c:strCache>
                <c:ptCount val="1"/>
                <c:pt idx="0">
                  <c:v>I</c:v>
                </c:pt>
              </c:strCache>
            </c:strRef>
          </c:tx>
          <c:spPr>
            <a:solidFill>
              <a:schemeClr val="tx1">
                <a:lumMod val="50000"/>
                <a:lumOff val="50000"/>
              </a:schemeClr>
            </a:solidFill>
          </c:spPr>
          <c:invertIfNegative val="0"/>
          <c:cat>
            <c:strRef>
              <c:f>'Figure 8'!$A$3:$A$5</c:f>
              <c:strCache>
                <c:ptCount val="3"/>
                <c:pt idx="0">
                  <c:v>CEE</c:v>
                </c:pt>
                <c:pt idx="1">
                  <c:v>CONTINENTAL</c:v>
                </c:pt>
                <c:pt idx="2">
                  <c:v>SOUTHERN</c:v>
                </c:pt>
              </c:strCache>
            </c:strRef>
          </c:cat>
          <c:val>
            <c:numRef>
              <c:f>'Figure 8'!$B$3:$B$5</c:f>
              <c:numCache>
                <c:formatCode>General</c:formatCode>
                <c:ptCount val="3"/>
                <c:pt idx="0">
                  <c:v>-0.53725251641328353</c:v>
                </c:pt>
                <c:pt idx="1">
                  <c:v>3.5489466668720326</c:v>
                </c:pt>
                <c:pt idx="2">
                  <c:v>2.3543464700509498E-2</c:v>
                </c:pt>
              </c:numCache>
            </c:numRef>
          </c:val>
          <c:extLst xmlns:c16r2="http://schemas.microsoft.com/office/drawing/2015/06/chart">
            <c:ext xmlns:c16="http://schemas.microsoft.com/office/drawing/2014/chart" uri="{C3380CC4-5D6E-409C-BE32-E72D297353CC}">
              <c16:uniqueId val="{00000000-0CD1-4AA4-AEB1-A206A4F63AA2}"/>
            </c:ext>
          </c:extLst>
        </c:ser>
        <c:ser>
          <c:idx val="1"/>
          <c:order val="1"/>
          <c:tx>
            <c:strRef>
              <c:f>'Figure 8'!$C$2</c:f>
              <c:strCache>
                <c:ptCount val="1"/>
                <c:pt idx="0">
                  <c:v>U</c:v>
                </c:pt>
              </c:strCache>
            </c:strRef>
          </c:tx>
          <c:spPr>
            <a:pattFill prst="pct50">
              <a:fgClr>
                <a:schemeClr val="tx1"/>
              </a:fgClr>
              <a:bgClr>
                <a:schemeClr val="bg1"/>
              </a:bgClr>
            </a:pattFill>
          </c:spPr>
          <c:invertIfNegative val="0"/>
          <c:cat>
            <c:strRef>
              <c:f>'Figure 8'!$A$3:$A$5</c:f>
              <c:strCache>
                <c:ptCount val="3"/>
                <c:pt idx="0">
                  <c:v>CEE</c:v>
                </c:pt>
                <c:pt idx="1">
                  <c:v>CONTINENTAL</c:v>
                </c:pt>
                <c:pt idx="2">
                  <c:v>SOUTHERN</c:v>
                </c:pt>
              </c:strCache>
            </c:strRef>
          </c:cat>
          <c:val>
            <c:numRef>
              <c:f>'Figure 8'!$C$3:$C$5</c:f>
              <c:numCache>
                <c:formatCode>General</c:formatCode>
                <c:ptCount val="3"/>
                <c:pt idx="0">
                  <c:v>-4.1975611305037726</c:v>
                </c:pt>
                <c:pt idx="1">
                  <c:v>-3.3489763354266096</c:v>
                </c:pt>
                <c:pt idx="2">
                  <c:v>-8.5954913658059358</c:v>
                </c:pt>
              </c:numCache>
            </c:numRef>
          </c:val>
          <c:extLst xmlns:c16r2="http://schemas.microsoft.com/office/drawing/2015/06/chart">
            <c:ext xmlns:c16="http://schemas.microsoft.com/office/drawing/2014/chart" uri="{C3380CC4-5D6E-409C-BE32-E72D297353CC}">
              <c16:uniqueId val="{00000001-0CD1-4AA4-AEB1-A206A4F63AA2}"/>
            </c:ext>
          </c:extLst>
        </c:ser>
        <c:ser>
          <c:idx val="0"/>
          <c:order val="2"/>
          <c:tx>
            <c:strRef>
              <c:f>'Figure 8'!$D$2</c:f>
              <c:strCache>
                <c:ptCount val="1"/>
                <c:pt idx="0">
                  <c:v>E</c:v>
                </c:pt>
              </c:strCache>
            </c:strRef>
          </c:tx>
          <c:spPr>
            <a:solidFill>
              <a:schemeClr val="tx1"/>
            </a:solidFill>
          </c:spPr>
          <c:invertIfNegative val="0"/>
          <c:cat>
            <c:strRef>
              <c:f>'Figure 8'!$A$3:$A$5</c:f>
              <c:strCache>
                <c:ptCount val="3"/>
                <c:pt idx="0">
                  <c:v>CEE</c:v>
                </c:pt>
                <c:pt idx="1">
                  <c:v>CONTINENTAL</c:v>
                </c:pt>
                <c:pt idx="2">
                  <c:v>SOUTHERN</c:v>
                </c:pt>
              </c:strCache>
            </c:strRef>
          </c:cat>
          <c:val>
            <c:numRef>
              <c:f>'Figure 8'!$D$3:$D$5</c:f>
              <c:numCache>
                <c:formatCode>General</c:formatCode>
                <c:ptCount val="3"/>
                <c:pt idx="0">
                  <c:v>4.7348136469161028</c:v>
                </c:pt>
                <c:pt idx="1">
                  <c:v>-0.19997033144611986</c:v>
                </c:pt>
                <c:pt idx="2">
                  <c:v>8.5719479011054478</c:v>
                </c:pt>
              </c:numCache>
            </c:numRef>
          </c:val>
          <c:extLst xmlns:c16r2="http://schemas.microsoft.com/office/drawing/2015/06/chart">
            <c:ext xmlns:c16="http://schemas.microsoft.com/office/drawing/2014/chart" uri="{C3380CC4-5D6E-409C-BE32-E72D297353CC}">
              <c16:uniqueId val="{00000002-0CD1-4AA4-AEB1-A206A4F63AA2}"/>
            </c:ext>
          </c:extLst>
        </c:ser>
        <c:dLbls>
          <c:showLegendKey val="0"/>
          <c:showVal val="0"/>
          <c:showCatName val="0"/>
          <c:showSerName val="0"/>
          <c:showPercent val="0"/>
          <c:showBubbleSize val="0"/>
        </c:dLbls>
        <c:gapWidth val="150"/>
        <c:axId val="136667136"/>
        <c:axId val="136668672"/>
      </c:barChart>
      <c:catAx>
        <c:axId val="136667136"/>
        <c:scaling>
          <c:orientation val="minMax"/>
        </c:scaling>
        <c:delete val="0"/>
        <c:axPos val="l"/>
        <c:numFmt formatCode="General" sourceLinked="0"/>
        <c:majorTickMark val="out"/>
        <c:minorTickMark val="none"/>
        <c:tickLblPos val="nextTo"/>
        <c:crossAx val="136668672"/>
        <c:crosses val="autoZero"/>
        <c:auto val="1"/>
        <c:lblAlgn val="ctr"/>
        <c:lblOffset val="100"/>
        <c:noMultiLvlLbl val="0"/>
      </c:catAx>
      <c:valAx>
        <c:axId val="136668672"/>
        <c:scaling>
          <c:orientation val="minMax"/>
        </c:scaling>
        <c:delete val="0"/>
        <c:axPos val="b"/>
        <c:majorGridlines/>
        <c:numFmt formatCode="General" sourceLinked="1"/>
        <c:majorTickMark val="out"/>
        <c:minorTickMark val="none"/>
        <c:tickLblPos val="nextTo"/>
        <c:crossAx val="136667136"/>
        <c:crosses val="autoZero"/>
        <c:crossBetween val="between"/>
        <c:majorUnit val="2"/>
      </c:valAx>
    </c:plotArea>
    <c:legend>
      <c:legendPos val="b"/>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2"/>
          <c:order val="0"/>
          <c:tx>
            <c:strRef>
              <c:f>'Figure 8'!$K$2</c:f>
              <c:strCache>
                <c:ptCount val="1"/>
                <c:pt idx="0">
                  <c:v>I</c:v>
                </c:pt>
              </c:strCache>
            </c:strRef>
          </c:tx>
          <c:spPr>
            <a:solidFill>
              <a:schemeClr val="tx1">
                <a:lumMod val="50000"/>
                <a:lumOff val="50000"/>
              </a:schemeClr>
            </a:solidFill>
          </c:spPr>
          <c:invertIfNegative val="0"/>
          <c:cat>
            <c:strRef>
              <c:f>'Figure 8'!$A$3:$A$5</c:f>
              <c:strCache>
                <c:ptCount val="3"/>
                <c:pt idx="0">
                  <c:v>CEE</c:v>
                </c:pt>
                <c:pt idx="1">
                  <c:v>CONTINENTAL</c:v>
                </c:pt>
                <c:pt idx="2">
                  <c:v>SOUTHERN</c:v>
                </c:pt>
              </c:strCache>
            </c:strRef>
          </c:cat>
          <c:val>
            <c:numRef>
              <c:f>'Figure 8'!$K$3:$K$5</c:f>
              <c:numCache>
                <c:formatCode>General</c:formatCode>
                <c:ptCount val="3"/>
                <c:pt idx="0">
                  <c:v>-3.1410637670481858</c:v>
                </c:pt>
                <c:pt idx="1">
                  <c:v>-2.7837106111708976</c:v>
                </c:pt>
                <c:pt idx="2">
                  <c:v>-2.784092613588085</c:v>
                </c:pt>
              </c:numCache>
            </c:numRef>
          </c:val>
          <c:extLst xmlns:c16r2="http://schemas.microsoft.com/office/drawing/2015/06/chart">
            <c:ext xmlns:c16="http://schemas.microsoft.com/office/drawing/2014/chart" uri="{C3380CC4-5D6E-409C-BE32-E72D297353CC}">
              <c16:uniqueId val="{00000000-2D06-4106-B359-9EC89B56850D}"/>
            </c:ext>
          </c:extLst>
        </c:ser>
        <c:ser>
          <c:idx val="1"/>
          <c:order val="1"/>
          <c:tx>
            <c:strRef>
              <c:f>'Figure 8'!$L$2</c:f>
              <c:strCache>
                <c:ptCount val="1"/>
                <c:pt idx="0">
                  <c:v>U</c:v>
                </c:pt>
              </c:strCache>
            </c:strRef>
          </c:tx>
          <c:spPr>
            <a:pattFill prst="pct50">
              <a:fgClr>
                <a:schemeClr val="tx1"/>
              </a:fgClr>
              <a:bgClr>
                <a:schemeClr val="bg1"/>
              </a:bgClr>
            </a:pattFill>
          </c:spPr>
          <c:invertIfNegative val="0"/>
          <c:cat>
            <c:strRef>
              <c:f>'Figure 8'!$A$3:$A$5</c:f>
              <c:strCache>
                <c:ptCount val="3"/>
                <c:pt idx="0">
                  <c:v>CEE</c:v>
                </c:pt>
                <c:pt idx="1">
                  <c:v>CONTINENTAL</c:v>
                </c:pt>
                <c:pt idx="2">
                  <c:v>SOUTHERN</c:v>
                </c:pt>
              </c:strCache>
            </c:strRef>
          </c:cat>
          <c:val>
            <c:numRef>
              <c:f>'Figure 8'!$L$3:$L$5</c:f>
              <c:numCache>
                <c:formatCode>General</c:formatCode>
                <c:ptCount val="3"/>
                <c:pt idx="0">
                  <c:v>5.112315176002552E-2</c:v>
                </c:pt>
                <c:pt idx="1">
                  <c:v>-2.6520005074788369</c:v>
                </c:pt>
                <c:pt idx="2">
                  <c:v>-5.9014653218528448</c:v>
                </c:pt>
              </c:numCache>
            </c:numRef>
          </c:val>
          <c:extLst xmlns:c16r2="http://schemas.microsoft.com/office/drawing/2015/06/chart">
            <c:ext xmlns:c16="http://schemas.microsoft.com/office/drawing/2014/chart" uri="{C3380CC4-5D6E-409C-BE32-E72D297353CC}">
              <c16:uniqueId val="{00000001-2D06-4106-B359-9EC89B56850D}"/>
            </c:ext>
          </c:extLst>
        </c:ser>
        <c:ser>
          <c:idx val="0"/>
          <c:order val="2"/>
          <c:tx>
            <c:strRef>
              <c:f>'Figure 8'!$M$2</c:f>
              <c:strCache>
                <c:ptCount val="1"/>
                <c:pt idx="0">
                  <c:v>E</c:v>
                </c:pt>
              </c:strCache>
            </c:strRef>
          </c:tx>
          <c:spPr>
            <a:solidFill>
              <a:schemeClr val="tx1"/>
            </a:solidFill>
          </c:spPr>
          <c:invertIfNegative val="0"/>
          <c:cat>
            <c:strRef>
              <c:f>'Figure 8'!$A$3:$A$5</c:f>
              <c:strCache>
                <c:ptCount val="3"/>
                <c:pt idx="0">
                  <c:v>CEE</c:v>
                </c:pt>
                <c:pt idx="1">
                  <c:v>CONTINENTAL</c:v>
                </c:pt>
                <c:pt idx="2">
                  <c:v>SOUTHERN</c:v>
                </c:pt>
              </c:strCache>
            </c:strRef>
          </c:cat>
          <c:val>
            <c:numRef>
              <c:f>'Figure 8'!$M$3:$M$5</c:f>
              <c:numCache>
                <c:formatCode>General</c:formatCode>
                <c:ptCount val="3"/>
                <c:pt idx="0">
                  <c:v>3.089940615288389</c:v>
                </c:pt>
                <c:pt idx="1">
                  <c:v>5.4357111186494391</c:v>
                </c:pt>
                <c:pt idx="2">
                  <c:v>8.685557935441345</c:v>
                </c:pt>
              </c:numCache>
            </c:numRef>
          </c:val>
          <c:extLst xmlns:c16r2="http://schemas.microsoft.com/office/drawing/2015/06/chart">
            <c:ext xmlns:c16="http://schemas.microsoft.com/office/drawing/2014/chart" uri="{C3380CC4-5D6E-409C-BE32-E72D297353CC}">
              <c16:uniqueId val="{00000002-2D06-4106-B359-9EC89B56850D}"/>
            </c:ext>
          </c:extLst>
        </c:ser>
        <c:dLbls>
          <c:showLegendKey val="0"/>
          <c:showVal val="0"/>
          <c:showCatName val="0"/>
          <c:showSerName val="0"/>
          <c:showPercent val="0"/>
          <c:showBubbleSize val="0"/>
        </c:dLbls>
        <c:gapWidth val="150"/>
        <c:axId val="136704384"/>
        <c:axId val="136705920"/>
      </c:barChart>
      <c:catAx>
        <c:axId val="136704384"/>
        <c:scaling>
          <c:orientation val="minMax"/>
        </c:scaling>
        <c:delete val="0"/>
        <c:axPos val="l"/>
        <c:numFmt formatCode="General" sourceLinked="0"/>
        <c:majorTickMark val="out"/>
        <c:minorTickMark val="none"/>
        <c:tickLblPos val="nextTo"/>
        <c:crossAx val="136705920"/>
        <c:crosses val="autoZero"/>
        <c:auto val="1"/>
        <c:lblAlgn val="ctr"/>
        <c:lblOffset val="100"/>
        <c:noMultiLvlLbl val="0"/>
      </c:catAx>
      <c:valAx>
        <c:axId val="136705920"/>
        <c:scaling>
          <c:orientation val="minMax"/>
          <c:min val="-10"/>
        </c:scaling>
        <c:delete val="0"/>
        <c:axPos val="b"/>
        <c:majorGridlines/>
        <c:numFmt formatCode="General" sourceLinked="1"/>
        <c:majorTickMark val="out"/>
        <c:minorTickMark val="none"/>
        <c:tickLblPos val="nextTo"/>
        <c:crossAx val="136704384"/>
        <c:crosses val="autoZero"/>
        <c:crossBetween val="between"/>
        <c:majorUnit val="2"/>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25EDF460BCA47AF161CD2594BB585" ma:contentTypeVersion="0" ma:contentTypeDescription="Create a new document." ma:contentTypeScope="" ma:versionID="a4103c7a42ae94e977d032c74c40738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80769-9D3A-4CA3-9255-C19F6FE57B24}">
  <ds:schemaRefs>
    <ds:schemaRef ds:uri="http://schemas.microsoft.com/sharepoint/v3/contenttype/forms"/>
  </ds:schemaRefs>
</ds:datastoreItem>
</file>

<file path=customXml/itemProps2.xml><?xml version="1.0" encoding="utf-8"?>
<ds:datastoreItem xmlns:ds="http://schemas.openxmlformats.org/officeDocument/2006/customXml" ds:itemID="{4D086A21-1976-4A69-BB44-A4D2C26AC2BC}">
  <ds:schemaRefs>
    <ds:schemaRef ds:uri="http://schemas.microsoft.com/office/2006/metadata/properties"/>
  </ds:schemaRefs>
</ds:datastoreItem>
</file>

<file path=customXml/itemProps3.xml><?xml version="1.0" encoding="utf-8"?>
<ds:datastoreItem xmlns:ds="http://schemas.openxmlformats.org/officeDocument/2006/customXml" ds:itemID="{40142874-FD90-46B8-A6C4-74EFD3AD8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52105CB-5326-4A82-BBE2-B3BF62691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Template>
  <TotalTime>7</TotalTime>
  <Pages>33</Pages>
  <Words>8602</Words>
  <Characters>49033</Characters>
  <Application>Microsoft Office Word</Application>
  <DocSecurity>0</DocSecurity>
  <PresentationFormat>Microsoft Word 11.0</PresentationFormat>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57520</CharactersWithSpaces>
  <SharedDoc>false</SharedDoc>
  <HyperlinkBase/>
  <HLinks>
    <vt:vector size="12" baseType="variant">
      <vt:variant>
        <vt:i4>3604494</vt:i4>
      </vt:variant>
      <vt:variant>
        <vt:i4>2387</vt:i4>
      </vt:variant>
      <vt:variant>
        <vt:i4>1025</vt:i4>
      </vt:variant>
      <vt:variant>
        <vt:i4>1</vt:i4>
      </vt:variant>
      <vt:variant>
        <vt:lpwstr>LOGO-CE for RTD EN Positive</vt:lpwstr>
      </vt:variant>
      <vt:variant>
        <vt:lpwstr/>
      </vt:variant>
      <vt:variant>
        <vt:i4>57</vt:i4>
      </vt:variant>
      <vt:variant>
        <vt:i4>-1</vt:i4>
      </vt:variant>
      <vt:variant>
        <vt:i4>2113</vt:i4>
      </vt:variant>
      <vt:variant>
        <vt:i4>1</vt:i4>
      </vt:variant>
      <vt:variant>
        <vt:lpwstr>Footer Box RTD 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European Commission</dc:creator>
  <cp:lastModifiedBy>Administrator</cp:lastModifiedBy>
  <cp:revision>4</cp:revision>
  <cp:lastPrinted>2018-07-09T10:21:00Z</cp:lastPrinted>
  <dcterms:created xsi:type="dcterms:W3CDTF">2019-03-05T12:03:00Z</dcterms:created>
  <dcterms:modified xsi:type="dcterms:W3CDTF">2019-03-05T12:10:00Z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ContentTypeId">
    <vt:lpwstr>0x01010099225EDF460BCA47AF161CD2594BB585</vt:lpwstr>
  </property>
</Properties>
</file>